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after="120" w:line="360" w:lineRule="auto"/>
        <w:rPr>
          <w:rFonts w:ascii="Times New Roman" w:hAnsi="Times New Roman" w:eastAsia="宋体"/>
          <w:b w:val="0"/>
          <w:bCs w:val="0"/>
          <w:caps w:val="0"/>
          <w:color w:val="000000" w:themeColor="text1"/>
          <w:sz w:val="28"/>
          <w:szCs w:val="28"/>
          <w:highlight w:val="none"/>
          <w14:textFill>
            <w14:solidFill>
              <w14:schemeClr w14:val="tx1"/>
            </w14:solidFill>
          </w14:textFill>
        </w:rPr>
      </w:pPr>
      <w:r>
        <w:rPr>
          <w:rFonts w:ascii="Times New Roman" w:hAnsi="Times New Roman" w:eastAsia="宋体"/>
          <w:caps w:val="0"/>
          <w:color w:val="000000" w:themeColor="text1"/>
          <w:sz w:val="28"/>
          <w:szCs w:val="28"/>
          <w:highlight w:val="none"/>
          <w14:textFill>
            <w14:solidFill>
              <w14:schemeClr w14:val="tx1"/>
            </w14:solidFill>
          </w14:textFill>
        </w:rPr>
        <w:t>建设项目基本情况</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2"/>
        <w:gridCol w:w="1988"/>
        <w:gridCol w:w="606"/>
        <w:gridCol w:w="908"/>
        <w:gridCol w:w="1433"/>
        <w:gridCol w:w="1298"/>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项目名称</w:t>
            </w:r>
          </w:p>
        </w:tc>
        <w:tc>
          <w:tcPr>
            <w:tcW w:w="4040" w:type="pct"/>
            <w:gridSpan w:val="6"/>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年产5000吨智能阀门精加工生产建设项目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建设单位</w:t>
            </w:r>
          </w:p>
        </w:tc>
        <w:tc>
          <w:tcPr>
            <w:tcW w:w="4040" w:type="pct"/>
            <w:gridSpan w:val="6"/>
            <w:vAlign w:val="center"/>
          </w:tcPr>
          <w:p>
            <w:pPr>
              <w:tabs>
                <w:tab w:val="left" w:pos="1806"/>
                <w:tab w:val="center" w:pos="3719"/>
              </w:tabs>
              <w:spacing w:line="420" w:lineRule="exact"/>
              <w:jc w:val="left"/>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ab/>
            </w:r>
            <w:r>
              <w:rPr>
                <w:rFonts w:hint="eastAsia" w:ascii="Times New Roman" w:hAnsi="Times New Roman" w:eastAsia="宋体"/>
                <w:caps w:val="0"/>
                <w:color w:val="000000" w:themeColor="text1"/>
                <w:sz w:val="24"/>
                <w:highlight w:val="none"/>
                <w14:textFill>
                  <w14:solidFill>
                    <w14:schemeClr w14:val="tx1"/>
                  </w14:solidFill>
                </w14:textFill>
              </w:rPr>
              <w:t>芜湖市金贸流体科技</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股份</w:t>
            </w:r>
            <w:r>
              <w:rPr>
                <w:rFonts w:hint="eastAsia" w:ascii="Times New Roman" w:hAnsi="Times New Roman" w:eastAsia="宋体"/>
                <w:caps w:val="0"/>
                <w:color w:val="000000" w:themeColor="text1"/>
                <w:sz w:val="24"/>
                <w:highlight w:val="none"/>
                <w14:textFill>
                  <w14:solidFill>
                    <w14:schemeClr w14:val="tx1"/>
                  </w14:solidFill>
                </w14:textFill>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法人代表</w:t>
            </w:r>
          </w:p>
        </w:tc>
        <w:tc>
          <w:tcPr>
            <w:tcW w:w="1895" w:type="pct"/>
            <w:gridSpan w:val="3"/>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孙述全</w:t>
            </w:r>
          </w:p>
        </w:tc>
        <w:tc>
          <w:tcPr>
            <w:tcW w:w="775"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联系人</w:t>
            </w:r>
          </w:p>
        </w:tc>
        <w:tc>
          <w:tcPr>
            <w:tcW w:w="1369" w:type="pct"/>
            <w:gridSpan w:val="2"/>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eastAsia="zh-CN"/>
                <w14:textFill>
                  <w14:solidFill>
                    <w14:schemeClr w14:val="tx1"/>
                  </w14:solidFill>
                </w14:textFill>
              </w:rPr>
              <w:t>高峰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通讯地址</w:t>
            </w:r>
          </w:p>
        </w:tc>
        <w:tc>
          <w:tcPr>
            <w:tcW w:w="4040" w:type="pct"/>
            <w:gridSpan w:val="6"/>
            <w:vAlign w:val="center"/>
          </w:tcPr>
          <w:p>
            <w:pPr>
              <w:spacing w:line="420" w:lineRule="exact"/>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孙村经济开发区芜湖市金贸流体科技股份有限公司厂区内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联系电话</w:t>
            </w:r>
          </w:p>
        </w:tc>
        <w:tc>
          <w:tcPr>
            <w:tcW w:w="1404" w:type="pct"/>
            <w:gridSpan w:val="2"/>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8"/>
                <w:szCs w:val="28"/>
                <w:highlight w:val="none"/>
                <w:lang w:val="en-US" w:eastAsia="zh-CN"/>
                <w14:textFill>
                  <w14:solidFill>
                    <w14:schemeClr w14:val="tx1"/>
                  </w14:solidFill>
                </w14:textFill>
              </w:rPr>
              <w:t>13696568618</w:t>
            </w:r>
          </w:p>
        </w:tc>
        <w:tc>
          <w:tcPr>
            <w:tcW w:w="491"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传真</w:t>
            </w:r>
          </w:p>
        </w:tc>
        <w:tc>
          <w:tcPr>
            <w:tcW w:w="775" w:type="pct"/>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w:t>
            </w:r>
          </w:p>
        </w:tc>
        <w:tc>
          <w:tcPr>
            <w:tcW w:w="702"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邮政编码</w:t>
            </w:r>
          </w:p>
        </w:tc>
        <w:tc>
          <w:tcPr>
            <w:tcW w:w="667" w:type="pct"/>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241206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建设地点</w:t>
            </w:r>
          </w:p>
        </w:tc>
        <w:tc>
          <w:tcPr>
            <w:tcW w:w="4040" w:type="pct"/>
            <w:gridSpan w:val="6"/>
            <w:vAlign w:val="center"/>
          </w:tcPr>
          <w:p>
            <w:pPr>
              <w:spacing w:line="420" w:lineRule="exact"/>
              <w:jc w:val="center"/>
              <w:rPr>
                <w:rFonts w:ascii="Times New Roman" w:hAnsi="Times New Roman" w:eastAsia="宋体"/>
                <w:bCs/>
                <w:caps w:val="0"/>
                <w:color w:val="000000" w:themeColor="text1"/>
                <w:spacing w:val="-2"/>
                <w:kern w:val="0"/>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繁昌经济开发区孙村园区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立项审批部门</w:t>
            </w:r>
          </w:p>
        </w:tc>
        <w:tc>
          <w:tcPr>
            <w:tcW w:w="1895" w:type="pct"/>
            <w:gridSpan w:val="3"/>
            <w:vAlign w:val="center"/>
          </w:tcPr>
          <w:p>
            <w:pPr>
              <w:spacing w:line="420" w:lineRule="exact"/>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default" w:ascii="Times New Roman" w:hAnsi="Times New Roman" w:eastAsia="宋体"/>
                <w:caps w:val="0"/>
                <w:color w:val="000000" w:themeColor="text1"/>
                <w:sz w:val="24"/>
                <w:highlight w:val="none"/>
                <w:lang w:val="en-US" w:eastAsia="zh-CN"/>
                <w14:textFill>
                  <w14:solidFill>
                    <w14:schemeClr w14:val="tx1"/>
                  </w14:solidFill>
                </w14:textFill>
              </w:rPr>
              <w:t>繁昌区发展和改革委员会</w:t>
            </w:r>
          </w:p>
        </w:tc>
        <w:tc>
          <w:tcPr>
            <w:tcW w:w="775"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项目编码</w:t>
            </w:r>
          </w:p>
        </w:tc>
        <w:tc>
          <w:tcPr>
            <w:tcW w:w="1369" w:type="pct"/>
            <w:gridSpan w:val="2"/>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发改告知[2020]148号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6" w:hRule="atLeast"/>
          <w:jc w:val="center"/>
        </w:trPr>
        <w:tc>
          <w:tcPr>
            <w:tcW w:w="959" w:type="pct"/>
            <w:vAlign w:val="center"/>
          </w:tcPr>
          <w:p>
            <w:pPr>
              <w:spacing w:line="40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建设性质</w:t>
            </w:r>
          </w:p>
        </w:tc>
        <w:tc>
          <w:tcPr>
            <w:tcW w:w="1895" w:type="pct"/>
            <w:gridSpan w:val="3"/>
            <w:vAlign w:val="center"/>
          </w:tcPr>
          <w:p>
            <w:pPr>
              <w:spacing w:line="400" w:lineRule="exact"/>
              <w:jc w:val="center"/>
              <w:rPr>
                <w:rFonts w:hint="eastAsia" w:ascii="Times New Roman" w:hAnsi="Times New Roman" w:eastAsia="宋体"/>
                <w:caps w:val="0"/>
                <w:color w:val="000000" w:themeColor="text1"/>
                <w:sz w:val="24"/>
                <w:highlight w:val="none"/>
                <w:lang w:eastAsia="zh-CN"/>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改扩建</w:t>
            </w:r>
          </w:p>
        </w:tc>
        <w:tc>
          <w:tcPr>
            <w:tcW w:w="775" w:type="pct"/>
            <w:vAlign w:val="center"/>
          </w:tcPr>
          <w:p>
            <w:pPr>
              <w:spacing w:line="40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行业类别</w:t>
            </w:r>
          </w:p>
          <w:p>
            <w:pPr>
              <w:spacing w:line="40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及代码</w:t>
            </w:r>
          </w:p>
        </w:tc>
        <w:tc>
          <w:tcPr>
            <w:tcW w:w="1369" w:type="pct"/>
            <w:gridSpan w:val="2"/>
            <w:vAlign w:val="center"/>
          </w:tcPr>
          <w:p>
            <w:pPr>
              <w:spacing w:line="400" w:lineRule="exact"/>
              <w:jc w:val="center"/>
              <w:rPr>
                <w:rFonts w:ascii="Times New Roman" w:hAnsi="Times New Roman" w:eastAsia="宋体"/>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sz w:val="24"/>
                <w:szCs w:val="22"/>
                <w:highlight w:val="none"/>
                <w14:textFill>
                  <w14:solidFill>
                    <w14:schemeClr w14:val="tx1"/>
                  </w14:solidFill>
                </w14:textFill>
              </w:rPr>
              <w:t>阀门和旋塞制造（C3443）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959" w:type="pct"/>
            <w:vAlign w:val="center"/>
          </w:tcPr>
          <w:p>
            <w:pPr>
              <w:spacing w:line="40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占地面积</w:t>
            </w:r>
          </w:p>
          <w:p>
            <w:pPr>
              <w:spacing w:line="40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w:t>
            </w:r>
            <w:r>
              <w:rPr>
                <w:rFonts w:ascii="Times New Roman" w:hAnsi="Times New Roman" w:eastAsia="宋体"/>
                <w:b/>
                <w:caps w:val="0"/>
                <w:color w:val="000000" w:themeColor="text1"/>
                <w:kern w:val="10"/>
                <w:sz w:val="24"/>
                <w:highlight w:val="none"/>
                <w14:textFill>
                  <w14:solidFill>
                    <w14:schemeClr w14:val="tx1"/>
                  </w14:solidFill>
                </w14:textFill>
              </w:rPr>
              <w:t>m</w:t>
            </w:r>
            <w:r>
              <w:rPr>
                <w:rFonts w:ascii="Times New Roman" w:hAnsi="Times New Roman" w:eastAsia="宋体"/>
                <w:b/>
                <w:caps w:val="0"/>
                <w:color w:val="000000" w:themeColor="text1"/>
                <w:kern w:val="10"/>
                <w:sz w:val="24"/>
                <w:highlight w:val="none"/>
                <w:vertAlign w:val="superscript"/>
                <w14:textFill>
                  <w14:solidFill>
                    <w14:schemeClr w14:val="tx1"/>
                  </w14:solidFill>
                </w14:textFill>
              </w:rPr>
              <w:t>2</w:t>
            </w:r>
            <w:r>
              <w:rPr>
                <w:rFonts w:ascii="Times New Roman" w:hAnsi="Times New Roman" w:eastAsia="宋体"/>
                <w:b/>
                <w:caps w:val="0"/>
                <w:color w:val="000000" w:themeColor="text1"/>
                <w:kern w:val="10"/>
                <w:sz w:val="24"/>
                <w:highlight w:val="none"/>
                <w14:textFill>
                  <w14:solidFill>
                    <w14:schemeClr w14:val="tx1"/>
                  </w14:solidFill>
                </w14:textFill>
              </w:rPr>
              <w:t>）</w:t>
            </w:r>
          </w:p>
        </w:tc>
        <w:tc>
          <w:tcPr>
            <w:tcW w:w="1895" w:type="pct"/>
            <w:gridSpan w:val="3"/>
            <w:vAlign w:val="center"/>
          </w:tcPr>
          <w:p>
            <w:pPr>
              <w:spacing w:line="40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szCs w:val="24"/>
                <w:highlight w:val="none"/>
                <w14:textFill>
                  <w14:solidFill>
                    <w14:schemeClr w14:val="tx1"/>
                  </w14:solidFill>
                </w14:textFill>
              </w:rPr>
              <w:t>9394</w:t>
            </w:r>
          </w:p>
        </w:tc>
        <w:tc>
          <w:tcPr>
            <w:tcW w:w="775" w:type="pct"/>
            <w:vAlign w:val="center"/>
          </w:tcPr>
          <w:p>
            <w:pPr>
              <w:spacing w:line="40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绿化面积（</w:t>
            </w:r>
            <w:r>
              <w:rPr>
                <w:rFonts w:ascii="Times New Roman" w:hAnsi="Times New Roman" w:eastAsia="宋体"/>
                <w:b/>
                <w:caps w:val="0"/>
                <w:color w:val="000000" w:themeColor="text1"/>
                <w:kern w:val="10"/>
                <w:sz w:val="24"/>
                <w:highlight w:val="none"/>
                <w14:textFill>
                  <w14:solidFill>
                    <w14:schemeClr w14:val="tx1"/>
                  </w14:solidFill>
                </w14:textFill>
              </w:rPr>
              <w:t>m</w:t>
            </w:r>
            <w:r>
              <w:rPr>
                <w:rFonts w:ascii="Times New Roman" w:hAnsi="Times New Roman" w:eastAsia="宋体"/>
                <w:b/>
                <w:caps w:val="0"/>
                <w:color w:val="000000" w:themeColor="text1"/>
                <w:kern w:val="10"/>
                <w:sz w:val="24"/>
                <w:highlight w:val="none"/>
                <w:vertAlign w:val="superscript"/>
                <w14:textFill>
                  <w14:solidFill>
                    <w14:schemeClr w14:val="tx1"/>
                  </w14:solidFill>
                </w14:textFill>
              </w:rPr>
              <w:t>2</w:t>
            </w:r>
            <w:r>
              <w:rPr>
                <w:rFonts w:ascii="Times New Roman" w:hAnsi="Times New Roman" w:eastAsia="宋体"/>
                <w:b/>
                <w:caps w:val="0"/>
                <w:color w:val="000000" w:themeColor="text1"/>
                <w:kern w:val="10"/>
                <w:sz w:val="24"/>
                <w:highlight w:val="none"/>
                <w14:textFill>
                  <w14:solidFill>
                    <w14:schemeClr w14:val="tx1"/>
                  </w14:solidFill>
                </w14:textFill>
              </w:rPr>
              <w:t>）</w:t>
            </w:r>
          </w:p>
        </w:tc>
        <w:tc>
          <w:tcPr>
            <w:tcW w:w="1369" w:type="pct"/>
            <w:gridSpan w:val="2"/>
            <w:vAlign w:val="center"/>
          </w:tcPr>
          <w:p>
            <w:pPr>
              <w:spacing w:line="420" w:lineRule="exact"/>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pct"/>
            <w:vAlign w:val="center"/>
          </w:tcPr>
          <w:p>
            <w:pPr>
              <w:spacing w:line="40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总投资</w:t>
            </w:r>
          </w:p>
          <w:p>
            <w:pPr>
              <w:spacing w:line="40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（万元）</w:t>
            </w:r>
          </w:p>
        </w:tc>
        <w:tc>
          <w:tcPr>
            <w:tcW w:w="1076" w:type="pct"/>
            <w:vAlign w:val="center"/>
          </w:tcPr>
          <w:p>
            <w:pPr>
              <w:spacing w:line="400" w:lineRule="exact"/>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8022</w:t>
            </w:r>
          </w:p>
        </w:tc>
        <w:tc>
          <w:tcPr>
            <w:tcW w:w="819" w:type="pct"/>
            <w:gridSpan w:val="2"/>
            <w:vAlign w:val="center"/>
          </w:tcPr>
          <w:p>
            <w:pPr>
              <w:spacing w:line="400" w:lineRule="exact"/>
              <w:jc w:val="center"/>
              <w:rPr>
                <w:rFonts w:ascii="Times New Roman" w:hAnsi="Times New Roman" w:eastAsia="宋体"/>
                <w:b/>
                <w:caps w:val="0"/>
                <w:color w:val="000000" w:themeColor="text1"/>
                <w:spacing w:val="-10"/>
                <w:sz w:val="24"/>
                <w:highlight w:val="none"/>
                <w14:textFill>
                  <w14:solidFill>
                    <w14:schemeClr w14:val="tx1"/>
                  </w14:solidFill>
                </w14:textFill>
              </w:rPr>
            </w:pPr>
            <w:r>
              <w:rPr>
                <w:rFonts w:ascii="Times New Roman" w:hAnsi="Times New Roman" w:eastAsia="宋体"/>
                <w:b/>
                <w:caps w:val="0"/>
                <w:color w:val="000000" w:themeColor="text1"/>
                <w:spacing w:val="-10"/>
                <w:sz w:val="24"/>
                <w:highlight w:val="none"/>
                <w14:textFill>
                  <w14:solidFill>
                    <w14:schemeClr w14:val="tx1"/>
                  </w14:solidFill>
                </w14:textFill>
              </w:rPr>
              <w:t>其中：环保投资(万元)</w:t>
            </w:r>
          </w:p>
        </w:tc>
        <w:tc>
          <w:tcPr>
            <w:tcW w:w="775" w:type="pct"/>
            <w:vAlign w:val="center"/>
          </w:tcPr>
          <w:p>
            <w:pPr>
              <w:spacing w:line="400" w:lineRule="exact"/>
              <w:jc w:val="center"/>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71</w:t>
            </w:r>
          </w:p>
        </w:tc>
        <w:tc>
          <w:tcPr>
            <w:tcW w:w="702" w:type="pct"/>
            <w:vAlign w:val="center"/>
          </w:tcPr>
          <w:p>
            <w:pPr>
              <w:spacing w:line="40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环保投资占总投资比例</w:t>
            </w:r>
          </w:p>
        </w:tc>
        <w:tc>
          <w:tcPr>
            <w:tcW w:w="667" w:type="pct"/>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0.89</w:t>
            </w:r>
            <w:r>
              <w:rPr>
                <w:rFonts w:ascii="Times New Roman" w:hAnsi="Times New Roman" w:eastAsia="宋体"/>
                <w:caps w:val="0"/>
                <w:color w:val="000000" w:themeColor="text1"/>
                <w:sz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jc w:val="center"/>
        </w:trPr>
        <w:tc>
          <w:tcPr>
            <w:tcW w:w="959" w:type="pct"/>
            <w:vAlign w:val="center"/>
          </w:tcPr>
          <w:p>
            <w:pPr>
              <w:spacing w:line="42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评价经费</w:t>
            </w:r>
          </w:p>
        </w:tc>
        <w:tc>
          <w:tcPr>
            <w:tcW w:w="1076" w:type="pct"/>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w:t>
            </w:r>
          </w:p>
        </w:tc>
        <w:tc>
          <w:tcPr>
            <w:tcW w:w="819" w:type="pct"/>
            <w:gridSpan w:val="2"/>
            <w:vAlign w:val="center"/>
          </w:tcPr>
          <w:p>
            <w:pPr>
              <w:spacing w:line="420" w:lineRule="exact"/>
              <w:jc w:val="center"/>
              <w:rPr>
                <w:rFonts w:ascii="Times New Roman" w:hAnsi="Times New Roman" w:eastAsia="宋体"/>
                <w:b/>
                <w:caps w:val="0"/>
                <w:color w:val="000000" w:themeColor="text1"/>
                <w:spacing w:val="-10"/>
                <w:sz w:val="24"/>
                <w:highlight w:val="none"/>
                <w14:textFill>
                  <w14:solidFill>
                    <w14:schemeClr w14:val="tx1"/>
                  </w14:solidFill>
                </w14:textFill>
              </w:rPr>
            </w:pPr>
            <w:r>
              <w:rPr>
                <w:rFonts w:ascii="Times New Roman" w:hAnsi="Times New Roman" w:eastAsia="宋体"/>
                <w:b/>
                <w:caps w:val="0"/>
                <w:color w:val="000000" w:themeColor="text1"/>
                <w:spacing w:val="-10"/>
                <w:sz w:val="24"/>
                <w:highlight w:val="none"/>
                <w14:textFill>
                  <w14:solidFill>
                    <w14:schemeClr w14:val="tx1"/>
                  </w14:solidFill>
                </w14:textFill>
              </w:rPr>
              <w:t>投产日期</w:t>
            </w:r>
          </w:p>
        </w:tc>
        <w:tc>
          <w:tcPr>
            <w:tcW w:w="2144" w:type="pct"/>
            <w:gridSpan w:val="3"/>
            <w:vAlign w:val="center"/>
          </w:tcPr>
          <w:p>
            <w:pPr>
              <w:spacing w:line="42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202</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w:t>
            </w:r>
            <w:r>
              <w:rPr>
                <w:rFonts w:ascii="Times New Roman" w:hAnsi="Times New Roman" w:eastAsia="宋体"/>
                <w:caps w:val="0"/>
                <w:color w:val="000000" w:themeColor="text1"/>
                <w:sz w:val="24"/>
                <w:highlight w:val="none"/>
                <w14:textFill>
                  <w14:solidFill>
                    <w14:schemeClr w14:val="tx1"/>
                  </w14:solidFill>
                </w14:textFill>
              </w:rPr>
              <w:t>年</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8</w:t>
            </w:r>
            <w:r>
              <w:rPr>
                <w:rFonts w:ascii="Times New Roman" w:hAnsi="Times New Roman" w:eastAsia="宋体"/>
                <w:caps w:val="0"/>
                <w:color w:val="000000" w:themeColor="text1"/>
                <w:sz w:val="24"/>
                <w:highlight w:val="none"/>
                <w14:textFill>
                  <w14:solidFill>
                    <w14:schemeClr w14:val="tx1"/>
                  </w14:solidFill>
                </w14:textFill>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5000" w:type="pct"/>
            <w:gridSpan w:val="7"/>
          </w:tcPr>
          <w:p>
            <w:pPr>
              <w:spacing w:line="460" w:lineRule="exact"/>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工程内容及规模</w:t>
            </w:r>
          </w:p>
          <w:p>
            <w:pPr>
              <w:spacing w:line="460" w:lineRule="exact"/>
              <w:ind w:firstLine="472" w:firstLineChars="196"/>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1、企业概况及项目由来</w:t>
            </w:r>
          </w:p>
          <w:p>
            <w:pPr>
              <w:pStyle w:val="10"/>
              <w:spacing w:line="360" w:lineRule="auto"/>
              <w:ind w:firstLine="472" w:firstLineChars="200"/>
              <w:rPr>
                <w:rFonts w:hint="eastAsia" w:ascii="Times New Roman" w:hAnsi="Times New Roman" w:eastAsia="宋体"/>
                <w:bCs/>
                <w:caps w:val="0"/>
                <w:color w:val="000000" w:themeColor="text1"/>
                <w:spacing w:val="-2"/>
                <w:kern w:val="0"/>
                <w:sz w:val="24"/>
                <w:highlight w:val="none"/>
                <w14:textFill>
                  <w14:solidFill>
                    <w14:schemeClr w14:val="tx1"/>
                  </w14:solidFill>
                </w14:textFill>
              </w:rPr>
            </w:pP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芜湖市金贸流体科技股份有限公司成立于2000年9月6日（以下简称“该公司”），是集科、工、贸及信息化一体的股份制企业，属新三板上市企业（证券代码：835120）、高新技术企业、国家知识产权优势企业、安徽省制造业信息化示范企业。该公司主要从事球墨铸铁、特种材质金属管件、快速连接器、阀门等各类流体工程产品及轨道交通关键零部件等研发、生产、销售。</w:t>
            </w:r>
          </w:p>
          <w:p>
            <w:pPr>
              <w:pStyle w:val="10"/>
              <w:spacing w:line="360" w:lineRule="auto"/>
              <w:ind w:firstLine="472" w:firstLineChars="200"/>
              <w:rPr>
                <w:rFonts w:hint="eastAsia" w:ascii="Times New Roman" w:hAnsi="Times New Roman" w:eastAsia="宋体"/>
                <w:bCs/>
                <w:caps w:val="0"/>
                <w:color w:val="000000" w:themeColor="text1"/>
                <w:spacing w:val="-2"/>
                <w:kern w:val="0"/>
                <w:sz w:val="24"/>
                <w:highlight w:val="none"/>
                <w14:textFill>
                  <w14:solidFill>
                    <w14:schemeClr w14:val="tx1"/>
                  </w14:solidFill>
                </w14:textFill>
              </w:rPr>
            </w:pP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为迎合市场需求，公司于2</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018</w:t>
            </w: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年投资28000万元建设“</w:t>
            </w:r>
            <w:r>
              <w:rPr>
                <w:rFonts w:hint="eastAsia" w:ascii="Times New Roman" w:hAnsi="Times New Roman" w:eastAsia="宋体"/>
                <w:color w:val="000000" w:themeColor="text1"/>
                <w:sz w:val="24"/>
                <w:highlight w:val="none"/>
                <w:lang w:val="en-US" w:eastAsia="zh-CN"/>
                <w14:textFill>
                  <w14:solidFill>
                    <w14:schemeClr w14:val="tx1"/>
                  </w14:solidFill>
                </w14:textFill>
              </w:rPr>
              <w:t>新型环保管件、阀门及轨道交通零部件加工生产基地项目</w:t>
            </w: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”，该项目于2018年4月28日获得</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繁昌县环境保护局</w:t>
            </w: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的批复（</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繁环审</w:t>
            </w: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[201</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8</w:t>
            </w: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16</w:t>
            </w: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号），并于20</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20</w:t>
            </w: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年</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11</w:t>
            </w: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月通过环保验收。</w:t>
            </w:r>
          </w:p>
          <w:p>
            <w:pPr>
              <w:pStyle w:val="10"/>
              <w:spacing w:line="360" w:lineRule="auto"/>
              <w:ind w:firstLine="472" w:firstLineChars="200"/>
              <w:rPr>
                <w:rFonts w:hint="eastAsia" w:ascii="Times New Roman" w:hAnsi="Times New Roman" w:eastAsia="宋体"/>
                <w:caps w:val="0"/>
                <w:color w:val="000000" w:themeColor="text1"/>
                <w:sz w:val="24"/>
                <w:highlight w:val="none"/>
                <w:lang w:eastAsia="zh-CN"/>
                <w14:textFill>
                  <w14:solidFill>
                    <w14:schemeClr w14:val="tx1"/>
                  </w14:solidFill>
                </w14:textFill>
              </w:rPr>
            </w:pP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为扩大产品规模，</w:t>
            </w:r>
            <w:r>
              <w:rPr>
                <w:rFonts w:hint="eastAsia" w:ascii="Times New Roman" w:hAnsi="Times New Roman" w:eastAsia="宋体"/>
                <w:bCs/>
                <w:caps w:val="0"/>
                <w:color w:val="000000" w:themeColor="text1"/>
                <w:spacing w:val="-2"/>
                <w:kern w:val="0"/>
                <w:sz w:val="24"/>
                <w:highlight w:val="none"/>
                <w14:textFill>
                  <w14:solidFill>
                    <w14:schemeClr w14:val="tx1"/>
                  </w14:solidFill>
                </w14:textFill>
              </w:rPr>
              <w:t>芜湖市金贸流体科技股份有限公司</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计划新建2号厂房，建设</w:t>
            </w:r>
            <w:r>
              <w:rPr>
                <w:rFonts w:hint="eastAsia" w:ascii="Times New Roman" w:hAnsi="Times New Roman" w:eastAsia="宋体"/>
                <w:caps w:val="0"/>
                <w:color w:val="000000" w:themeColor="text1"/>
                <w:sz w:val="24"/>
                <w:highlight w:val="none"/>
                <w14:textFill>
                  <w14:solidFill>
                    <w14:schemeClr w14:val="tx1"/>
                  </w14:solidFill>
                </w14:textFill>
              </w:rPr>
              <w:t>年产5000吨智能阀门精加工生产建设项目</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w:t>
            </w:r>
            <w:r>
              <w:rPr>
                <w:rFonts w:hint="default" w:ascii="Times New Roman" w:hAnsi="Times New Roman" w:eastAsia="宋体"/>
                <w:caps w:val="0"/>
                <w:color w:val="000000" w:themeColor="text1"/>
                <w:sz w:val="24"/>
                <w:highlight w:val="none"/>
                <w:lang w:val="en-US" w:eastAsia="zh-CN"/>
                <w14:textFill>
                  <w14:solidFill>
                    <w14:schemeClr w14:val="tx1"/>
                  </w14:solidFill>
                </w14:textFill>
              </w:rPr>
              <w:t>繁昌区发展和改革委员会</w:t>
            </w:r>
            <w:r>
              <w:rPr>
                <w:rFonts w:ascii="Times New Roman" w:hAnsi="Times New Roman" w:eastAsia="宋体"/>
                <w:bCs/>
                <w:caps w:val="0"/>
                <w:color w:val="000000" w:themeColor="text1"/>
                <w:spacing w:val="-2"/>
                <w:kern w:val="0"/>
                <w:sz w:val="24"/>
                <w:highlight w:val="none"/>
                <w14:textFill>
                  <w14:solidFill>
                    <w14:schemeClr w14:val="tx1"/>
                  </w14:solidFill>
                </w14:textFill>
              </w:rPr>
              <w:t>于20</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20</w:t>
            </w:r>
            <w:r>
              <w:rPr>
                <w:rFonts w:ascii="Times New Roman" w:hAnsi="Times New Roman" w:eastAsia="宋体"/>
                <w:bCs/>
                <w:caps w:val="0"/>
                <w:color w:val="000000" w:themeColor="text1"/>
                <w:spacing w:val="-2"/>
                <w:kern w:val="0"/>
                <w:sz w:val="24"/>
                <w:highlight w:val="none"/>
                <w14:textFill>
                  <w14:solidFill>
                    <w14:schemeClr w14:val="tx1"/>
                  </w14:solidFill>
                </w14:textFill>
              </w:rPr>
              <w:t>年</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12</w:t>
            </w:r>
            <w:r>
              <w:rPr>
                <w:rFonts w:ascii="Times New Roman" w:hAnsi="Times New Roman" w:eastAsia="宋体"/>
                <w:bCs/>
                <w:caps w:val="0"/>
                <w:color w:val="000000" w:themeColor="text1"/>
                <w:spacing w:val="-2"/>
                <w:kern w:val="0"/>
                <w:sz w:val="24"/>
                <w:highlight w:val="none"/>
                <w14:textFill>
                  <w14:solidFill>
                    <w14:schemeClr w14:val="tx1"/>
                  </w14:solidFill>
                </w14:textFill>
              </w:rPr>
              <w:t>月</w:t>
            </w:r>
            <w:r>
              <w:rPr>
                <w:rFonts w:hint="eastAsia" w:ascii="Times New Roman" w:hAnsi="Times New Roman" w:eastAsia="宋体"/>
                <w:bCs/>
                <w:caps w:val="0"/>
                <w:color w:val="000000" w:themeColor="text1"/>
                <w:spacing w:val="-2"/>
                <w:kern w:val="0"/>
                <w:sz w:val="24"/>
                <w:highlight w:val="none"/>
                <w:lang w:val="en-US" w:eastAsia="zh-CN"/>
                <w14:textFill>
                  <w14:solidFill>
                    <w14:schemeClr w14:val="tx1"/>
                  </w14:solidFill>
                </w14:textFill>
              </w:rPr>
              <w:t>3</w:t>
            </w:r>
            <w:r>
              <w:rPr>
                <w:rFonts w:ascii="Times New Roman" w:hAnsi="Times New Roman" w:eastAsia="宋体"/>
                <w:bCs/>
                <w:caps w:val="0"/>
                <w:color w:val="000000" w:themeColor="text1"/>
                <w:spacing w:val="-2"/>
                <w:kern w:val="0"/>
                <w:sz w:val="24"/>
                <w:highlight w:val="none"/>
                <w14:textFill>
                  <w14:solidFill>
                    <w14:schemeClr w14:val="tx1"/>
                  </w14:solidFill>
                </w14:textFill>
              </w:rPr>
              <w:t>日以</w:t>
            </w:r>
            <w:r>
              <w:rPr>
                <w:rFonts w:hint="eastAsia" w:ascii="Times New Roman" w:hAnsi="Times New Roman" w:eastAsia="宋体"/>
                <w:caps w:val="0"/>
                <w:color w:val="000000" w:themeColor="text1"/>
                <w:sz w:val="24"/>
                <w:highlight w:val="none"/>
                <w14:textFill>
                  <w14:solidFill>
                    <w14:schemeClr w14:val="tx1"/>
                  </w14:solidFill>
                </w14:textFill>
              </w:rPr>
              <w:t>发改告知[2020]148号</w:t>
            </w:r>
            <w:r>
              <w:rPr>
                <w:rFonts w:ascii="Times New Roman" w:hAnsi="Times New Roman" w:eastAsia="宋体"/>
                <w:bCs/>
                <w:caps w:val="0"/>
                <w:color w:val="000000" w:themeColor="text1"/>
                <w:spacing w:val="-2"/>
                <w:kern w:val="0"/>
                <w:sz w:val="24"/>
                <w:highlight w:val="none"/>
                <w14:textFill>
                  <w14:solidFill>
                    <w14:schemeClr w14:val="tx1"/>
                  </w14:solidFill>
                </w14:textFill>
              </w:rPr>
              <w:t>文对</w:t>
            </w:r>
            <w:r>
              <w:rPr>
                <w:rFonts w:hint="eastAsia" w:ascii="Times New Roman" w:hAnsi="Times New Roman" w:eastAsia="宋体"/>
                <w:caps w:val="0"/>
                <w:color w:val="000000" w:themeColor="text1"/>
                <w:sz w:val="24"/>
                <w:highlight w:val="none"/>
                <w14:textFill>
                  <w14:solidFill>
                    <w14:schemeClr w14:val="tx1"/>
                  </w14:solidFill>
                </w14:textFill>
              </w:rPr>
              <w:t>芜湖市金贸流体科技</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股份</w:t>
            </w:r>
            <w:r>
              <w:rPr>
                <w:rFonts w:hint="eastAsia" w:ascii="Times New Roman" w:hAnsi="Times New Roman" w:eastAsia="宋体"/>
                <w:caps w:val="0"/>
                <w:color w:val="000000" w:themeColor="text1"/>
                <w:sz w:val="24"/>
                <w:highlight w:val="none"/>
                <w14:textFill>
                  <w14:solidFill>
                    <w14:schemeClr w14:val="tx1"/>
                  </w14:solidFill>
                </w14:textFill>
              </w:rPr>
              <w:t>有限公司年产5000吨智能阀门精加工生产建设项目</w:t>
            </w:r>
            <w:r>
              <w:rPr>
                <w:rFonts w:ascii="Times New Roman" w:hAnsi="Times New Roman" w:eastAsia="宋体"/>
                <w:bCs/>
                <w:caps w:val="0"/>
                <w:color w:val="000000" w:themeColor="text1"/>
                <w:spacing w:val="-2"/>
                <w:kern w:val="0"/>
                <w:sz w:val="24"/>
                <w:highlight w:val="none"/>
                <w14:textFill>
                  <w14:solidFill>
                    <w14:schemeClr w14:val="tx1"/>
                  </w14:solidFill>
                </w14:textFill>
              </w:rPr>
              <w:t>予以登记备案</w:t>
            </w:r>
            <w:r>
              <w:rPr>
                <w:rFonts w:hint="eastAsia" w:ascii="Times New Roman" w:hAnsi="Times New Roman" w:eastAsia="宋体"/>
                <w:bCs/>
                <w:caps w:val="0"/>
                <w:color w:val="000000" w:themeColor="text1"/>
                <w:spacing w:val="-2"/>
                <w:kern w:val="0"/>
                <w:sz w:val="24"/>
                <w:highlight w:val="none"/>
                <w:lang w:eastAsia="zh-CN"/>
                <w14:textFill>
                  <w14:solidFill>
                    <w14:schemeClr w14:val="tx1"/>
                  </w14:solidFill>
                </w14:textFill>
              </w:rPr>
              <w:t>。</w:t>
            </w:r>
          </w:p>
          <w:p>
            <w:pPr>
              <w:pStyle w:val="1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按照《中华人民共和国环境影响评价法》和《建设项目环境保护管理条例》的有关规定，建设项目需履行环境影响评价手续；根据《国民经济行业分类》（GB/T 4754-2017），项目行业类别为</w:t>
            </w:r>
            <w:r>
              <w:rPr>
                <w:rFonts w:hint="eastAsia" w:ascii="Times New Roman" w:hAnsi="Times New Roman" w:eastAsia="宋体"/>
                <w:caps w:val="0"/>
                <w:color w:val="000000" w:themeColor="text1"/>
                <w:sz w:val="24"/>
                <w:highlight w:val="none"/>
                <w14:textFill>
                  <w14:solidFill>
                    <w14:schemeClr w14:val="tx1"/>
                  </w14:solidFill>
                </w14:textFill>
              </w:rPr>
              <w:t>阀门和旋塞制造（C3443）</w:t>
            </w:r>
            <w:r>
              <w:rPr>
                <w:rFonts w:ascii="Times New Roman" w:hAnsi="Times New Roman" w:eastAsia="宋体"/>
                <w:caps w:val="0"/>
                <w:color w:val="000000" w:themeColor="text1"/>
                <w:sz w:val="24"/>
                <w:highlight w:val="none"/>
                <w14:textFill>
                  <w14:solidFill>
                    <w14:schemeClr w14:val="tx1"/>
                  </w14:solidFill>
                </w14:textFill>
              </w:rPr>
              <w:t>；依据《建设项目环境影响评价分类管理名录》（2017年6月29日环境保护部令第44号）及《关于修改&lt;建设项目环境影响评价分类管理名录&gt;部分内容的决定》”（2018年4月28日生态环境部令第1号）的有关规定，本项目属于名录中“</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三</w:t>
            </w:r>
            <w:r>
              <w:rPr>
                <w:rFonts w:ascii="Times New Roman" w:hAnsi="Times New Roman" w:eastAsia="宋体"/>
                <w:caps w:val="0"/>
                <w:color w:val="000000" w:themeColor="text1"/>
                <w:sz w:val="24"/>
                <w:highlight w:val="none"/>
                <w14:textFill>
                  <w14:solidFill>
                    <w14:schemeClr w14:val="tx1"/>
                  </w14:solidFill>
                </w14:textFill>
              </w:rPr>
              <w:t>十、</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金属制品业</w:t>
            </w:r>
            <w:r>
              <w:rPr>
                <w:rFonts w:ascii="Times New Roman" w:hAnsi="Times New Roman" w:eastAsia="宋体"/>
                <w:caps w:val="0"/>
                <w:color w:val="000000" w:themeColor="text1"/>
                <w:sz w:val="24"/>
                <w:highlight w:val="none"/>
                <w14:textFill>
                  <w14:solidFill>
                    <w14:schemeClr w14:val="tx1"/>
                  </w14:solidFill>
                </w14:textFill>
              </w:rPr>
              <w:t>—6</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8</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铸造及其他金属制品制造</w:t>
            </w:r>
            <w:r>
              <w:rPr>
                <w:rFonts w:ascii="Times New Roman" w:hAnsi="Times New Roman" w:eastAsia="宋体"/>
                <w:caps w:val="0"/>
                <w:color w:val="000000" w:themeColor="text1"/>
                <w:sz w:val="24"/>
                <w:highlight w:val="none"/>
                <w14:textFill>
                  <w14:solidFill>
                    <w14:schemeClr w14:val="tx1"/>
                  </w14:solidFill>
                </w14:textFill>
              </w:rPr>
              <w:t>”中的“其他”；因此，该项目应编制环境影响报告表。本项目属于[</w:t>
            </w:r>
            <w:r>
              <w:rPr>
                <w:rFonts w:hint="eastAsia" w:ascii="Times New Roman" w:hAnsi="Times New Roman" w:eastAsia="宋体"/>
                <w:caps w:val="0"/>
                <w:color w:val="000000" w:themeColor="text1"/>
                <w:sz w:val="24"/>
                <w:highlight w:val="none"/>
                <w14:textFill>
                  <w14:solidFill>
                    <w14:schemeClr w14:val="tx1"/>
                  </w14:solidFill>
                </w14:textFill>
              </w:rPr>
              <w:t>C3443</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阀门和旋塞制造</w:t>
            </w:r>
            <w:r>
              <w:rPr>
                <w:rFonts w:ascii="Times New Roman" w:hAnsi="Times New Roman" w:eastAsia="宋体"/>
                <w:caps w:val="0"/>
                <w:color w:val="000000" w:themeColor="text1"/>
                <w:sz w:val="24"/>
                <w:highlight w:val="none"/>
                <w14:textFill>
                  <w14:solidFill>
                    <w14:schemeClr w14:val="tx1"/>
                  </w14:solidFill>
                </w14:textFill>
              </w:rPr>
              <w:t>，对照《固定污染源排污许可分类管理名录》（2019年版），本项目属于《名录》第二十八项“金属制品业33”中“第82号—</w:t>
            </w:r>
            <w:r>
              <w:rPr>
                <w:rFonts w:hint="eastAsia" w:ascii="Times New Roman" w:hAnsi="Times New Roman" w:eastAsia="宋体"/>
                <w:caps w:val="0"/>
                <w:color w:val="000000" w:themeColor="text1"/>
                <w:sz w:val="24"/>
                <w:highlight w:val="none"/>
                <w14:textFill>
                  <w14:solidFill>
                    <w14:schemeClr w14:val="tx1"/>
                  </w14:solidFill>
                </w14:textFill>
              </w:rPr>
              <w:t>铸造及其他金属制品制造</w:t>
            </w:r>
            <w:r>
              <w:rPr>
                <w:rFonts w:ascii="Times New Roman" w:hAnsi="Times New Roman" w:eastAsia="宋体"/>
                <w:caps w:val="0"/>
                <w:color w:val="000000" w:themeColor="text1"/>
                <w:sz w:val="24"/>
                <w:highlight w:val="none"/>
                <w14:textFill>
                  <w14:solidFill>
                    <w14:schemeClr w14:val="tx1"/>
                  </w14:solidFill>
                </w14:textFill>
              </w:rPr>
              <w:t>339”</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中其他</w:t>
            </w:r>
            <w:r>
              <w:rPr>
                <w:rFonts w:ascii="Times New Roman" w:hAnsi="Times New Roman" w:eastAsia="宋体"/>
                <w:caps w:val="0"/>
                <w:color w:val="000000" w:themeColor="text1"/>
                <w:sz w:val="24"/>
                <w:highlight w:val="none"/>
                <w14:textFill>
                  <w14:solidFill>
                    <w14:schemeClr w14:val="tx1"/>
                  </w14:solidFill>
                </w14:textFill>
              </w:rPr>
              <w:t>，属于排污许可中“</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登记</w:t>
            </w:r>
            <w:r>
              <w:rPr>
                <w:rFonts w:ascii="Times New Roman" w:hAnsi="Times New Roman" w:eastAsia="宋体"/>
                <w:caps w:val="0"/>
                <w:color w:val="000000" w:themeColor="text1"/>
                <w:sz w:val="24"/>
                <w:highlight w:val="none"/>
                <w14:textFill>
                  <w14:solidFill>
                    <w14:schemeClr w14:val="tx1"/>
                  </w14:solidFill>
                </w14:textFill>
              </w:rPr>
              <w:t>管理”。</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受</w:t>
            </w:r>
            <w:r>
              <w:rPr>
                <w:rFonts w:hint="eastAsia" w:ascii="Times New Roman" w:hAnsi="Times New Roman" w:eastAsia="宋体"/>
                <w:caps w:val="0"/>
                <w:color w:val="000000" w:themeColor="text1"/>
                <w:sz w:val="24"/>
                <w:highlight w:val="none"/>
                <w14:textFill>
                  <w14:solidFill>
                    <w14:schemeClr w14:val="tx1"/>
                  </w14:solidFill>
                </w14:textFill>
              </w:rPr>
              <w:t>芜湖市金贸流体科技</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股份</w:t>
            </w:r>
            <w:r>
              <w:rPr>
                <w:rFonts w:hint="eastAsia" w:ascii="Times New Roman" w:hAnsi="Times New Roman" w:eastAsia="宋体"/>
                <w:caps w:val="0"/>
                <w:color w:val="000000" w:themeColor="text1"/>
                <w:sz w:val="24"/>
                <w:highlight w:val="none"/>
                <w14:textFill>
                  <w14:solidFill>
                    <w14:schemeClr w14:val="tx1"/>
                  </w14:solidFill>
                </w14:textFill>
              </w:rPr>
              <w:t>有限公司</w:t>
            </w:r>
            <w:r>
              <w:rPr>
                <w:rFonts w:ascii="Times New Roman" w:hAnsi="Times New Roman" w:eastAsia="宋体"/>
                <w:bCs/>
                <w:caps w:val="0"/>
                <w:color w:val="000000" w:themeColor="text1"/>
                <w:kern w:val="0"/>
                <w:sz w:val="24"/>
                <w:highlight w:val="none"/>
                <w14:textFill>
                  <w14:solidFill>
                    <w14:schemeClr w14:val="tx1"/>
                  </w14:solidFill>
                </w14:textFill>
              </w:rPr>
              <w:t>的</w:t>
            </w:r>
            <w:r>
              <w:rPr>
                <w:rFonts w:ascii="Times New Roman" w:hAnsi="Times New Roman" w:eastAsia="宋体"/>
                <w:caps w:val="0"/>
                <w:color w:val="000000" w:themeColor="text1"/>
                <w:sz w:val="24"/>
                <w:highlight w:val="none"/>
                <w14:textFill>
                  <w14:solidFill>
                    <w14:schemeClr w14:val="tx1"/>
                  </w14:solidFill>
                </w14:textFill>
              </w:rPr>
              <w:t>委托，</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我</w:t>
            </w:r>
            <w:r>
              <w:rPr>
                <w:rFonts w:ascii="Times New Roman" w:hAnsi="Times New Roman" w:eastAsia="宋体"/>
                <w:caps w:val="0"/>
                <w:color w:val="000000" w:themeColor="text1"/>
                <w:sz w:val="24"/>
                <w:highlight w:val="none"/>
                <w14:textFill>
                  <w14:solidFill>
                    <w14:schemeClr w14:val="tx1"/>
                  </w14:solidFill>
                </w14:textFill>
              </w:rPr>
              <w:t>公司承担了本项目环境影响评价工作。</w:t>
            </w:r>
            <w:r>
              <w:rPr>
                <w:rFonts w:hint="eastAsia" w:ascii="Times New Roman" w:hAnsi="Times New Roman" w:eastAsia="宋体"/>
                <w:bCs/>
                <w:caps w:val="0"/>
                <w:color w:val="000000" w:themeColor="text1"/>
                <w:sz w:val="24"/>
                <w:highlight w:val="none"/>
                <w:lang w:val="en-US" w:eastAsia="zh-CN"/>
                <w14:textFill>
                  <w14:solidFill>
                    <w14:schemeClr w14:val="tx1"/>
                  </w14:solidFill>
                </w14:textFill>
              </w:rPr>
              <w:t>我</w:t>
            </w:r>
            <w:r>
              <w:rPr>
                <w:rFonts w:ascii="Times New Roman" w:hAnsi="Times New Roman" w:eastAsia="宋体"/>
                <w:bCs/>
                <w:caps w:val="0"/>
                <w:color w:val="000000" w:themeColor="text1"/>
                <w:sz w:val="24"/>
                <w:highlight w:val="none"/>
                <w14:textFill>
                  <w14:solidFill>
                    <w14:schemeClr w14:val="tx1"/>
                  </w14:solidFill>
                </w14:textFill>
              </w:rPr>
              <w:t>公司</w:t>
            </w:r>
            <w:r>
              <w:rPr>
                <w:rFonts w:ascii="Times New Roman" w:hAnsi="Times New Roman" w:eastAsia="宋体"/>
                <w:caps w:val="0"/>
                <w:color w:val="000000" w:themeColor="text1"/>
                <w:sz w:val="24"/>
                <w:highlight w:val="none"/>
                <w14:textFill>
                  <w14:solidFill>
                    <w14:schemeClr w14:val="tx1"/>
                  </w14:solidFill>
                </w14:textFill>
              </w:rPr>
              <w:t>接受委托后，迅速进行了现场踏勘、调研，对建设工程进行了全面调查，确定本次环评目的是在了解建设项目厂址周围环境特点和污染物排放特征的基础上，分析预测项目建设过程中以及投入运营对周围环境的影响程度、影响范围以及环境质量可能发生的变化；同时结合实际，依据国家、安徽省环境保护有关法律法规、标准和当地环境功能的要求，规定实行达标排放的污染防治措施，从环境保护角度分析工程建设的可行性，为建设项目工程设计方案的确定以及管理提供科学的依据。</w:t>
            </w:r>
          </w:p>
          <w:p>
            <w:pPr>
              <w:spacing w:line="460" w:lineRule="exact"/>
              <w:ind w:firstLine="482" w:firstLineChars="200"/>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2、地理位置及周边关系</w:t>
            </w:r>
          </w:p>
          <w:p>
            <w:pPr>
              <w:adjustRightInd w:val="0"/>
              <w:spacing w:line="360" w:lineRule="auto"/>
              <w:ind w:firstLine="480" w:firstLineChars="200"/>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snapToGrid w:val="0"/>
                <w:color w:val="000000" w:themeColor="text1"/>
                <w:kern w:val="0"/>
                <w:sz w:val="24"/>
                <w:highlight w:val="none"/>
                <w14:textFill>
                  <w14:solidFill>
                    <w14:schemeClr w14:val="tx1"/>
                  </w14:solidFill>
                </w14:textFill>
              </w:rPr>
              <w:t>本项目位于</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繁昌经济开发区孙村园区</w:t>
            </w:r>
            <w:r>
              <w:rPr>
                <w:rFonts w:ascii="Times New Roman" w:hAnsi="Times New Roman" w:eastAsia="宋体"/>
                <w:bCs/>
                <w:caps w:val="0"/>
                <w:color w:val="000000" w:themeColor="text1"/>
                <w:kern w:val="0"/>
                <w:sz w:val="24"/>
                <w:highlight w:val="none"/>
                <w14:textFill>
                  <w14:solidFill>
                    <w14:schemeClr w14:val="tx1"/>
                  </w14:solidFill>
                </w14:textFill>
              </w:rPr>
              <w:t>。本项目所在厂区中心坐标为：东经</w:t>
            </w:r>
            <w:r>
              <w:rPr>
                <w:rFonts w:hint="eastAsia" w:ascii="Times New Roman" w:hAnsi="Times New Roman" w:eastAsia="宋体"/>
                <w:bCs/>
                <w:caps w:val="0"/>
                <w:color w:val="000000" w:themeColor="text1"/>
                <w:kern w:val="0"/>
                <w:sz w:val="24"/>
                <w:highlight w:val="none"/>
                <w14:textFill>
                  <w14:solidFill>
                    <w14:schemeClr w14:val="tx1"/>
                  </w14:solidFill>
                </w14:textFill>
              </w:rPr>
              <w:t>118.09111834</w:t>
            </w:r>
            <w:r>
              <w:rPr>
                <w:rFonts w:ascii="Times New Roman" w:hAnsi="Times New Roman" w:eastAsia="宋体"/>
                <w:bCs/>
                <w:caps w:val="0"/>
                <w:color w:val="000000" w:themeColor="text1"/>
                <w:kern w:val="0"/>
                <w:sz w:val="24"/>
                <w:highlight w:val="none"/>
                <w14:textFill>
                  <w14:solidFill>
                    <w14:schemeClr w14:val="tx1"/>
                  </w14:solidFill>
                </w14:textFill>
              </w:rPr>
              <w:t>°、北纬</w:t>
            </w:r>
            <w:r>
              <w:rPr>
                <w:rFonts w:hint="eastAsia" w:ascii="Times New Roman" w:hAnsi="Times New Roman" w:eastAsia="宋体"/>
                <w:bCs/>
                <w:caps w:val="0"/>
                <w:color w:val="000000" w:themeColor="text1"/>
                <w:kern w:val="0"/>
                <w:sz w:val="24"/>
                <w:highlight w:val="none"/>
                <w14:textFill>
                  <w14:solidFill>
                    <w14:schemeClr w14:val="tx1"/>
                  </w14:solidFill>
                </w14:textFill>
              </w:rPr>
              <w:t>31.03601130</w:t>
            </w:r>
            <w:r>
              <w:rPr>
                <w:rFonts w:ascii="Times New Roman" w:hAnsi="Times New Roman" w:eastAsia="宋体"/>
                <w:bCs/>
                <w:caps w:val="0"/>
                <w:color w:val="000000" w:themeColor="text1"/>
                <w:kern w:val="0"/>
                <w:sz w:val="24"/>
                <w:highlight w:val="none"/>
                <w14:textFill>
                  <w14:solidFill>
                    <w14:schemeClr w14:val="tx1"/>
                  </w14:solidFill>
                </w14:textFill>
              </w:rPr>
              <w:t>°；</w:t>
            </w:r>
            <w:r>
              <w:rPr>
                <w:rFonts w:hint="eastAsia" w:ascii="Times New Roman" w:hAnsi="Times New Roman" w:eastAsia="宋体"/>
                <w:color w:val="000000" w:themeColor="text1"/>
                <w:sz w:val="24"/>
                <w:highlight w:val="none"/>
                <w14:textFill>
                  <w14:solidFill>
                    <w14:schemeClr w14:val="tx1"/>
                  </w14:solidFill>
                </w14:textFill>
              </w:rPr>
              <w:t>项目东侧为</w:t>
            </w:r>
            <w:r>
              <w:rPr>
                <w:rFonts w:hint="eastAsia" w:ascii="Times New Roman" w:hAnsi="Times New Roman" w:eastAsia="宋体"/>
                <w:color w:val="000000" w:themeColor="text1"/>
                <w:sz w:val="24"/>
                <w:highlight w:val="none"/>
                <w:lang w:val="en-US" w:eastAsia="zh-CN"/>
                <w14:textFill>
                  <w14:solidFill>
                    <w14:schemeClr w14:val="tx1"/>
                  </w14:solidFill>
                </w14:textFill>
              </w:rPr>
              <w:t>居民房</w:t>
            </w:r>
            <w:r>
              <w:rPr>
                <w:rFonts w:hint="eastAsia" w:ascii="Times New Roman" w:hAnsi="Times New Roman" w:eastAsia="宋体"/>
                <w:color w:val="000000" w:themeColor="text1"/>
                <w:sz w:val="24"/>
                <w:highlight w:val="none"/>
                <w14:textFill>
                  <w14:solidFill>
                    <w14:schemeClr w14:val="tx1"/>
                  </w14:solidFill>
                </w14:textFill>
              </w:rPr>
              <w:t>，南侧</w:t>
            </w:r>
            <w:r>
              <w:rPr>
                <w:rFonts w:hint="eastAsia" w:ascii="Times New Roman" w:hAnsi="Times New Roman" w:eastAsia="宋体"/>
                <w:color w:val="000000" w:themeColor="text1"/>
                <w:sz w:val="24"/>
                <w:highlight w:val="none"/>
                <w:lang w:val="en-US" w:eastAsia="zh-CN"/>
                <w14:textFill>
                  <w14:solidFill>
                    <w14:schemeClr w14:val="tx1"/>
                  </w14:solidFill>
                </w14:textFill>
              </w:rPr>
              <w:t>芜铜路，隔路为芜湖市强盛喷织科技有限责任公司</w:t>
            </w:r>
            <w:r>
              <w:rPr>
                <w:rFonts w:hint="eastAsia" w:ascii="Times New Roman" w:hAnsi="Times New Roman" w:eastAsia="宋体"/>
                <w:color w:val="000000" w:themeColor="text1"/>
                <w:sz w:val="24"/>
                <w:highlight w:val="none"/>
                <w14:textFill>
                  <w14:solidFill>
                    <w14:schemeClr w14:val="tx1"/>
                  </w14:solidFill>
                </w14:textFill>
              </w:rPr>
              <w:t>，西侧为</w:t>
            </w:r>
            <w:r>
              <w:rPr>
                <w:rFonts w:hint="eastAsia" w:ascii="Times New Roman" w:hAnsi="Times New Roman" w:eastAsia="宋体"/>
                <w:color w:val="000000" w:themeColor="text1"/>
                <w:sz w:val="24"/>
                <w:highlight w:val="none"/>
                <w:lang w:val="en-US" w:eastAsia="zh-CN"/>
                <w14:textFill>
                  <w14:solidFill>
                    <w14:schemeClr w14:val="tx1"/>
                  </w14:solidFill>
                </w14:textFill>
              </w:rPr>
              <w:t>芜湖市华邦流体科技有限公司</w:t>
            </w:r>
            <w:r>
              <w:rPr>
                <w:rFonts w:hint="eastAsia" w:ascii="Times New Roman" w:hAnsi="Times New Roman" w:eastAsia="宋体"/>
                <w:color w:val="000000" w:themeColor="text1"/>
                <w:sz w:val="24"/>
                <w:highlight w:val="none"/>
                <w14:textFill>
                  <w14:solidFill>
                    <w14:schemeClr w14:val="tx1"/>
                  </w14:solidFill>
                </w14:textFill>
              </w:rPr>
              <w:t>，北侧</w:t>
            </w:r>
            <w:r>
              <w:rPr>
                <w:rFonts w:hint="eastAsia" w:ascii="Times New Roman" w:hAnsi="Times New Roman" w:eastAsia="宋体"/>
                <w:color w:val="000000" w:themeColor="text1"/>
                <w:sz w:val="24"/>
                <w:highlight w:val="none"/>
                <w:lang w:val="en-US" w:eastAsia="zh-CN"/>
                <w14:textFill>
                  <w14:solidFill>
                    <w14:schemeClr w14:val="tx1"/>
                  </w14:solidFill>
                </w14:textFill>
              </w:rPr>
              <w:t>芜湖澳达木业有限公司</w:t>
            </w:r>
            <w:r>
              <w:rPr>
                <w:rFonts w:ascii="Times New Roman" w:hAnsi="Times New Roman" w:eastAsia="宋体"/>
                <w:caps w:val="0"/>
                <w:color w:val="000000" w:themeColor="text1"/>
                <w:sz w:val="24"/>
                <w:highlight w:val="none"/>
                <w14:textFill>
                  <w14:solidFill>
                    <w14:schemeClr w14:val="tx1"/>
                  </w14:solidFill>
                </w14:textFill>
              </w:rPr>
              <w:t>。项目地理位置详见附图1、</w:t>
            </w:r>
            <w:r>
              <w:rPr>
                <w:rFonts w:ascii="Times New Roman" w:hAnsi="Times New Roman" w:eastAsia="宋体"/>
                <w:caps w:val="0"/>
                <w:color w:val="000000" w:themeColor="text1"/>
                <w:kern w:val="0"/>
                <w:sz w:val="24"/>
                <w:highlight w:val="none"/>
                <w14:textFill>
                  <w14:solidFill>
                    <w14:schemeClr w14:val="tx1"/>
                  </w14:solidFill>
                </w14:textFill>
              </w:rPr>
              <w:t>周边概况图见附图</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2</w:t>
            </w:r>
            <w:r>
              <w:rPr>
                <w:rFonts w:ascii="Times New Roman" w:hAnsi="Times New Roman" w:eastAsia="宋体"/>
                <w:caps w:val="0"/>
                <w:color w:val="000000" w:themeColor="text1"/>
                <w:kern w:val="0"/>
                <w:sz w:val="24"/>
                <w:highlight w:val="none"/>
                <w14:textFill>
                  <w14:solidFill>
                    <w14:schemeClr w14:val="tx1"/>
                  </w14:solidFill>
                </w14:textFill>
              </w:rPr>
              <w:t>。</w:t>
            </w:r>
          </w:p>
          <w:p>
            <w:pPr>
              <w:spacing w:line="460" w:lineRule="exact"/>
              <w:ind w:firstLine="482" w:firstLineChars="200"/>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3、工程建设内容及规模</w:t>
            </w:r>
          </w:p>
          <w:p>
            <w:pPr>
              <w:spacing w:line="460" w:lineRule="exact"/>
              <w:ind w:firstLine="48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（1）工程基本情况</w:t>
            </w:r>
          </w:p>
          <w:p>
            <w:pPr>
              <w:tabs>
                <w:tab w:val="left" w:pos="405"/>
              </w:tabs>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①</w:t>
            </w:r>
            <w:r>
              <w:rPr>
                <w:rFonts w:ascii="Times New Roman" w:hAnsi="Times New Roman" w:eastAsia="宋体"/>
                <w:caps w:val="0"/>
                <w:color w:val="000000" w:themeColor="text1"/>
                <w:sz w:val="24"/>
                <w:highlight w:val="none"/>
                <w14:textFill>
                  <w14:solidFill>
                    <w14:schemeClr w14:val="tx1"/>
                  </w14:solidFill>
                </w14:textFill>
              </w:rPr>
              <w:t>项目名称：</w:t>
            </w:r>
            <w:r>
              <w:rPr>
                <w:rFonts w:hint="eastAsia" w:ascii="Times New Roman" w:hAnsi="Times New Roman" w:eastAsia="宋体"/>
                <w:caps w:val="0"/>
                <w:color w:val="000000" w:themeColor="text1"/>
                <w:sz w:val="24"/>
                <w:highlight w:val="none"/>
                <w14:textFill>
                  <w14:solidFill>
                    <w14:schemeClr w14:val="tx1"/>
                  </w14:solidFill>
                </w14:textFill>
              </w:rPr>
              <w:t>年产5000吨智能阀门精加工生产建设项目</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②</w:t>
            </w:r>
            <w:r>
              <w:rPr>
                <w:rFonts w:ascii="Times New Roman" w:hAnsi="Times New Roman" w:eastAsia="宋体"/>
                <w:caps w:val="0"/>
                <w:color w:val="000000" w:themeColor="text1"/>
                <w:sz w:val="24"/>
                <w:highlight w:val="none"/>
                <w14:textFill>
                  <w14:solidFill>
                    <w14:schemeClr w14:val="tx1"/>
                  </w14:solidFill>
                </w14:textFill>
              </w:rPr>
              <w:t>建设单位：</w:t>
            </w:r>
            <w:r>
              <w:rPr>
                <w:rFonts w:hint="eastAsia" w:ascii="Times New Roman" w:hAnsi="Times New Roman" w:eastAsia="宋体"/>
                <w:caps w:val="0"/>
                <w:color w:val="000000" w:themeColor="text1"/>
                <w:sz w:val="24"/>
                <w:highlight w:val="none"/>
                <w14:textFill>
                  <w14:solidFill>
                    <w14:schemeClr w14:val="tx1"/>
                  </w14:solidFill>
                </w14:textFill>
              </w:rPr>
              <w:t>芜湖市金贸流体科技股份有限公司</w:t>
            </w:r>
          </w:p>
          <w:p>
            <w:pPr>
              <w:spacing w:line="360" w:lineRule="auto"/>
              <w:ind w:firstLine="480" w:firstLineChars="200"/>
              <w:rPr>
                <w:rFonts w:hint="eastAsia" w:ascii="Times New Roman" w:hAnsi="Times New Roman" w:eastAsia="宋体"/>
                <w:caps w:val="0"/>
                <w:color w:val="000000" w:themeColor="text1"/>
                <w:sz w:val="24"/>
                <w:highlight w:val="none"/>
                <w:lang w:eastAsia="zh-CN"/>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③</w:t>
            </w:r>
            <w:r>
              <w:rPr>
                <w:rFonts w:ascii="Times New Roman" w:hAnsi="Times New Roman" w:eastAsia="宋体"/>
                <w:caps w:val="0"/>
                <w:color w:val="000000" w:themeColor="text1"/>
                <w:sz w:val="24"/>
                <w:highlight w:val="none"/>
                <w14:textFill>
                  <w14:solidFill>
                    <w14:schemeClr w14:val="tx1"/>
                  </w14:solidFill>
                </w14:textFill>
              </w:rPr>
              <w:t>建设性质：</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改扩建</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④</w:t>
            </w:r>
            <w:r>
              <w:rPr>
                <w:rFonts w:ascii="Times New Roman" w:hAnsi="Times New Roman" w:eastAsia="宋体"/>
                <w:caps w:val="0"/>
                <w:color w:val="000000" w:themeColor="text1"/>
                <w:sz w:val="24"/>
                <w:highlight w:val="none"/>
                <w14:textFill>
                  <w14:solidFill>
                    <w14:schemeClr w14:val="tx1"/>
                  </w14:solidFill>
                </w14:textFill>
              </w:rPr>
              <w:t>行业类别及代码：</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C3443</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阀门和旋塞制造</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⑤</w:t>
            </w:r>
            <w:r>
              <w:rPr>
                <w:rFonts w:ascii="Times New Roman" w:hAnsi="Times New Roman" w:eastAsia="宋体"/>
                <w:caps w:val="0"/>
                <w:color w:val="000000" w:themeColor="text1"/>
                <w:sz w:val="24"/>
                <w:highlight w:val="none"/>
                <w14:textFill>
                  <w14:solidFill>
                    <w14:schemeClr w14:val="tx1"/>
                  </w14:solidFill>
                </w14:textFill>
              </w:rPr>
              <w:t>总投资：本项目总投资</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8022</w:t>
            </w:r>
            <w:r>
              <w:rPr>
                <w:rFonts w:ascii="Times New Roman" w:hAnsi="Times New Roman" w:eastAsia="宋体"/>
                <w:caps w:val="0"/>
                <w:color w:val="000000" w:themeColor="text1"/>
                <w:sz w:val="24"/>
                <w:highlight w:val="none"/>
                <w14:textFill>
                  <w14:solidFill>
                    <w14:schemeClr w14:val="tx1"/>
                  </w14:solidFill>
                </w14:textFill>
              </w:rPr>
              <w:t>万元</w:t>
            </w:r>
          </w:p>
          <w:p>
            <w:pPr>
              <w:spacing w:line="360" w:lineRule="auto"/>
              <w:ind w:firstLine="436" w:firstLineChars="182"/>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⑥</w:t>
            </w:r>
            <w:r>
              <w:rPr>
                <w:rFonts w:ascii="Times New Roman" w:hAnsi="Times New Roman" w:eastAsia="宋体"/>
                <w:caps w:val="0"/>
                <w:color w:val="000000" w:themeColor="text1"/>
                <w:sz w:val="24"/>
                <w:highlight w:val="none"/>
                <w14:textFill>
                  <w14:solidFill>
                    <w14:schemeClr w14:val="tx1"/>
                  </w14:solidFill>
                </w14:textFill>
              </w:rPr>
              <w:t>建设地点：</w:t>
            </w:r>
            <w:r>
              <w:rPr>
                <w:rFonts w:hint="eastAsia" w:ascii="Times New Roman" w:hAnsi="Times New Roman" w:eastAsia="宋体"/>
                <w:caps w:val="0"/>
                <w:color w:val="000000" w:themeColor="text1"/>
                <w:sz w:val="24"/>
                <w:highlight w:val="none"/>
                <w14:textFill>
                  <w14:solidFill>
                    <w14:schemeClr w14:val="tx1"/>
                  </w14:solidFill>
                </w14:textFill>
              </w:rPr>
              <w:t>繁昌经济开发区孙村园区</w:t>
            </w:r>
          </w:p>
          <w:p>
            <w:pPr>
              <w:spacing w:line="460" w:lineRule="exact"/>
              <w:ind w:firstLine="48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（2）工程建设内容</w:t>
            </w:r>
          </w:p>
          <w:p>
            <w:pPr>
              <w:spacing w:line="460" w:lineRule="exact"/>
              <w:ind w:firstLine="48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bCs/>
                <w:caps w:val="0"/>
                <w:color w:val="000000" w:themeColor="text1"/>
                <w:sz w:val="24"/>
                <w:highlight w:val="none"/>
                <w14:textFill>
                  <w14:solidFill>
                    <w14:schemeClr w14:val="tx1"/>
                  </w14:solidFill>
                </w14:textFill>
              </w:rPr>
              <w:t>项目占地面积</w:t>
            </w:r>
            <w:r>
              <w:rPr>
                <w:rFonts w:hint="eastAsia" w:ascii="Times New Roman" w:hAnsi="Times New Roman" w:eastAsia="宋体"/>
                <w:bCs/>
                <w:caps w:val="0"/>
                <w:color w:val="000000" w:themeColor="text1"/>
                <w:sz w:val="24"/>
                <w:highlight w:val="none"/>
                <w:lang w:val="en-US" w:eastAsia="zh-CN"/>
                <w14:textFill>
                  <w14:solidFill>
                    <w14:schemeClr w14:val="tx1"/>
                  </w14:solidFill>
                </w14:textFill>
              </w:rPr>
              <w:t>约</w:t>
            </w:r>
            <w:r>
              <w:rPr>
                <w:rFonts w:hint="eastAsia" w:ascii="Times New Roman" w:hAnsi="Times New Roman" w:eastAsia="宋体"/>
                <w:bCs/>
                <w:caps w:val="0"/>
                <w:color w:val="000000" w:themeColor="text1"/>
                <w:sz w:val="24"/>
                <w:highlight w:val="none"/>
                <w:lang w:val="en-US" w:eastAsia="zh-CN"/>
                <w14:textFill>
                  <w14:solidFill>
                    <w14:schemeClr w14:val="tx1"/>
                  </w14:solidFill>
                </w14:textFill>
              </w:rPr>
              <w:t>9394m</w:t>
            </w:r>
            <w:r>
              <w:rPr>
                <w:rFonts w:hint="eastAsia" w:ascii="Times New Roman" w:hAnsi="Times New Roman" w:eastAsia="宋体"/>
                <w:bCs/>
                <w:caps w:val="0"/>
                <w:color w:val="000000" w:themeColor="text1"/>
                <w:sz w:val="24"/>
                <w:highlight w:val="none"/>
                <w:vertAlign w:val="superscript"/>
                <w:lang w:val="en-US" w:eastAsia="zh-CN"/>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w:t>
            </w:r>
            <w:r>
              <w:rPr>
                <w:rFonts w:ascii="Times New Roman" w:hAnsi="Times New Roman" w:eastAsia="宋体"/>
                <w:bCs/>
                <w:caps w:val="0"/>
                <w:color w:val="000000" w:themeColor="text1"/>
                <w:sz w:val="24"/>
                <w:highlight w:val="none"/>
                <w14:textFill>
                  <w14:solidFill>
                    <w14:schemeClr w14:val="tx1"/>
                  </w14:solidFill>
                </w14:textFill>
              </w:rPr>
              <w:t>项目</w:t>
            </w:r>
            <w:r>
              <w:rPr>
                <w:rFonts w:ascii="Times New Roman" w:hAnsi="Times New Roman" w:eastAsia="宋体"/>
                <w:caps w:val="0"/>
                <w:color w:val="000000" w:themeColor="text1"/>
                <w:sz w:val="24"/>
                <w:highlight w:val="none"/>
                <w14:textFill>
                  <w14:solidFill>
                    <w14:schemeClr w14:val="tx1"/>
                  </w14:solidFill>
                </w14:textFill>
              </w:rPr>
              <w:t>主要工程内容及规模见表1-1：</w:t>
            </w:r>
          </w:p>
          <w:p>
            <w:pPr>
              <w:pStyle w:val="89"/>
              <w:spacing w:line="480" w:lineRule="exact"/>
              <w:ind w:firstLine="0"/>
              <w:jc w:val="center"/>
              <w:rPr>
                <w:rFonts w:ascii="Times New Roman" w:hAnsi="Times New Roman" w:eastAsia="宋体"/>
                <w:b/>
                <w:bCs/>
                <w:caps w:val="0"/>
                <w:color w:val="000000" w:themeColor="text1"/>
                <w:kern w:val="2"/>
                <w:sz w:val="24"/>
                <w:szCs w:val="24"/>
                <w:highlight w:val="none"/>
                <w14:textFill>
                  <w14:solidFill>
                    <w14:schemeClr w14:val="tx1"/>
                  </w14:solidFill>
                </w14:textFill>
              </w:rPr>
            </w:pPr>
            <w:r>
              <w:rPr>
                <w:rFonts w:ascii="Times New Roman" w:hAnsi="Times New Roman" w:eastAsia="宋体"/>
                <w:b/>
                <w:bCs/>
                <w:caps w:val="0"/>
                <w:color w:val="000000" w:themeColor="text1"/>
                <w:kern w:val="2"/>
                <w:sz w:val="24"/>
                <w:szCs w:val="24"/>
                <w:highlight w:val="none"/>
                <w14:textFill>
                  <w14:solidFill>
                    <w14:schemeClr w14:val="tx1"/>
                  </w14:solidFill>
                </w14:textFill>
              </w:rPr>
              <w:t>表1-1   建设项目组成一览表</w:t>
            </w:r>
          </w:p>
          <w:tbl>
            <w:tblPr>
              <w:tblStyle w:val="32"/>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672"/>
              <w:gridCol w:w="2911"/>
              <w:gridCol w:w="3991"/>
              <w:gridCol w:w="791"/>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366" w:type="pct"/>
                  <w:vMerge w:val="restart"/>
                  <w:tcBorders>
                    <w:tl2br w:val="nil"/>
                    <w:tr2bl w:val="nil"/>
                  </w:tcBorders>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类别</w:t>
                  </w:r>
                </w:p>
              </w:tc>
              <w:tc>
                <w:tcPr>
                  <w:tcW w:w="372" w:type="pct"/>
                  <w:vMerge w:val="restart"/>
                  <w:tcBorders>
                    <w:tl2br w:val="nil"/>
                    <w:tr2bl w:val="nil"/>
                  </w:tcBorders>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工程名称</w:t>
                  </w:r>
                </w:p>
              </w:tc>
              <w:tc>
                <w:tcPr>
                  <w:tcW w:w="3822" w:type="pct"/>
                  <w:gridSpan w:val="2"/>
                  <w:tcBorders>
                    <w:tl2br w:val="nil"/>
                    <w:tr2bl w:val="nil"/>
                  </w:tcBorders>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建设内容</w:t>
                  </w:r>
                </w:p>
              </w:tc>
              <w:tc>
                <w:tcPr>
                  <w:tcW w:w="438" w:type="pct"/>
                  <w:vMerge w:val="restart"/>
                  <w:tcBorders>
                    <w:tl2br w:val="nil"/>
                    <w:tr2bl w:val="nil"/>
                  </w:tcBorders>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备注</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66" w:type="pct"/>
                  <w:vMerge w:val="continue"/>
                  <w:tcBorders>
                    <w:tl2br w:val="nil"/>
                    <w:tr2bl w:val="nil"/>
                  </w:tcBorders>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372" w:type="pct"/>
                  <w:vMerge w:val="continue"/>
                  <w:tcBorders>
                    <w:bottom w:val="single" w:color="auto" w:sz="4" w:space="0"/>
                    <w:tl2br w:val="nil"/>
                    <w:tr2bl w:val="nil"/>
                  </w:tcBorders>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1612" w:type="pct"/>
                  <w:tcBorders>
                    <w:tl2br w:val="nil"/>
                    <w:tr2bl w:val="nil"/>
                  </w:tcBorders>
                  <w:shd w:val="clear" w:color="auto" w:fill="auto"/>
                  <w:vAlign w:val="center"/>
                </w:tcPr>
                <w:p>
                  <w:pPr>
                    <w:widowControl/>
                    <w:spacing w:line="320" w:lineRule="exact"/>
                    <w:jc w:val="center"/>
                    <w:rPr>
                      <w:rFonts w:hint="default" w:ascii="Times New Roman" w:hAnsi="Times New Roman" w:eastAsia="宋体"/>
                      <w:b/>
                      <w:bCs/>
                      <w:caps w:val="0"/>
                      <w:color w:val="000000" w:themeColor="text1"/>
                      <w:kern w:val="0"/>
                      <w:sz w:val="21"/>
                      <w:szCs w:val="21"/>
                      <w:highlight w:val="none"/>
                      <w:lang w:val="en-US"/>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lang w:val="en-US" w:eastAsia="zh-CN"/>
                      <w14:textFill>
                        <w14:solidFill>
                          <w14:schemeClr w14:val="tx1"/>
                        </w14:solidFill>
                      </w14:textFill>
                    </w:rPr>
                    <w:t>改扩建前</w:t>
                  </w:r>
                </w:p>
              </w:tc>
              <w:tc>
                <w:tcPr>
                  <w:tcW w:w="2210" w:type="pct"/>
                  <w:tcBorders>
                    <w:tl2br w:val="nil"/>
                    <w:tr2bl w:val="nil"/>
                  </w:tcBorders>
                  <w:shd w:val="clear" w:color="auto" w:fill="auto"/>
                  <w:vAlign w:val="center"/>
                </w:tcPr>
                <w:p>
                  <w:pPr>
                    <w:widowControl/>
                    <w:spacing w:line="320" w:lineRule="exact"/>
                    <w:jc w:val="center"/>
                    <w:rPr>
                      <w:rFonts w:hint="default" w:ascii="Times New Roman" w:hAnsi="Times New Roman" w:eastAsia="宋体"/>
                      <w:b/>
                      <w:bCs/>
                      <w:caps w:val="0"/>
                      <w:color w:val="000000" w:themeColor="text1"/>
                      <w:kern w:val="0"/>
                      <w:sz w:val="21"/>
                      <w:szCs w:val="21"/>
                      <w:highlight w:val="none"/>
                      <w:lang w:val="en-US"/>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lang w:val="en-US" w:eastAsia="zh-CN"/>
                      <w14:textFill>
                        <w14:solidFill>
                          <w14:schemeClr w14:val="tx1"/>
                        </w14:solidFill>
                      </w14:textFill>
                    </w:rPr>
                    <w:t>改扩建后</w:t>
                  </w:r>
                </w:p>
              </w:tc>
              <w:tc>
                <w:tcPr>
                  <w:tcW w:w="438" w:type="pct"/>
                  <w:vMerge w:val="continue"/>
                  <w:tcBorders>
                    <w:tl2br w:val="nil"/>
                    <w:tr2bl w:val="nil"/>
                  </w:tcBorders>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66" w:type="pct"/>
                  <w:vMerge w:val="restart"/>
                  <w:tcBorders>
                    <w:tl2br w:val="nil"/>
                    <w:tr2bl w:val="nil"/>
                  </w:tcBorders>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主体工程</w:t>
                  </w:r>
                </w:p>
              </w:tc>
              <w:tc>
                <w:tcPr>
                  <w:tcW w:w="372" w:type="pct"/>
                  <w:tcBorders>
                    <w:top w:val="single" w:color="auto" w:sz="4" w:space="0"/>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caps w:val="0"/>
                      <w:color w:val="000000" w:themeColor="text1"/>
                      <w:kern w:val="0"/>
                      <w:sz w:val="21"/>
                      <w:szCs w:val="21"/>
                      <w:highlight w:val="none"/>
                      <w:lang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1#生产厂房</w:t>
                  </w:r>
                </w:p>
              </w:tc>
              <w:tc>
                <w:tcPr>
                  <w:tcW w:w="1612" w:type="pct"/>
                  <w:tcBorders>
                    <w:tl2br w:val="nil"/>
                    <w:tr2bl w:val="nil"/>
                  </w:tcBorders>
                  <w:shd w:val="clear" w:color="auto" w:fill="auto"/>
                  <w:vAlign w:val="center"/>
                </w:tcPr>
                <w:p>
                  <w:pPr>
                    <w:pStyle w:val="40"/>
                    <w:jc w:val="left"/>
                    <w:rPr>
                      <w:rFonts w:hint="default" w:ascii="Times New Roman" w:hAnsi="Times New Roman" w:eastAsia="宋体"/>
                      <w:bCs/>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建设管件、阀门以及轨道交通零部件生产线，</w:t>
                  </w:r>
                  <w:r>
                    <w:rPr>
                      <w:rFonts w:hint="eastAsia" w:ascii="Times New Roman" w:hAnsi="Times New Roman" w:eastAsia="宋体"/>
                      <w:color w:val="000000" w:themeColor="text1"/>
                      <w:sz w:val="21"/>
                      <w:szCs w:val="21"/>
                      <w:highlight w:val="none"/>
                      <w14:textFill>
                        <w14:solidFill>
                          <w14:schemeClr w14:val="tx1"/>
                        </w14:solidFill>
                      </w14:textFill>
                    </w:rPr>
                    <w:t>建筑面积约</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30000</w:t>
                  </w:r>
                  <w:r>
                    <w:rPr>
                      <w:rFonts w:hint="eastAsia" w:ascii="Times New Roman" w:hAnsi="Times New Roman" w:eastAsia="宋体"/>
                      <w:color w:val="000000" w:themeColor="text1"/>
                      <w:sz w:val="21"/>
                      <w:szCs w:val="21"/>
                      <w:highlight w:val="none"/>
                      <w14:textFill>
                        <w14:solidFill>
                          <w14:schemeClr w14:val="tx1"/>
                        </w14:solidFill>
                      </w14:textFill>
                    </w:rPr>
                    <w:t>m</w:t>
                  </w:r>
                  <w:r>
                    <w:rPr>
                      <w:rFonts w:hint="eastAsia" w:ascii="Times New Roman" w:hAnsi="Times New Roman" w:eastAsia="宋体"/>
                      <w:color w:val="000000" w:themeColor="text1"/>
                      <w:sz w:val="21"/>
                      <w:szCs w:val="21"/>
                      <w:highlight w:val="none"/>
                      <w:vertAlign w:val="superscript"/>
                      <w14:textFill>
                        <w14:solidFill>
                          <w14:schemeClr w14:val="tx1"/>
                        </w14:solidFill>
                      </w14:textFill>
                    </w:rPr>
                    <w:t>2</w:t>
                  </w:r>
                  <w:r>
                    <w:rPr>
                      <w:rFonts w:hint="eastAsia" w:ascii="Times New Roman" w:hAnsi="Times New Roman" w:eastAsia="宋体"/>
                      <w:color w:val="000000" w:themeColor="text1"/>
                      <w:sz w:val="21"/>
                      <w:szCs w:val="21"/>
                      <w:highlight w:val="none"/>
                      <w14:textFill>
                        <w14:solidFill>
                          <w14:schemeClr w14:val="tx1"/>
                        </w14:solidFill>
                      </w14:textFill>
                    </w:rPr>
                    <w:t>，年生产</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各类</w:t>
                  </w:r>
                  <w:r>
                    <w:rPr>
                      <w:rFonts w:hint="eastAsia" w:ascii="Times New Roman" w:hAnsi="Times New Roman" w:eastAsia="宋体"/>
                      <w:color w:val="000000" w:themeColor="text1"/>
                      <w:sz w:val="21"/>
                      <w:szCs w:val="21"/>
                      <w:highlight w:val="none"/>
                      <w14:textFill>
                        <w14:solidFill>
                          <w14:schemeClr w14:val="tx1"/>
                        </w14:solidFill>
                      </w14:textFill>
                    </w:rPr>
                    <w:t>材料</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共2</w:t>
                  </w:r>
                  <w:r>
                    <w:rPr>
                      <w:rFonts w:hint="eastAsia" w:ascii="Times New Roman" w:hAnsi="Times New Roman" w:eastAsia="宋体"/>
                      <w:color w:val="000000" w:themeColor="text1"/>
                      <w:sz w:val="21"/>
                      <w:szCs w:val="21"/>
                      <w:highlight w:val="none"/>
                      <w14:textFill>
                        <w14:solidFill>
                          <w14:schemeClr w14:val="tx1"/>
                        </w14:solidFill>
                      </w14:textFill>
                    </w:rPr>
                    <w:t>万吨</w:t>
                  </w:r>
                </w:p>
              </w:tc>
              <w:tc>
                <w:tcPr>
                  <w:tcW w:w="2210" w:type="pct"/>
                  <w:tcBorders>
                    <w:tl2br w:val="nil"/>
                    <w:tr2bl w:val="nil"/>
                  </w:tcBorders>
                  <w:shd w:val="clear" w:color="auto" w:fill="auto"/>
                  <w:vAlign w:val="center"/>
                </w:tcPr>
                <w:p>
                  <w:pPr>
                    <w:spacing w:line="240" w:lineRule="auto"/>
                    <w:ind w:firstLine="0" w:firstLineChars="0"/>
                    <w:jc w:val="left"/>
                    <w:rPr>
                      <w:rFonts w:hint="default" w:ascii="Times New Roman" w:hAnsi="Times New Roman" w:eastAsia="宋体"/>
                      <w:bCs/>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建设管件、阀门以及轨道交通零部件生产线，</w:t>
                  </w:r>
                  <w:r>
                    <w:rPr>
                      <w:rFonts w:hint="eastAsia" w:ascii="Times New Roman" w:hAnsi="Times New Roman" w:eastAsia="宋体"/>
                      <w:color w:val="000000" w:themeColor="text1"/>
                      <w:sz w:val="21"/>
                      <w:szCs w:val="21"/>
                      <w:highlight w:val="none"/>
                      <w14:textFill>
                        <w14:solidFill>
                          <w14:schemeClr w14:val="tx1"/>
                        </w14:solidFill>
                      </w14:textFill>
                    </w:rPr>
                    <w:t>建筑面积约</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30000</w:t>
                  </w:r>
                  <w:r>
                    <w:rPr>
                      <w:rFonts w:hint="eastAsia" w:ascii="Times New Roman" w:hAnsi="Times New Roman" w:eastAsia="宋体"/>
                      <w:color w:val="000000" w:themeColor="text1"/>
                      <w:sz w:val="21"/>
                      <w:szCs w:val="21"/>
                      <w:highlight w:val="none"/>
                      <w14:textFill>
                        <w14:solidFill>
                          <w14:schemeClr w14:val="tx1"/>
                        </w14:solidFill>
                      </w14:textFill>
                    </w:rPr>
                    <w:t>m</w:t>
                  </w:r>
                  <w:r>
                    <w:rPr>
                      <w:rFonts w:hint="eastAsia" w:ascii="Times New Roman" w:hAnsi="Times New Roman" w:eastAsia="宋体"/>
                      <w:color w:val="000000" w:themeColor="text1"/>
                      <w:sz w:val="21"/>
                      <w:szCs w:val="21"/>
                      <w:highlight w:val="none"/>
                      <w:vertAlign w:val="superscript"/>
                      <w14:textFill>
                        <w14:solidFill>
                          <w14:schemeClr w14:val="tx1"/>
                        </w14:solidFill>
                      </w14:textFill>
                    </w:rPr>
                    <w:t>2</w:t>
                  </w:r>
                  <w:r>
                    <w:rPr>
                      <w:rFonts w:hint="eastAsia" w:ascii="Times New Roman" w:hAnsi="Times New Roman" w:eastAsia="宋体"/>
                      <w:color w:val="000000" w:themeColor="text1"/>
                      <w:sz w:val="21"/>
                      <w:szCs w:val="21"/>
                      <w:highlight w:val="none"/>
                      <w14:textFill>
                        <w14:solidFill>
                          <w14:schemeClr w14:val="tx1"/>
                        </w14:solidFill>
                      </w14:textFill>
                    </w:rPr>
                    <w:t>，年生产</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各类</w:t>
                  </w:r>
                  <w:r>
                    <w:rPr>
                      <w:rFonts w:hint="eastAsia" w:ascii="Times New Roman" w:hAnsi="Times New Roman" w:eastAsia="宋体"/>
                      <w:color w:val="000000" w:themeColor="text1"/>
                      <w:sz w:val="21"/>
                      <w:szCs w:val="21"/>
                      <w:highlight w:val="none"/>
                      <w14:textFill>
                        <w14:solidFill>
                          <w14:schemeClr w14:val="tx1"/>
                        </w14:solidFill>
                      </w14:textFill>
                    </w:rPr>
                    <w:t>材料</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共2</w:t>
                  </w:r>
                  <w:r>
                    <w:rPr>
                      <w:rFonts w:hint="eastAsia" w:ascii="Times New Roman" w:hAnsi="Times New Roman" w:eastAsia="宋体"/>
                      <w:color w:val="000000" w:themeColor="text1"/>
                      <w:sz w:val="21"/>
                      <w:szCs w:val="21"/>
                      <w:highlight w:val="none"/>
                      <w14:textFill>
                        <w14:solidFill>
                          <w14:schemeClr w14:val="tx1"/>
                        </w14:solidFill>
                      </w14:textFill>
                    </w:rPr>
                    <w:t>万吨</w:t>
                  </w:r>
                </w:p>
              </w:tc>
              <w:tc>
                <w:tcPr>
                  <w:tcW w:w="438" w:type="pct"/>
                  <w:tcBorders>
                    <w:tl2br w:val="nil"/>
                    <w:tr2bl w:val="nil"/>
                  </w:tcBorders>
                  <w:shd w:val="clear" w:color="auto" w:fill="auto"/>
                  <w:vAlign w:val="center"/>
                </w:tcPr>
                <w:p>
                  <w:pPr>
                    <w:widowControl/>
                    <w:jc w:val="center"/>
                    <w:rPr>
                      <w:rFonts w:hint="eastAsia" w:ascii="Times New Roman" w:hAnsi="Times New Roman" w:eastAsia="宋体"/>
                      <w:bCs/>
                      <w:caps w:val="0"/>
                      <w:color w:val="000000" w:themeColor="text1"/>
                      <w:kern w:val="0"/>
                      <w:sz w:val="21"/>
                      <w:szCs w:val="21"/>
                      <w:highlight w:val="none"/>
                      <w:lang w:eastAsia="zh-CN"/>
                      <w14:textFill>
                        <w14:solidFill>
                          <w14:schemeClr w14:val="tx1"/>
                        </w14:solidFill>
                      </w14:textFill>
                    </w:rPr>
                  </w:pPr>
                  <w:r>
                    <w:rPr>
                      <w:rFonts w:hint="eastAsia" w:ascii="Times New Roman" w:hAnsi="Times New Roman" w:eastAsia="宋体"/>
                      <w:bCs/>
                      <w:caps w:val="0"/>
                      <w:color w:val="000000" w:themeColor="text1"/>
                      <w:kern w:val="0"/>
                      <w:sz w:val="21"/>
                      <w:szCs w:val="21"/>
                      <w:highlight w:val="none"/>
                      <w:lang w:val="en-US" w:eastAsia="zh-CN"/>
                      <w14:textFill>
                        <w14:solidFill>
                          <w14:schemeClr w14:val="tx1"/>
                        </w14:solidFill>
                      </w14:textFill>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66" w:type="pct"/>
                  <w:vMerge w:val="continue"/>
                  <w:tcBorders>
                    <w:tl2br w:val="nil"/>
                    <w:tr2bl w:val="nil"/>
                  </w:tcBorders>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372" w:type="pct"/>
                  <w:tcBorders>
                    <w:top w:val="single" w:color="auto" w:sz="4" w:space="0"/>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bCs/>
                      <w:caps w:val="0"/>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2#生产厂房</w:t>
                  </w:r>
                </w:p>
              </w:tc>
              <w:tc>
                <w:tcPr>
                  <w:tcW w:w="1612"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eastAsia="宋体"/>
                      <w:bCs/>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bCs/>
                      <w:caps w:val="0"/>
                      <w:color w:val="000000" w:themeColor="text1"/>
                      <w:kern w:val="0"/>
                      <w:sz w:val="21"/>
                      <w:szCs w:val="21"/>
                      <w:highlight w:val="none"/>
                      <w:lang w:val="en-US" w:eastAsia="zh-CN"/>
                      <w14:textFill>
                        <w14:solidFill>
                          <w14:schemeClr w14:val="tx1"/>
                        </w14:solidFill>
                      </w14:textFill>
                    </w:rPr>
                    <w:t>/</w:t>
                  </w:r>
                </w:p>
              </w:tc>
              <w:tc>
                <w:tcPr>
                  <w:tcW w:w="2210" w:type="pct"/>
                  <w:tcBorders>
                    <w:tl2br w:val="nil"/>
                    <w:tr2bl w:val="nil"/>
                  </w:tcBorders>
                  <w:shd w:val="clear" w:color="auto" w:fill="auto"/>
                  <w:vAlign w:val="center"/>
                </w:tcPr>
                <w:p>
                  <w:pPr>
                    <w:widowControl/>
                    <w:jc w:val="center"/>
                    <w:rPr>
                      <w:rFonts w:hint="eastAsia" w:ascii="Times New Roman" w:hAnsi="Times New Roman" w:eastAsia="宋体"/>
                      <w:bCs/>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bCs/>
                      <w:caps w:val="0"/>
                      <w:color w:val="000000" w:themeColor="text1"/>
                      <w:kern w:val="0"/>
                      <w:sz w:val="21"/>
                      <w:szCs w:val="21"/>
                      <w:highlight w:val="none"/>
                      <w:lang w:val="en-US" w:eastAsia="zh-CN"/>
                      <w14:textFill>
                        <w14:solidFill>
                          <w14:schemeClr w14:val="tx1"/>
                        </w14:solidFill>
                      </w14:textFill>
                    </w:rPr>
                    <w:t>建设智能阀门及阀门零部件精加工装配等</w:t>
                  </w:r>
                  <w:r>
                    <w:rPr>
                      <w:rFonts w:hint="eastAsia" w:ascii="Times New Roman" w:hAnsi="Times New Roman" w:eastAsia="宋体"/>
                      <w:bCs/>
                      <w:caps w:val="0"/>
                      <w:color w:val="000000" w:themeColor="text1"/>
                      <w:kern w:val="0"/>
                      <w:sz w:val="21"/>
                      <w:szCs w:val="21"/>
                      <w:highlight w:val="none"/>
                      <w:lang w:val="en-US" w:eastAsia="zh-CN"/>
                      <w14:textFill>
                        <w14:solidFill>
                          <w14:schemeClr w14:val="tx1"/>
                        </w14:solidFill>
                      </w14:textFill>
                    </w:rPr>
                    <w:t>，建筑面积约9394m</w:t>
                  </w:r>
                  <w:r>
                    <w:rPr>
                      <w:rFonts w:hint="eastAsia" w:ascii="Times New Roman" w:hAnsi="Times New Roman" w:eastAsia="宋体"/>
                      <w:bCs/>
                      <w:caps w:val="0"/>
                      <w:color w:val="000000" w:themeColor="text1"/>
                      <w:kern w:val="0"/>
                      <w:sz w:val="21"/>
                      <w:szCs w:val="21"/>
                      <w:highlight w:val="none"/>
                      <w:vertAlign w:val="superscript"/>
                      <w:lang w:val="en-US" w:eastAsia="zh-CN"/>
                      <w14:textFill>
                        <w14:solidFill>
                          <w14:schemeClr w14:val="tx1"/>
                        </w14:solidFill>
                      </w14:textFill>
                    </w:rPr>
                    <w:t>2</w:t>
                  </w:r>
                  <w:r>
                    <w:rPr>
                      <w:rFonts w:hint="eastAsia" w:ascii="Times New Roman" w:hAnsi="Times New Roman" w:eastAsia="宋体"/>
                      <w:bCs/>
                      <w:caps w:val="0"/>
                      <w:color w:val="000000" w:themeColor="text1"/>
                      <w:kern w:val="0"/>
                      <w:sz w:val="21"/>
                      <w:szCs w:val="21"/>
                      <w:highlight w:val="none"/>
                      <w:vertAlign w:val="baseline"/>
                      <w:lang w:val="en-US" w:eastAsia="zh-CN"/>
                      <w14:textFill>
                        <w14:solidFill>
                          <w14:schemeClr w14:val="tx1"/>
                        </w14:solidFill>
                      </w14:textFill>
                    </w:rPr>
                    <w:t>，</w:t>
                  </w:r>
                  <w:r>
                    <w:rPr>
                      <w:rFonts w:hint="eastAsia" w:ascii="Times New Roman" w:hAnsi="Times New Roman" w:eastAsia="宋体"/>
                      <w:color w:val="000000" w:themeColor="text1"/>
                      <w:sz w:val="21"/>
                      <w:szCs w:val="21"/>
                      <w:highlight w:val="none"/>
                      <w14:textFill>
                        <w14:solidFill>
                          <w14:schemeClr w14:val="tx1"/>
                        </w14:solidFill>
                      </w14:textFill>
                    </w:rPr>
                    <w:t>项目建成后可年生产</w:t>
                  </w:r>
                  <w:r>
                    <w:rPr>
                      <w:rFonts w:hint="eastAsia" w:ascii="Times New Roman" w:hAnsi="Times New Roman"/>
                      <w:color w:val="000000" w:themeColor="text1"/>
                      <w:sz w:val="21"/>
                      <w:szCs w:val="21"/>
                      <w:highlight w:val="none"/>
                      <w:lang w:val="en-US" w:eastAsia="zh-CN"/>
                      <w14:textFill>
                        <w14:solidFill>
                          <w14:schemeClr w14:val="tx1"/>
                        </w14:solidFill>
                      </w14:textFill>
                    </w:rPr>
                    <w:t>智能阀门</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共</w:t>
                  </w:r>
                  <w:r>
                    <w:rPr>
                      <w:rFonts w:hint="eastAsia" w:ascii="Times New Roman" w:hAnsi="Times New Roman"/>
                      <w:color w:val="000000" w:themeColor="text1"/>
                      <w:sz w:val="21"/>
                      <w:szCs w:val="21"/>
                      <w:highlight w:val="none"/>
                      <w:lang w:val="en-US" w:eastAsia="zh-CN"/>
                      <w14:textFill>
                        <w14:solidFill>
                          <w14:schemeClr w14:val="tx1"/>
                        </w14:solidFill>
                      </w14:textFill>
                    </w:rPr>
                    <w:t>5000</w:t>
                  </w:r>
                  <w:r>
                    <w:rPr>
                      <w:rFonts w:hint="eastAsia" w:ascii="Times New Roman" w:hAnsi="Times New Roman" w:eastAsia="宋体"/>
                      <w:color w:val="000000" w:themeColor="text1"/>
                      <w:sz w:val="21"/>
                      <w:szCs w:val="21"/>
                      <w:highlight w:val="none"/>
                      <w14:textFill>
                        <w14:solidFill>
                          <w14:schemeClr w14:val="tx1"/>
                        </w14:solidFill>
                      </w14:textFill>
                    </w:rPr>
                    <w:t>吨</w:t>
                  </w:r>
                </w:p>
              </w:tc>
              <w:tc>
                <w:tcPr>
                  <w:tcW w:w="438" w:type="pct"/>
                  <w:tcBorders>
                    <w:tl2br w:val="nil"/>
                    <w:tr2bl w:val="nil"/>
                  </w:tcBorders>
                  <w:shd w:val="clear" w:color="auto" w:fill="auto"/>
                  <w:vAlign w:val="center"/>
                </w:tcPr>
                <w:p>
                  <w:pPr>
                    <w:widowControl/>
                    <w:jc w:val="center"/>
                    <w:rPr>
                      <w:rFonts w:hint="default" w:ascii="Times New Roman" w:hAnsi="Times New Roman" w:eastAsia="宋体"/>
                      <w:bCs/>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bCs/>
                      <w:caps w:val="0"/>
                      <w:color w:val="000000" w:themeColor="text1"/>
                      <w:kern w:val="0"/>
                      <w:sz w:val="21"/>
                      <w:szCs w:val="21"/>
                      <w:highlight w:val="none"/>
                      <w:lang w:val="en-US" w:eastAsia="zh-CN"/>
                      <w14:textFill>
                        <w14:solidFill>
                          <w14:schemeClr w14:val="tx1"/>
                        </w14:solidFill>
                      </w14:textFill>
                    </w:rPr>
                    <w:t>新建2#厂房</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366" w:type="pct"/>
                  <w:tcBorders>
                    <w:tl2br w:val="nil"/>
                    <w:tr2bl w:val="nil"/>
                  </w:tcBorders>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储运工程</w:t>
                  </w:r>
                </w:p>
              </w:tc>
              <w:tc>
                <w:tcPr>
                  <w:tcW w:w="372" w:type="pct"/>
                  <w:tcBorders>
                    <w:tl2br w:val="nil"/>
                    <w:tr2bl w:val="nil"/>
                  </w:tcBorders>
                  <w:shd w:val="clear" w:color="auto" w:fill="auto"/>
                  <w:vAlign w:val="center"/>
                </w:tcPr>
                <w:p>
                  <w:pPr>
                    <w:widowControl/>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仓库用房</w:t>
                  </w:r>
                </w:p>
              </w:tc>
              <w:tc>
                <w:tcPr>
                  <w:tcW w:w="1612" w:type="pct"/>
                  <w:tcBorders>
                    <w:tl2br w:val="nil"/>
                    <w:tr2bl w:val="nil"/>
                  </w:tcBorders>
                  <w:shd w:val="clear" w:color="auto" w:fill="auto"/>
                  <w:vAlign w:val="center"/>
                </w:tcPr>
                <w:p>
                  <w:pPr>
                    <w:widowControl/>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位于</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1</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厂房内</w:t>
                  </w:r>
                </w:p>
              </w:tc>
              <w:tc>
                <w:tcPr>
                  <w:tcW w:w="2210" w:type="pct"/>
                  <w:tcBorders>
                    <w:tl2br w:val="nil"/>
                    <w:tr2bl w:val="nil"/>
                  </w:tcBorders>
                  <w:shd w:val="clear" w:color="auto" w:fill="auto"/>
                  <w:vAlign w:val="center"/>
                </w:tcPr>
                <w:p>
                  <w:pPr>
                    <w:widowControl/>
                    <w:jc w:val="center"/>
                    <w:rPr>
                      <w:rFonts w:hint="default" w:ascii="Times New Roman" w:hAnsi="Times New Roman" w:eastAsia="宋体"/>
                      <w:caps w:val="0"/>
                      <w:color w:val="000000" w:themeColor="text1"/>
                      <w:kern w:val="0"/>
                      <w:sz w:val="21"/>
                      <w:szCs w:val="21"/>
                      <w:highlight w:val="none"/>
                      <w:lang w:val="en-US"/>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原有1#厂房仓库保持不变，2#厂房西侧新设置成品库</w:t>
                  </w:r>
                </w:p>
              </w:tc>
              <w:tc>
                <w:tcPr>
                  <w:tcW w:w="438" w:type="pct"/>
                  <w:tcBorders>
                    <w:tl2br w:val="nil"/>
                    <w:tr2bl w:val="nil"/>
                  </w:tcBorders>
                  <w:shd w:val="clear" w:color="auto" w:fill="auto"/>
                  <w:vAlign w:val="center"/>
                </w:tcPr>
                <w:p>
                  <w:pPr>
                    <w:widowControl/>
                    <w:jc w:val="center"/>
                    <w:rPr>
                      <w:rFonts w:hint="eastAsia" w:ascii="Times New Roman" w:hAnsi="Times New Roman" w:eastAsia="宋体"/>
                      <w:caps w:val="0"/>
                      <w:color w:val="000000" w:themeColor="text1"/>
                      <w:kern w:val="0"/>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66" w:type="pct"/>
                  <w:vMerge w:val="restart"/>
                  <w:tcBorders>
                    <w:top w:val="single" w:color="auto" w:sz="4" w:space="0"/>
                    <w:tl2br w:val="nil"/>
                    <w:tr2bl w:val="nil"/>
                  </w:tcBorders>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公用工程</w:t>
                  </w:r>
                </w:p>
              </w:tc>
              <w:tc>
                <w:tcPr>
                  <w:tcW w:w="372" w:type="pct"/>
                  <w:tcBorders>
                    <w:top w:val="single" w:color="auto" w:sz="4" w:space="0"/>
                    <w:bottom w:val="single" w:color="auto" w:sz="4" w:space="0"/>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供电系统</w:t>
                  </w:r>
                </w:p>
              </w:tc>
              <w:tc>
                <w:tcPr>
                  <w:tcW w:w="3822" w:type="pct"/>
                  <w:gridSpan w:val="2"/>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来自市政电网</w:t>
                  </w:r>
                </w:p>
              </w:tc>
              <w:tc>
                <w:tcPr>
                  <w:tcW w:w="438"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366" w:type="pct"/>
                  <w:vMerge w:val="continue"/>
                  <w:tcBorders>
                    <w:tl2br w:val="nil"/>
                    <w:tr2bl w:val="nil"/>
                  </w:tcBorders>
                  <w:vAlign w:val="center"/>
                </w:tcPr>
                <w:p>
                  <w:pPr>
                    <w:jc w:val="left"/>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372" w:type="pct"/>
                  <w:tcBorders>
                    <w:top w:val="single" w:color="auto" w:sz="4" w:space="0"/>
                    <w:tl2br w:val="nil"/>
                    <w:tr2bl w:val="nil"/>
                  </w:tcBorders>
                  <w:shd w:val="clear" w:color="auto" w:fill="auto"/>
                  <w:vAlign w:val="center"/>
                </w:tcPr>
                <w:p>
                  <w:pPr>
                    <w:jc w:val="left"/>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供水系统</w:t>
                  </w:r>
                </w:p>
              </w:tc>
              <w:tc>
                <w:tcPr>
                  <w:tcW w:w="3822" w:type="pct"/>
                  <w:gridSpan w:val="2"/>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来自市政给水管网</w:t>
                  </w:r>
                </w:p>
              </w:tc>
              <w:tc>
                <w:tcPr>
                  <w:tcW w:w="438"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366" w:type="pct"/>
                  <w:vMerge w:val="continue"/>
                  <w:tcBorders>
                    <w:tl2br w:val="nil"/>
                    <w:tr2bl w:val="nil"/>
                  </w:tcBorders>
                  <w:vAlign w:val="center"/>
                </w:tcPr>
                <w:p>
                  <w:pPr>
                    <w:widowControl/>
                    <w:jc w:val="left"/>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372" w:type="pct"/>
                  <w:tcBorders>
                    <w:tl2br w:val="nil"/>
                    <w:tr2bl w:val="nil"/>
                  </w:tcBorders>
                  <w:shd w:val="clear" w:color="auto" w:fill="auto"/>
                  <w:vAlign w:val="center"/>
                </w:tcPr>
                <w:p>
                  <w:pPr>
                    <w:jc w:val="left"/>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排水系统</w:t>
                  </w:r>
                </w:p>
              </w:tc>
              <w:tc>
                <w:tcPr>
                  <w:tcW w:w="3822" w:type="pct"/>
                  <w:gridSpan w:val="2"/>
                  <w:tcBorders>
                    <w:tl2br w:val="nil"/>
                    <w:tr2bl w:val="nil"/>
                  </w:tcBorders>
                  <w:shd w:val="clear" w:color="auto" w:fill="auto"/>
                  <w:vAlign w:val="center"/>
                </w:tcPr>
                <w:p>
                  <w:pPr>
                    <w:widowControl/>
                    <w:jc w:val="center"/>
                    <w:rPr>
                      <w:rFonts w:hint="eastAsia" w:ascii="Times New Roman" w:hAnsi="Times New Roman" w:eastAsia="宋体"/>
                      <w:caps w:val="0"/>
                      <w:color w:val="000000" w:themeColor="text1"/>
                      <w:kern w:val="0"/>
                      <w:sz w:val="21"/>
                      <w:szCs w:val="21"/>
                      <w:highlight w:val="none"/>
                      <w:lang w:eastAsia="zh-CN"/>
                      <w14:textFill>
                        <w14:solidFill>
                          <w14:schemeClr w14:val="tx1"/>
                        </w14:solidFill>
                      </w14:textFill>
                    </w:rPr>
                  </w:pPr>
                  <w:r>
                    <w:rPr>
                      <w:rFonts w:hint="eastAsia" w:ascii="Times New Roman" w:hAnsi="Times New Roman" w:eastAsia="宋体" w:cs="Times New Roman"/>
                      <w:caps w:val="0"/>
                      <w:color w:val="000000" w:themeColor="text1"/>
                      <w:kern w:val="0"/>
                      <w:sz w:val="21"/>
                      <w:szCs w:val="21"/>
                      <w:highlight w:val="none"/>
                      <w:lang w:val="en-GB" w:eastAsia="zh-CN"/>
                      <w14:textFill>
                        <w14:solidFill>
                          <w14:schemeClr w14:val="tx1"/>
                        </w14:solidFill>
                      </w14:textFill>
                    </w:rPr>
                    <w:t>雨污分流，雨水经雨水管道排入市政雨水管，生活污水经化粪池处理后，经市政污水管网进入繁昌县第二污水处理厂处理，处理达标后外排梨山河</w:t>
                  </w:r>
                </w:p>
              </w:tc>
              <w:tc>
                <w:tcPr>
                  <w:tcW w:w="438"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6" w:type="pct"/>
                  <w:vMerge w:val="restart"/>
                  <w:tcBorders>
                    <w:tl2br w:val="nil"/>
                    <w:tr2bl w:val="nil"/>
                  </w:tcBorders>
                  <w:vAlign w:val="center"/>
                </w:tcPr>
                <w:p>
                  <w:pPr>
                    <w:widowControl/>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 xml:space="preserve">  </w:t>
                  </w:r>
                </w:p>
              </w:tc>
              <w:tc>
                <w:tcPr>
                  <w:tcW w:w="372" w:type="pct"/>
                  <w:tcBorders>
                    <w:top w:val="single" w:color="auto" w:sz="4" w:space="0"/>
                    <w:bottom w:val="single" w:color="auto" w:sz="4" w:space="0"/>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废水治理</w:t>
                  </w:r>
                </w:p>
              </w:tc>
              <w:tc>
                <w:tcPr>
                  <w:tcW w:w="1612" w:type="pct"/>
                  <w:tcBorders>
                    <w:tl2br w:val="nil"/>
                    <w:tr2bl w:val="nil"/>
                  </w:tcBorders>
                  <w:shd w:val="clear" w:color="auto" w:fill="auto"/>
                  <w:vAlign w:val="center"/>
                </w:tcPr>
                <w:p>
                  <w:pPr>
                    <w:widowControl/>
                    <w:jc w:val="center"/>
                    <w:rPr>
                      <w:rFonts w:hint="eastAsia" w:ascii="Times New Roman" w:hAnsi="Times New Roman" w:eastAsia="宋体"/>
                      <w:caps w:val="0"/>
                      <w:color w:val="000000" w:themeColor="text1"/>
                      <w:kern w:val="0"/>
                      <w:sz w:val="21"/>
                      <w:szCs w:val="21"/>
                      <w:highlight w:val="none"/>
                      <w:lang w:eastAsia="zh-CN"/>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雨污分流；</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化粪池</w:t>
                  </w:r>
                </w:p>
              </w:tc>
              <w:tc>
                <w:tcPr>
                  <w:tcW w:w="2210"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雨污分流；</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化粪池</w:t>
                  </w:r>
                </w:p>
              </w:tc>
              <w:tc>
                <w:tcPr>
                  <w:tcW w:w="438" w:type="pct"/>
                  <w:tcBorders>
                    <w:tl2br w:val="nil"/>
                    <w:tr2bl w:val="nil"/>
                  </w:tcBorders>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366" w:type="pct"/>
                  <w:vMerge w:val="continue"/>
                  <w:tcBorders>
                    <w:tl2br w:val="nil"/>
                    <w:tr2bl w:val="nil"/>
                  </w:tcBorders>
                  <w:vAlign w:val="center"/>
                </w:tcPr>
                <w:p>
                  <w:pPr>
                    <w:widowControl/>
                    <w:jc w:val="left"/>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372" w:type="pct"/>
                  <w:tcBorders>
                    <w:top w:val="single" w:color="auto" w:sz="4" w:space="0"/>
                    <w:tl2br w:val="nil"/>
                    <w:tr2bl w:val="nil"/>
                  </w:tcBorders>
                  <w:shd w:val="clear" w:color="auto" w:fill="auto"/>
                  <w:vAlign w:val="center"/>
                </w:tcPr>
                <w:p>
                  <w:pPr>
                    <w:widowControl/>
                    <w:jc w:val="left"/>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废气治理</w:t>
                  </w:r>
                </w:p>
              </w:tc>
              <w:tc>
                <w:tcPr>
                  <w:tcW w:w="1612" w:type="pct"/>
                  <w:tcBorders>
                    <w:tl2br w:val="nil"/>
                    <w:tr2bl w:val="nil"/>
                  </w:tcBorders>
                  <w:shd w:val="clear" w:color="auto" w:fill="auto"/>
                  <w:vAlign w:val="center"/>
                </w:tcPr>
                <w:p>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喷塑过程产生的粉尘经单级滤筒回收装置处理后由15m高排气筒（1#、2#、3#）外排，抛丸粉尘经布袋除尘处理后通过15m高排气筒（4#）外排，固废废气经集气罩+两级活性炭装置处理后通过15m高排气筒（5#）外排</w:t>
                  </w:r>
                </w:p>
              </w:tc>
              <w:tc>
                <w:tcPr>
                  <w:tcW w:w="2210" w:type="pct"/>
                  <w:tcBorders>
                    <w:tl2br w:val="nil"/>
                    <w:tr2bl w:val="nil"/>
                  </w:tcBorders>
                  <w:shd w:val="clear" w:color="auto" w:fill="auto"/>
                  <w:vAlign w:val="center"/>
                </w:tcPr>
                <w:p>
                  <w:pPr>
                    <w:tabs>
                      <w:tab w:val="left" w:pos="560"/>
                      <w:tab w:val="center" w:pos="1921"/>
                    </w:tabs>
                    <w:adjustRightInd w:val="0"/>
                    <w:spacing w:line="330" w:lineRule="exact"/>
                    <w:jc w:val="left"/>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厂房：喷塑过程产生的粉尘经单级滤筒回收装置处理后由15m高排气筒（1#、2#、3#）外排，抛丸粉尘经布袋除尘处理后通过15m高排气筒（4#）外排，固废废气经集气罩+两级活性炭装置处理后通过15m高排气筒（5#）外排；</w:t>
                  </w:r>
                </w:p>
                <w:p>
                  <w:pPr>
                    <w:tabs>
                      <w:tab w:val="left" w:pos="560"/>
                      <w:tab w:val="center" w:pos="1921"/>
                    </w:tabs>
                    <w:adjustRightInd w:val="0"/>
                    <w:spacing w:line="330" w:lineRule="exact"/>
                    <w:jc w:val="left"/>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caps w:val="0"/>
                      <w:color w:val="000000" w:themeColor="text1"/>
                      <w:sz w:val="21"/>
                      <w:szCs w:val="21"/>
                      <w:highlight w:val="none"/>
                      <w:lang w:val="en-US" w:eastAsia="zh-CN"/>
                      <w14:textFill>
                        <w14:solidFill>
                          <w14:schemeClr w14:val="tx1"/>
                        </w14:solidFill>
                      </w14:textFill>
                    </w:rPr>
                    <w:t>2</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#厂房：</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抛丸粉尘经</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布袋除尘处理后通过15m高排气筒（</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6</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#）外排</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，浸漆废气、焚烧炉废气</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经</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两级活性炭装置</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处理后通过15m高排气筒（</w:t>
                  </w:r>
                  <w:r>
                    <w:rPr>
                      <w:rFonts w:hint="eastAsia" w:ascii="Times New Roman" w:hAnsi="Times New Roman"/>
                      <w:caps w:val="0"/>
                      <w:color w:val="000000" w:themeColor="text1"/>
                      <w:sz w:val="21"/>
                      <w:szCs w:val="21"/>
                      <w:highlight w:val="none"/>
                      <w:lang w:val="en-US" w:eastAsia="zh-CN"/>
                      <w14:textFill>
                        <w14:solidFill>
                          <w14:schemeClr w14:val="tx1"/>
                        </w14:solidFill>
                      </w14:textFill>
                    </w:rPr>
                    <w:t>7</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#）外排</w:t>
                  </w:r>
                </w:p>
              </w:tc>
              <w:tc>
                <w:tcPr>
                  <w:tcW w:w="438" w:type="pct"/>
                  <w:tcBorders>
                    <w:tl2br w:val="nil"/>
                    <w:tr2bl w:val="nil"/>
                  </w:tcBorders>
                  <w:shd w:val="clear" w:color="auto" w:fill="auto"/>
                  <w:vAlign w:val="center"/>
                </w:tcPr>
                <w:p>
                  <w:pPr>
                    <w:widowControl/>
                    <w:jc w:val="center"/>
                    <w:rPr>
                      <w:rFonts w:hint="eastAsia" w:ascii="Times New Roman" w:hAnsi="Times New Roman" w:eastAsia="宋体"/>
                      <w:caps w:val="0"/>
                      <w:color w:val="000000" w:themeColor="text1"/>
                      <w:kern w:val="0"/>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66" w:type="pct"/>
                  <w:vMerge w:val="continue"/>
                  <w:tcBorders>
                    <w:tl2br w:val="nil"/>
                    <w:tr2bl w:val="nil"/>
                  </w:tcBorders>
                  <w:vAlign w:val="center"/>
                </w:tcPr>
                <w:p>
                  <w:pPr>
                    <w:jc w:val="left"/>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372" w:type="pct"/>
                  <w:tcBorders>
                    <w:tl2br w:val="nil"/>
                    <w:tr2bl w:val="nil"/>
                  </w:tcBorders>
                  <w:shd w:val="clear" w:color="auto" w:fill="auto"/>
                  <w:vAlign w:val="center"/>
                </w:tcPr>
                <w:p>
                  <w:pPr>
                    <w:widowControl/>
                    <w:jc w:val="left"/>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噪声治理</w:t>
                  </w:r>
                </w:p>
              </w:tc>
              <w:tc>
                <w:tcPr>
                  <w:tcW w:w="1612"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合理布局噪声生产设备，并采取消声减振措施，高噪音设备均设置在厂房内部进行隔声</w:t>
                  </w:r>
                </w:p>
              </w:tc>
              <w:tc>
                <w:tcPr>
                  <w:tcW w:w="2210"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合理布局噪声生产设备，并采取消声减振措施，高噪音设备均设置在厂房内部进行隔声</w:t>
                  </w:r>
                </w:p>
              </w:tc>
              <w:tc>
                <w:tcPr>
                  <w:tcW w:w="438" w:type="pct"/>
                  <w:tcBorders>
                    <w:tl2br w:val="nil"/>
                    <w:tr2bl w:val="nil"/>
                  </w:tcBorders>
                  <w:shd w:val="clear" w:color="auto" w:fill="auto"/>
                  <w:vAlign w:val="center"/>
                </w:tcPr>
                <w:p>
                  <w:pPr>
                    <w:widowControl/>
                    <w:jc w:val="center"/>
                    <w:rPr>
                      <w:rFonts w:hint="eastAsia" w:ascii="Times New Roman" w:hAnsi="Times New Roman" w:eastAsia="宋体"/>
                      <w:caps w:val="0"/>
                      <w:color w:val="000000" w:themeColor="text1"/>
                      <w:kern w:val="0"/>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366" w:type="pct"/>
                  <w:vMerge w:val="continue"/>
                  <w:tcBorders>
                    <w:tl2br w:val="nil"/>
                    <w:tr2bl w:val="nil"/>
                  </w:tcBorders>
                  <w:vAlign w:val="center"/>
                </w:tcPr>
                <w:p>
                  <w:pPr>
                    <w:widowControl/>
                    <w:jc w:val="left"/>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372" w:type="pct"/>
                  <w:tcBorders>
                    <w:tl2br w:val="nil"/>
                    <w:tr2bl w:val="nil"/>
                  </w:tcBorders>
                  <w:shd w:val="clear" w:color="auto" w:fill="auto"/>
                  <w:vAlign w:val="center"/>
                </w:tcPr>
                <w:p>
                  <w:pPr>
                    <w:widowControl/>
                    <w:jc w:val="left"/>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固体废物处理</w:t>
                  </w:r>
                </w:p>
              </w:tc>
              <w:tc>
                <w:tcPr>
                  <w:tcW w:w="1612"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设置</w:t>
                  </w:r>
                  <w:r>
                    <w:rPr>
                      <w:rFonts w:hint="eastAsia" w:ascii="Times New Roman" w:hAnsi="Times New Roman" w:eastAsia="宋体"/>
                      <w:caps w:val="0"/>
                      <w:color w:val="000000" w:themeColor="text1"/>
                      <w:kern w:val="0"/>
                      <w:sz w:val="21"/>
                      <w:szCs w:val="21"/>
                      <w:highlight w:val="none"/>
                      <w14:textFill>
                        <w14:solidFill>
                          <w14:schemeClr w14:val="tx1"/>
                        </w14:solidFill>
                      </w14:textFill>
                    </w:rPr>
                    <w:t>一般固废暂存间、危废暂存间</w:t>
                  </w:r>
                </w:p>
              </w:tc>
              <w:tc>
                <w:tcPr>
                  <w:tcW w:w="2210" w:type="pct"/>
                  <w:tcBorders>
                    <w:tl2br w:val="nil"/>
                    <w:tr2bl w:val="nil"/>
                  </w:tcBorders>
                  <w:shd w:val="clear" w:color="auto" w:fill="auto"/>
                  <w:vAlign w:val="center"/>
                </w:tcPr>
                <w:p>
                  <w:pPr>
                    <w:widowControl/>
                    <w:jc w:val="center"/>
                    <w:rPr>
                      <w:rFonts w:hint="default" w:ascii="Times New Roman" w:hAnsi="Times New Roman" w:eastAsia="宋体"/>
                      <w:caps w:val="0"/>
                      <w:color w:val="000000" w:themeColor="text1"/>
                      <w:kern w:val="0"/>
                      <w:sz w:val="21"/>
                      <w:szCs w:val="21"/>
                      <w:highlight w:val="none"/>
                      <w:lang w:val="en-US"/>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依托原有</w:t>
                  </w:r>
                  <w:r>
                    <w:rPr>
                      <w:rFonts w:hint="eastAsia" w:ascii="Times New Roman" w:hAnsi="Times New Roman" w:eastAsia="宋体"/>
                      <w:caps w:val="0"/>
                      <w:color w:val="000000" w:themeColor="text1"/>
                      <w:kern w:val="0"/>
                      <w:sz w:val="21"/>
                      <w:szCs w:val="21"/>
                      <w:highlight w:val="none"/>
                      <w14:textFill>
                        <w14:solidFill>
                          <w14:schemeClr w14:val="tx1"/>
                        </w14:solidFill>
                      </w14:textFill>
                    </w:rPr>
                    <w:t>一般固废暂存间、危废暂存间</w:t>
                  </w:r>
                </w:p>
              </w:tc>
              <w:tc>
                <w:tcPr>
                  <w:tcW w:w="438" w:type="pct"/>
                  <w:tcBorders>
                    <w:tl2br w:val="nil"/>
                    <w:tr2bl w:val="nil"/>
                  </w:tcBorders>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依托现有</w:t>
                  </w:r>
                </w:p>
              </w:tc>
            </w:tr>
          </w:tbl>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（3）产品方案</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本项目主要新建智能阀门产品，</w:t>
            </w:r>
            <w:r>
              <w:rPr>
                <w:rFonts w:ascii="Times New Roman" w:hAnsi="Times New Roman" w:eastAsia="宋体"/>
                <w:caps w:val="0"/>
                <w:color w:val="000000" w:themeColor="text1"/>
                <w:sz w:val="24"/>
                <w:highlight w:val="none"/>
                <w14:textFill>
                  <w14:solidFill>
                    <w14:schemeClr w14:val="tx1"/>
                  </w14:solidFill>
                </w14:textFill>
              </w:rPr>
              <w:t>具体产品方案见表1-2。</w:t>
            </w:r>
          </w:p>
          <w:p>
            <w:pPr>
              <w:pStyle w:val="89"/>
              <w:snapToGrid w:val="0"/>
              <w:spacing w:line="240" w:lineRule="auto"/>
              <w:ind w:firstLine="0"/>
              <w:jc w:val="center"/>
              <w:rPr>
                <w:rFonts w:ascii="Times New Roman" w:hAnsi="Times New Roman" w:eastAsia="宋体"/>
                <w:b/>
                <w:bCs/>
                <w:caps w:val="0"/>
                <w:color w:val="000000" w:themeColor="text1"/>
                <w:kern w:val="2"/>
                <w:sz w:val="24"/>
                <w:szCs w:val="24"/>
                <w:highlight w:val="none"/>
                <w14:textFill>
                  <w14:solidFill>
                    <w14:schemeClr w14:val="tx1"/>
                  </w14:solidFill>
                </w14:textFill>
              </w:rPr>
            </w:pPr>
            <w:r>
              <w:rPr>
                <w:rFonts w:ascii="Times New Roman" w:hAnsi="Times New Roman" w:eastAsia="宋体"/>
                <w:b/>
                <w:bCs/>
                <w:caps w:val="0"/>
                <w:color w:val="000000" w:themeColor="text1"/>
                <w:kern w:val="2"/>
                <w:sz w:val="24"/>
                <w:szCs w:val="24"/>
                <w:highlight w:val="none"/>
                <w14:textFill>
                  <w14:solidFill>
                    <w14:schemeClr w14:val="tx1"/>
                  </w14:solidFill>
                </w14:textFill>
              </w:rPr>
              <w:t>表1-2  产品方案</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24"/>
              <w:gridCol w:w="2149"/>
              <w:gridCol w:w="2341"/>
              <w:gridCol w:w="1949"/>
              <w:gridCol w:w="194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tblHeader/>
                <w:jc w:val="center"/>
              </w:trPr>
              <w:tc>
                <w:tcPr>
                  <w:tcW w:w="346" w:type="pct"/>
                  <w:tcBorders>
                    <w:tl2br w:val="nil"/>
                    <w:tr2bl w:val="nil"/>
                  </w:tcBorders>
                  <w:vAlign w:val="center"/>
                </w:tcPr>
                <w:p>
                  <w:pPr>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序号</w:t>
                  </w:r>
                </w:p>
              </w:tc>
              <w:tc>
                <w:tcPr>
                  <w:tcW w:w="1192" w:type="pct"/>
                  <w:tcBorders>
                    <w:tl2br w:val="nil"/>
                    <w:tr2bl w:val="nil"/>
                  </w:tcBorders>
                  <w:vAlign w:val="center"/>
                </w:tcPr>
                <w:p>
                  <w:pPr>
                    <w:jc w:val="center"/>
                    <w:rPr>
                      <w:rFonts w:ascii="Times New Roman" w:hAnsi="Times New Roman" w:eastAsia="宋体"/>
                      <w:b/>
                      <w:bCs/>
                      <w:caps w:val="0"/>
                      <w:color w:val="000000" w:themeColor="text1"/>
                      <w:sz w:val="21"/>
                      <w:szCs w:val="21"/>
                      <w:highlight w:val="none"/>
                      <w:vertAlign w:val="subscript"/>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产品名称</w:t>
                  </w:r>
                </w:p>
              </w:tc>
              <w:tc>
                <w:tcPr>
                  <w:tcW w:w="1298" w:type="pct"/>
                  <w:tcBorders>
                    <w:tl2br w:val="nil"/>
                    <w:tr2bl w:val="nil"/>
                  </w:tcBorders>
                  <w:vAlign w:val="center"/>
                </w:tcPr>
                <w:p>
                  <w:pPr>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改扩建</w:t>
                  </w:r>
                  <w:r>
                    <w:rPr>
                      <w:rFonts w:hint="eastAsia" w:ascii="Times New Roman" w:hAnsi="Times New Roman" w:eastAsia="宋体"/>
                      <w:b/>
                      <w:bCs/>
                      <w:caps w:val="0"/>
                      <w:color w:val="000000" w:themeColor="text1"/>
                      <w:sz w:val="21"/>
                      <w:szCs w:val="21"/>
                      <w:highlight w:val="none"/>
                      <w14:textFill>
                        <w14:solidFill>
                          <w14:schemeClr w14:val="tx1"/>
                        </w14:solidFill>
                      </w14:textFill>
                    </w:rPr>
                    <w:t>前年产量</w:t>
                  </w:r>
                </w:p>
              </w:tc>
              <w:tc>
                <w:tcPr>
                  <w:tcW w:w="1081" w:type="pct"/>
                  <w:tcBorders>
                    <w:tl2br w:val="nil"/>
                    <w:tr2bl w:val="nil"/>
                  </w:tcBorders>
                  <w:vAlign w:val="center"/>
                </w:tcPr>
                <w:p>
                  <w:pPr>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改扩建</w:t>
                  </w:r>
                  <w:r>
                    <w:rPr>
                      <w:rFonts w:hint="eastAsia" w:ascii="Times New Roman" w:hAnsi="Times New Roman" w:eastAsia="宋体"/>
                      <w:b/>
                      <w:bCs/>
                      <w:caps w:val="0"/>
                      <w:color w:val="000000" w:themeColor="text1"/>
                      <w:sz w:val="21"/>
                      <w:szCs w:val="21"/>
                      <w:highlight w:val="none"/>
                      <w14:textFill>
                        <w14:solidFill>
                          <w14:schemeClr w14:val="tx1"/>
                        </w14:solidFill>
                      </w14:textFill>
                    </w:rPr>
                    <w:t>后年产量</w:t>
                  </w:r>
                </w:p>
              </w:tc>
              <w:tc>
                <w:tcPr>
                  <w:tcW w:w="1081" w:type="pct"/>
                  <w:tcBorders>
                    <w:tl2br w:val="nil"/>
                    <w:tr2bl w:val="nil"/>
                  </w:tcBorders>
                  <w:vAlign w:val="center"/>
                </w:tcPr>
                <w:p>
                  <w:pPr>
                    <w:jc w:val="center"/>
                    <w:rPr>
                      <w:rFonts w:hint="default" w:ascii="Times New Roman" w:hAnsi="Times New Roman" w:eastAsia="宋体"/>
                      <w:b/>
                      <w:bCs/>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6" w:type="pct"/>
                  <w:tcBorders>
                    <w:tl2br w:val="nil"/>
                    <w:tr2bl w:val="nil"/>
                  </w:tcBorders>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w:t>
                  </w:r>
                </w:p>
              </w:tc>
              <w:tc>
                <w:tcPr>
                  <w:tcW w:w="1192" w:type="pct"/>
                  <w:tcBorders>
                    <w:tl2br w:val="nil"/>
                    <w:tr2bl w:val="nil"/>
                  </w:tcBorders>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智能阀门</w:t>
                  </w:r>
                </w:p>
              </w:tc>
              <w:tc>
                <w:tcPr>
                  <w:tcW w:w="1298" w:type="pct"/>
                  <w:tcBorders>
                    <w:tl2br w:val="nil"/>
                    <w:tr2bl w:val="nil"/>
                  </w:tcBorders>
                  <w:vAlign w:val="center"/>
                </w:tcPr>
                <w:p>
                  <w:pPr>
                    <w:jc w:val="center"/>
                    <w:rPr>
                      <w:rFonts w:ascii="Times New Roman" w:hAnsi="Times New Roman" w:eastAsia="宋体"/>
                      <w:bCs/>
                      <w:caps w:val="0"/>
                      <w:color w:val="000000" w:themeColor="text1"/>
                      <w:sz w:val="21"/>
                      <w:szCs w:val="21"/>
                      <w:highlight w:val="none"/>
                      <w14:textFill>
                        <w14:solidFill>
                          <w14:schemeClr w14:val="tx1"/>
                        </w14:solidFill>
                      </w14:textFill>
                    </w:rPr>
                  </w:pPr>
                  <w:r>
                    <w:rPr>
                      <w:rFonts w:hint="eastAsia" w:ascii="Times New Roman" w:hAnsi="Times New Roman" w:eastAsia="宋体"/>
                      <w:bCs/>
                      <w:caps w:val="0"/>
                      <w:color w:val="000000" w:themeColor="text1"/>
                      <w:sz w:val="21"/>
                      <w:szCs w:val="21"/>
                      <w:highlight w:val="none"/>
                      <w:lang w:val="en-US" w:eastAsia="zh-CN"/>
                      <w14:textFill>
                        <w14:solidFill>
                          <w14:schemeClr w14:val="tx1"/>
                        </w14:solidFill>
                      </w14:textFill>
                    </w:rPr>
                    <w:t>/</w:t>
                  </w:r>
                </w:p>
              </w:tc>
              <w:tc>
                <w:tcPr>
                  <w:tcW w:w="1081" w:type="pct"/>
                  <w:tcBorders>
                    <w:tl2br w:val="nil"/>
                    <w:tr2bl w:val="nil"/>
                  </w:tcBorders>
                  <w:vAlign w:val="center"/>
                </w:tcPr>
                <w:p>
                  <w:pPr>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ascii="Times New Roman" w:hAnsi="Times New Roman" w:eastAsia="宋体"/>
                      <w:bCs/>
                      <w:caps w:val="0"/>
                      <w:color w:val="000000" w:themeColor="text1"/>
                      <w:sz w:val="21"/>
                      <w:szCs w:val="21"/>
                      <w:highlight w:val="none"/>
                      <w:lang w:val="en-US" w:eastAsia="zh-CN"/>
                      <w14:textFill>
                        <w14:solidFill>
                          <w14:schemeClr w14:val="tx1"/>
                        </w14:solidFill>
                      </w14:textFill>
                    </w:rPr>
                    <w:t>5000吨</w:t>
                  </w:r>
                </w:p>
              </w:tc>
              <w:tc>
                <w:tcPr>
                  <w:tcW w:w="1081" w:type="pct"/>
                  <w:vMerge w:val="restart"/>
                  <w:tcBorders>
                    <w:tl2br w:val="nil"/>
                    <w:tr2bl w:val="nil"/>
                  </w:tcBorders>
                  <w:vAlign w:val="center"/>
                </w:tcPr>
                <w:p>
                  <w:pPr>
                    <w:jc w:val="center"/>
                    <w:rPr>
                      <w:rFonts w:hint="default" w:ascii="Times New Roman" w:hAnsi="Times New Roman" w:eastAsia="宋体"/>
                      <w:bCs/>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Cs/>
                      <w:caps w:val="0"/>
                      <w:color w:val="000000" w:themeColor="text1"/>
                      <w:sz w:val="21"/>
                      <w:szCs w:val="21"/>
                      <w:highlight w:val="none"/>
                      <w:lang w:val="en-US" w:eastAsia="zh-CN"/>
                      <w14:textFill>
                        <w14:solidFill>
                          <w14:schemeClr w14:val="tx1"/>
                        </w14:solidFill>
                      </w14:textFill>
                    </w:rPr>
                    <w:t>2.5万吨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6" w:type="pct"/>
                  <w:tcBorders>
                    <w:tl2br w:val="nil"/>
                    <w:tr2bl w:val="nil"/>
                  </w:tcBorders>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w:t>
                  </w:r>
                </w:p>
              </w:tc>
              <w:tc>
                <w:tcPr>
                  <w:tcW w:w="1192" w:type="pct"/>
                  <w:tcBorders>
                    <w:tl2br w:val="nil"/>
                    <w:tr2bl w:val="nil"/>
                  </w:tcBorders>
                  <w:vAlign w:val="center"/>
                </w:tcPr>
                <w:p>
                  <w:pPr>
                    <w:pStyle w:val="168"/>
                    <w:keepNext w:val="0"/>
                    <w:keepLines w:val="0"/>
                    <w:widowControl/>
                    <w:suppressLineNumbers w:val="0"/>
                    <w:bidi w:val="0"/>
                    <w:spacing w:before="0" w:beforeAutospacing="0" w:after="0" w:afterAutospacing="0"/>
                    <w:ind w:left="0" w:leftChars="0" w:right="0" w:rightChars="0"/>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管件</w:t>
                  </w:r>
                </w:p>
              </w:tc>
              <w:tc>
                <w:tcPr>
                  <w:tcW w:w="2341" w:type="dxa"/>
                  <w:tcBorders>
                    <w:tl2br w:val="nil"/>
                    <w:tr2bl w:val="nil"/>
                  </w:tcBorders>
                  <w:vAlign w:val="center"/>
                </w:tcPr>
                <w:p>
                  <w:pPr>
                    <w:pStyle w:val="168"/>
                    <w:keepNext w:val="0"/>
                    <w:keepLines w:val="0"/>
                    <w:widowControl/>
                    <w:suppressLineNumbers w:val="0"/>
                    <w:bidi w:val="0"/>
                    <w:spacing w:before="0" w:beforeAutospacing="0" w:after="0" w:afterAutospacing="0"/>
                    <w:ind w:left="0" w:leftChars="0" w:right="0" w:rightChars="0"/>
                    <w:rPr>
                      <w:rFonts w:hint="eastAsia" w:ascii="Times New Roman" w:hAnsi="Times New Roman" w:eastAsia="宋体"/>
                      <w:bCs/>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1万吨</w:t>
                  </w:r>
                </w:p>
              </w:tc>
              <w:tc>
                <w:tcPr>
                  <w:tcW w:w="1949" w:type="dxa"/>
                  <w:tcBorders>
                    <w:tl2br w:val="nil"/>
                    <w:tr2bl w:val="nil"/>
                  </w:tcBorders>
                  <w:vAlign w:val="center"/>
                </w:tcPr>
                <w:p>
                  <w:pPr>
                    <w:pStyle w:val="168"/>
                    <w:keepNext w:val="0"/>
                    <w:keepLines w:val="0"/>
                    <w:widowControl/>
                    <w:suppressLineNumbers w:val="0"/>
                    <w:bidi w:val="0"/>
                    <w:spacing w:before="0" w:beforeAutospacing="0" w:after="0" w:afterAutospacing="0"/>
                    <w:ind w:left="0" w:leftChars="0" w:right="0" w:rightChars="0"/>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1万吨</w:t>
                  </w:r>
                </w:p>
              </w:tc>
              <w:tc>
                <w:tcPr>
                  <w:tcW w:w="1081" w:type="pct"/>
                  <w:vMerge w:val="continue"/>
                  <w:tcBorders>
                    <w:tl2br w:val="nil"/>
                    <w:tr2bl w:val="nil"/>
                  </w:tcBorders>
                  <w:vAlign w:val="center"/>
                </w:tcPr>
                <w:p>
                  <w:pPr>
                    <w:jc w:val="center"/>
                    <w:rPr>
                      <w:rFonts w:hint="eastAsia" w:ascii="Times New Roman" w:hAnsi="Times New Roman" w:eastAsia="宋体"/>
                      <w:bCs/>
                      <w:caps w:val="0"/>
                      <w:color w:val="000000" w:themeColor="text1"/>
                      <w:sz w:val="2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6" w:type="pct"/>
                  <w:tcBorders>
                    <w:tl2br w:val="nil"/>
                    <w:tr2bl w:val="nil"/>
                  </w:tcBorders>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3</w:t>
                  </w:r>
                </w:p>
              </w:tc>
              <w:tc>
                <w:tcPr>
                  <w:tcW w:w="1192" w:type="pct"/>
                  <w:tcBorders>
                    <w:tl2br w:val="nil"/>
                    <w:tr2bl w:val="nil"/>
                  </w:tcBorders>
                  <w:vAlign w:val="center"/>
                </w:tcPr>
                <w:p>
                  <w:pPr>
                    <w:pStyle w:val="168"/>
                    <w:keepNext w:val="0"/>
                    <w:keepLines w:val="0"/>
                    <w:widowControl/>
                    <w:suppressLineNumbers w:val="0"/>
                    <w:bidi w:val="0"/>
                    <w:spacing w:before="0" w:beforeAutospacing="0" w:after="0" w:afterAutospacing="0"/>
                    <w:ind w:left="0" w:leftChars="0" w:right="0" w:rightChars="0"/>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阀门</w:t>
                  </w:r>
                </w:p>
              </w:tc>
              <w:tc>
                <w:tcPr>
                  <w:tcW w:w="2341" w:type="dxa"/>
                  <w:tcBorders>
                    <w:tl2br w:val="nil"/>
                    <w:tr2bl w:val="nil"/>
                  </w:tcBorders>
                  <w:vAlign w:val="center"/>
                </w:tcPr>
                <w:p>
                  <w:pPr>
                    <w:pStyle w:val="168"/>
                    <w:keepNext w:val="0"/>
                    <w:keepLines w:val="0"/>
                    <w:widowControl/>
                    <w:suppressLineNumbers w:val="0"/>
                    <w:bidi w:val="0"/>
                    <w:spacing w:before="0" w:beforeAutospacing="0" w:after="0" w:afterAutospacing="0"/>
                    <w:ind w:left="0" w:leftChars="0" w:right="0" w:rightChars="0"/>
                    <w:rPr>
                      <w:rFonts w:hint="eastAsia" w:ascii="Times New Roman" w:hAnsi="Times New Roman" w:eastAsia="宋体"/>
                      <w:bCs/>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0.9万吨</w:t>
                  </w:r>
                </w:p>
              </w:tc>
              <w:tc>
                <w:tcPr>
                  <w:tcW w:w="1949" w:type="dxa"/>
                  <w:tcBorders>
                    <w:tl2br w:val="nil"/>
                    <w:tr2bl w:val="nil"/>
                  </w:tcBorders>
                  <w:vAlign w:val="center"/>
                </w:tcPr>
                <w:p>
                  <w:pPr>
                    <w:pStyle w:val="168"/>
                    <w:keepNext w:val="0"/>
                    <w:keepLines w:val="0"/>
                    <w:widowControl/>
                    <w:suppressLineNumbers w:val="0"/>
                    <w:bidi w:val="0"/>
                    <w:spacing w:before="0" w:beforeAutospacing="0" w:after="0" w:afterAutospacing="0"/>
                    <w:ind w:left="0" w:leftChars="0" w:right="0" w:rightChars="0"/>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0.9万吨</w:t>
                  </w:r>
                </w:p>
              </w:tc>
              <w:tc>
                <w:tcPr>
                  <w:tcW w:w="1081" w:type="pct"/>
                  <w:vMerge w:val="continue"/>
                  <w:tcBorders>
                    <w:tl2br w:val="nil"/>
                    <w:tr2bl w:val="nil"/>
                  </w:tcBorders>
                  <w:vAlign w:val="center"/>
                </w:tcPr>
                <w:p>
                  <w:pPr>
                    <w:jc w:val="center"/>
                    <w:rPr>
                      <w:rFonts w:hint="eastAsia" w:ascii="Times New Roman" w:hAnsi="Times New Roman" w:eastAsia="宋体"/>
                      <w:bCs/>
                      <w:caps w:val="0"/>
                      <w:color w:val="000000" w:themeColor="text1"/>
                      <w:sz w:val="21"/>
                      <w:szCs w:val="21"/>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346" w:type="pct"/>
                  <w:tcBorders>
                    <w:tl2br w:val="nil"/>
                    <w:tr2bl w:val="nil"/>
                  </w:tcBorders>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w:t>
                  </w:r>
                </w:p>
              </w:tc>
              <w:tc>
                <w:tcPr>
                  <w:tcW w:w="1192" w:type="pct"/>
                  <w:tcBorders>
                    <w:tl2br w:val="nil"/>
                    <w:tr2bl w:val="nil"/>
                  </w:tcBorders>
                  <w:vAlign w:val="center"/>
                </w:tcPr>
                <w:p>
                  <w:pPr>
                    <w:pStyle w:val="168"/>
                    <w:keepNext w:val="0"/>
                    <w:keepLines w:val="0"/>
                    <w:widowControl/>
                    <w:suppressLineNumbers w:val="0"/>
                    <w:bidi w:val="0"/>
                    <w:spacing w:before="0" w:beforeAutospacing="0" w:after="0" w:afterAutospacing="0"/>
                    <w:ind w:left="0" w:leftChars="0" w:right="0" w:rightChars="0"/>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轨道交通零部件</w:t>
                  </w:r>
                </w:p>
              </w:tc>
              <w:tc>
                <w:tcPr>
                  <w:tcW w:w="2341" w:type="dxa"/>
                  <w:tcBorders>
                    <w:tl2br w:val="nil"/>
                    <w:tr2bl w:val="nil"/>
                  </w:tcBorders>
                  <w:vAlign w:val="center"/>
                </w:tcPr>
                <w:p>
                  <w:pPr>
                    <w:pStyle w:val="168"/>
                    <w:keepNext w:val="0"/>
                    <w:keepLines w:val="0"/>
                    <w:widowControl/>
                    <w:suppressLineNumbers w:val="0"/>
                    <w:bidi w:val="0"/>
                    <w:spacing w:before="0" w:beforeAutospacing="0" w:after="0" w:afterAutospacing="0"/>
                    <w:ind w:left="0" w:leftChars="0" w:right="0" w:rightChars="0"/>
                    <w:rPr>
                      <w:rFonts w:hint="eastAsia" w:ascii="Times New Roman" w:hAnsi="Times New Roman" w:eastAsia="宋体"/>
                      <w:bCs/>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0.1万吨</w:t>
                  </w:r>
                </w:p>
              </w:tc>
              <w:tc>
                <w:tcPr>
                  <w:tcW w:w="1949" w:type="dxa"/>
                  <w:tcBorders>
                    <w:tl2br w:val="nil"/>
                    <w:tr2bl w:val="nil"/>
                  </w:tcBorders>
                  <w:vAlign w:val="center"/>
                </w:tcPr>
                <w:p>
                  <w:pPr>
                    <w:pStyle w:val="168"/>
                    <w:keepNext w:val="0"/>
                    <w:keepLines w:val="0"/>
                    <w:widowControl/>
                    <w:suppressLineNumbers w:val="0"/>
                    <w:bidi w:val="0"/>
                    <w:spacing w:before="0" w:beforeAutospacing="0" w:after="0" w:afterAutospacing="0"/>
                    <w:ind w:left="0" w:leftChars="0" w:right="0" w:rightChars="0"/>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0.1万吨</w:t>
                  </w:r>
                </w:p>
              </w:tc>
              <w:tc>
                <w:tcPr>
                  <w:tcW w:w="1081" w:type="pct"/>
                  <w:vMerge w:val="continue"/>
                  <w:tcBorders>
                    <w:tl2br w:val="nil"/>
                    <w:tr2bl w:val="nil"/>
                  </w:tcBorders>
                  <w:vAlign w:val="center"/>
                </w:tcPr>
                <w:p>
                  <w:pPr>
                    <w:jc w:val="center"/>
                    <w:rPr>
                      <w:rFonts w:hint="eastAsia" w:ascii="Times New Roman" w:hAnsi="Times New Roman" w:eastAsia="宋体"/>
                      <w:bCs/>
                      <w:caps w:val="0"/>
                      <w:color w:val="000000" w:themeColor="text1"/>
                      <w:sz w:val="21"/>
                      <w:szCs w:val="21"/>
                      <w:highlight w:val="none"/>
                      <w:lang w:val="en-US" w:eastAsia="zh-CN"/>
                      <w14:textFill>
                        <w14:solidFill>
                          <w14:schemeClr w14:val="tx1"/>
                        </w14:solidFill>
                      </w14:textFill>
                    </w:rPr>
                  </w:pPr>
                </w:p>
              </w:tc>
            </w:tr>
          </w:tbl>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（4）项目主要生产设备</w:t>
            </w:r>
          </w:p>
          <w:p>
            <w:pPr>
              <w:spacing w:line="44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表1-3   项目主要设备一览表</w:t>
            </w:r>
          </w:p>
          <w:tbl>
            <w:tblPr>
              <w:tblStyle w:val="3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762"/>
              <w:gridCol w:w="3483"/>
              <w:gridCol w:w="1263"/>
              <w:gridCol w:w="35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4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序号</w:t>
                  </w:r>
                </w:p>
              </w:tc>
              <w:tc>
                <w:tcPr>
                  <w:tcW w:w="19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设备名称及型号</w:t>
                  </w:r>
                </w:p>
              </w:tc>
              <w:tc>
                <w:tcPr>
                  <w:tcW w:w="7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数量（台套）</w:t>
                  </w:r>
                </w:p>
              </w:tc>
              <w:tc>
                <w:tcPr>
                  <w:tcW w:w="19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4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1</w:t>
                  </w:r>
                </w:p>
              </w:tc>
              <w:tc>
                <w:tcPr>
                  <w:tcW w:w="19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立式CNC加工中心</w:t>
                  </w:r>
                </w:p>
              </w:tc>
              <w:tc>
                <w:tcPr>
                  <w:tcW w:w="7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10</w:t>
                  </w:r>
                </w:p>
              </w:tc>
              <w:tc>
                <w:tcPr>
                  <w:tcW w:w="19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4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2</w:t>
                  </w:r>
                </w:p>
              </w:tc>
              <w:tc>
                <w:tcPr>
                  <w:tcW w:w="19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卧式CNC加工中心</w:t>
                  </w:r>
                </w:p>
              </w:tc>
              <w:tc>
                <w:tcPr>
                  <w:tcW w:w="7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3</w:t>
                  </w:r>
                </w:p>
              </w:tc>
              <w:tc>
                <w:tcPr>
                  <w:tcW w:w="19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4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3</w:t>
                  </w:r>
                </w:p>
              </w:tc>
              <w:tc>
                <w:tcPr>
                  <w:tcW w:w="19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三坐标测量机</w:t>
                  </w:r>
                </w:p>
              </w:tc>
              <w:tc>
                <w:tcPr>
                  <w:tcW w:w="7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1</w:t>
                  </w:r>
                </w:p>
              </w:tc>
              <w:tc>
                <w:tcPr>
                  <w:tcW w:w="19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4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4</w:t>
                  </w:r>
                </w:p>
              </w:tc>
              <w:tc>
                <w:tcPr>
                  <w:tcW w:w="19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数控车库</w:t>
                  </w:r>
                </w:p>
              </w:tc>
              <w:tc>
                <w:tcPr>
                  <w:tcW w:w="7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5</w:t>
                  </w:r>
                </w:p>
              </w:tc>
              <w:tc>
                <w:tcPr>
                  <w:tcW w:w="19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left"/>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4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5</w:t>
                  </w:r>
                </w:p>
              </w:tc>
              <w:tc>
                <w:tcPr>
                  <w:tcW w:w="19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立式数控铣床</w:t>
                  </w:r>
                </w:p>
              </w:tc>
              <w:tc>
                <w:tcPr>
                  <w:tcW w:w="7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2</w:t>
                  </w:r>
                </w:p>
              </w:tc>
              <w:tc>
                <w:tcPr>
                  <w:tcW w:w="19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4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6</w:t>
                  </w:r>
                </w:p>
              </w:tc>
              <w:tc>
                <w:tcPr>
                  <w:tcW w:w="19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630" w:firstLineChars="300"/>
                    <w:jc w:val="left"/>
                    <w:textAlignment w:val="center"/>
                    <w:rPr>
                      <w:rFonts w:hint="default" w:ascii="Times New Roman" w:hAnsi="Times New Roman" w:eastAsia="宋体" w:cs="宋体"/>
                      <w:i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阀门产品加工专用机床</w:t>
                  </w:r>
                </w:p>
              </w:tc>
              <w:tc>
                <w:tcPr>
                  <w:tcW w:w="7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20</w:t>
                  </w:r>
                </w:p>
              </w:tc>
              <w:tc>
                <w:tcPr>
                  <w:tcW w:w="19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4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7</w:t>
                  </w:r>
                </w:p>
              </w:tc>
              <w:tc>
                <w:tcPr>
                  <w:tcW w:w="19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自制装配生产线</w:t>
                  </w:r>
                </w:p>
              </w:tc>
              <w:tc>
                <w:tcPr>
                  <w:tcW w:w="7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1条</w:t>
                  </w:r>
                </w:p>
              </w:tc>
              <w:tc>
                <w:tcPr>
                  <w:tcW w:w="19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42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8</w:t>
                  </w:r>
                </w:p>
              </w:tc>
              <w:tc>
                <w:tcPr>
                  <w:tcW w:w="193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aps w:val="0"/>
                      <w:color w:val="000000" w:themeColor="text1"/>
                      <w:kern w:val="0"/>
                      <w:sz w:val="21"/>
                      <w:szCs w:val="21"/>
                      <w:highlight w:val="none"/>
                      <w:u w:val="none"/>
                      <w:lang w:val="en-US" w:eastAsia="zh-CN" w:bidi="ar"/>
                      <w14:textFill>
                        <w14:solidFill>
                          <w14:schemeClr w14:val="tx1"/>
                        </w14:solidFill>
                      </w14:textFill>
                    </w:rPr>
                    <w:t>焚烧炉</w:t>
                  </w:r>
                </w:p>
              </w:tc>
              <w:tc>
                <w:tcPr>
                  <w:tcW w:w="70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1个</w:t>
                  </w:r>
                </w:p>
              </w:tc>
              <w:tc>
                <w:tcPr>
                  <w:tcW w:w="19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aps w:val="0"/>
                      <w:color w:val="000000" w:themeColor="text1"/>
                      <w:kern w:val="0"/>
                      <w:sz w:val="21"/>
                      <w:szCs w:val="21"/>
                      <w:highlight w:val="none"/>
                      <w:u w:val="none"/>
                      <w:lang w:val="en-US" w:eastAsia="zh-CN" w:bidi="ar"/>
                      <w14:textFill>
                        <w14:solidFill>
                          <w14:schemeClr w14:val="tx1"/>
                        </w14:solidFill>
                      </w14:textFill>
                    </w:rPr>
                    <w:t>焚烧不合格铸件表面热固性粉沫涂料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422"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9</w:t>
                  </w:r>
                </w:p>
              </w:tc>
              <w:tc>
                <w:tcPr>
                  <w:tcW w:w="1930"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环保设备</w:t>
                  </w:r>
                </w:p>
              </w:tc>
              <w:tc>
                <w:tcPr>
                  <w:tcW w:w="700"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1套</w:t>
                  </w:r>
                </w:p>
              </w:tc>
              <w:tc>
                <w:tcPr>
                  <w:tcW w:w="1947"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422"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t>10</w:t>
                  </w:r>
                </w:p>
              </w:tc>
              <w:tc>
                <w:tcPr>
                  <w:tcW w:w="1930"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浸（刷）漆专用设施</w:t>
                  </w:r>
                </w:p>
              </w:tc>
              <w:tc>
                <w:tcPr>
                  <w:tcW w:w="700"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default" w:ascii="Times New Roman" w:hAnsi="Times New Roman" w:eastAsia="宋体" w:cs="宋体"/>
                      <w:i w:val="0"/>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1套</w:t>
                  </w:r>
                </w:p>
              </w:tc>
              <w:tc>
                <w:tcPr>
                  <w:tcW w:w="1947"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rPr>
                      <w:rFonts w:hint="eastAsia" w:ascii="Times New Roman" w:hAnsi="Times New Roman" w:eastAsia="宋体" w:cs="宋体"/>
                      <w:i w:val="0"/>
                      <w:color w:val="000000" w:themeColor="text1"/>
                      <w:sz w:val="21"/>
                      <w:szCs w:val="21"/>
                      <w:highlight w:val="none"/>
                      <w:u w:val="none"/>
                      <w14:textFill>
                        <w14:solidFill>
                          <w14:schemeClr w14:val="tx1"/>
                        </w14:solidFill>
                      </w14:textFill>
                    </w:rPr>
                  </w:pPr>
                  <w:r>
                    <w:rPr>
                      <w:rFonts w:hint="eastAsia" w:ascii="Times New Roman" w:hAnsi="Times New Roman" w:eastAsia="宋体" w:cs="宋体"/>
                      <w:i w:val="0"/>
                      <w:color w:val="000000" w:themeColor="text1"/>
                      <w:sz w:val="21"/>
                      <w:szCs w:val="21"/>
                      <w:highlight w:val="none"/>
                      <w:u w:val="none"/>
                      <w:lang w:val="en-US" w:eastAsia="zh-CN"/>
                      <w14:textFill>
                        <w14:solidFill>
                          <w14:schemeClr w14:val="tx1"/>
                        </w14:solidFill>
                      </w14:textFill>
                    </w:rPr>
                    <w:t>/</w:t>
                  </w:r>
                </w:p>
              </w:tc>
            </w:tr>
          </w:tbl>
          <w:p>
            <w:pPr>
              <w:adjustRightInd w:val="0"/>
              <w:spacing w:line="44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（5）项目主要原辅材料和资源、能源消耗情况以及原辅材料理化性质</w:t>
            </w:r>
          </w:p>
          <w:p>
            <w:pPr>
              <w:spacing w:line="44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表1-4   项目主要原辅材料和资源、能源消耗一览表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1756"/>
              <w:gridCol w:w="1169"/>
              <w:gridCol w:w="1034"/>
              <w:gridCol w:w="4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类别</w:t>
                  </w:r>
                </w:p>
              </w:tc>
              <w:tc>
                <w:tcPr>
                  <w:tcW w:w="1756"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名称</w:t>
                  </w:r>
                </w:p>
              </w:tc>
              <w:tc>
                <w:tcPr>
                  <w:tcW w:w="1169"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单位</w:t>
                  </w:r>
                </w:p>
              </w:tc>
              <w:tc>
                <w:tcPr>
                  <w:tcW w:w="1034"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年用量</w:t>
                  </w:r>
                </w:p>
              </w:tc>
              <w:tc>
                <w:tcPr>
                  <w:tcW w:w="4051"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1</w:t>
                  </w:r>
                </w:p>
              </w:tc>
              <w:tc>
                <w:tcPr>
                  <w:tcW w:w="1756" w:type="dxa"/>
                  <w:noWrap w:val="0"/>
                  <w:vAlign w:val="center"/>
                </w:tcPr>
                <w:p>
                  <w:pPr>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阀门铸件毛坯</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吨</w:t>
                  </w:r>
                </w:p>
              </w:tc>
              <w:tc>
                <w:tcPr>
                  <w:tcW w:w="1034"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4800</w:t>
                  </w:r>
                </w:p>
              </w:tc>
              <w:tc>
                <w:tcPr>
                  <w:tcW w:w="4051"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公司供应或外协供应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2</w:t>
                  </w:r>
                </w:p>
              </w:tc>
              <w:tc>
                <w:tcPr>
                  <w:tcW w:w="1756" w:type="dxa"/>
                  <w:noWrap w:val="0"/>
                  <w:vAlign w:val="center"/>
                </w:tcPr>
                <w:p>
                  <w:pPr>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不锈钢</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吨</w:t>
                  </w:r>
                </w:p>
              </w:tc>
              <w:tc>
                <w:tcPr>
                  <w:tcW w:w="1034"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120</w:t>
                  </w:r>
                </w:p>
              </w:tc>
              <w:tc>
                <w:tcPr>
                  <w:tcW w:w="4051"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公司供应或外协供应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3</w:t>
                  </w:r>
                </w:p>
              </w:tc>
              <w:tc>
                <w:tcPr>
                  <w:tcW w:w="1756" w:type="dxa"/>
                  <w:noWrap w:val="0"/>
                  <w:vAlign w:val="center"/>
                </w:tcPr>
                <w:p>
                  <w:pPr>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铜合金</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吨</w:t>
                  </w:r>
                </w:p>
              </w:tc>
              <w:tc>
                <w:tcPr>
                  <w:tcW w:w="1034"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60</w:t>
                  </w:r>
                </w:p>
              </w:tc>
              <w:tc>
                <w:tcPr>
                  <w:tcW w:w="4051"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公司供应或外协供应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4</w:t>
                  </w:r>
                </w:p>
              </w:tc>
              <w:tc>
                <w:tcPr>
                  <w:tcW w:w="1756" w:type="dxa"/>
                  <w:noWrap w:val="0"/>
                  <w:vAlign w:val="center"/>
                </w:tcPr>
                <w:p>
                  <w:pPr>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橡胶</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吨</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20</w:t>
                  </w:r>
                </w:p>
              </w:tc>
              <w:tc>
                <w:tcPr>
                  <w:tcW w:w="4051"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公司供应或外协供应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t>5</w:t>
                  </w:r>
                </w:p>
              </w:tc>
              <w:tc>
                <w:tcPr>
                  <w:tcW w:w="1756" w:type="dxa"/>
                  <w:noWrap w:val="0"/>
                  <w:vAlign w:val="center"/>
                </w:tcPr>
                <w:p>
                  <w:pPr>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切削液</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吨</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default"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0.5</w:t>
                  </w:r>
                </w:p>
              </w:tc>
              <w:tc>
                <w:tcPr>
                  <w:tcW w:w="4051"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aps w:val="0"/>
                      <w:color w:val="000000" w:themeColor="text1"/>
                      <w:sz w:val="21"/>
                      <w:szCs w:val="21"/>
                      <w:highlight w:val="none"/>
                      <w14:textFill>
                        <w14:solidFill>
                          <w14:schemeClr w14:val="tx1"/>
                        </w14:solidFill>
                      </w14:textFill>
                    </w:rPr>
                    <w:t>外购、汽车运输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t>6</w:t>
                  </w:r>
                </w:p>
              </w:tc>
              <w:tc>
                <w:tcPr>
                  <w:tcW w:w="1756" w:type="dxa"/>
                  <w:noWrap w:val="0"/>
                  <w:vAlign w:val="center"/>
                </w:tcPr>
                <w:p>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抗磨液压油</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吨</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0.5</w:t>
                  </w:r>
                </w:p>
              </w:tc>
              <w:tc>
                <w:tcPr>
                  <w:tcW w:w="4051"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aps w:val="0"/>
                      <w:color w:val="000000" w:themeColor="text1"/>
                      <w:sz w:val="21"/>
                      <w:szCs w:val="21"/>
                      <w:highlight w:val="none"/>
                      <w14:textFill>
                        <w14:solidFill>
                          <w14:schemeClr w14:val="tx1"/>
                        </w14:solidFill>
                      </w14:textFill>
                    </w:rPr>
                    <w:t>外购、汽车运输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t>7</w:t>
                  </w:r>
                </w:p>
              </w:tc>
              <w:tc>
                <w:tcPr>
                  <w:tcW w:w="1756" w:type="dxa"/>
                  <w:noWrap w:val="0"/>
                  <w:vAlign w:val="center"/>
                </w:tcPr>
                <w:p>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润滑机油</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吨</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0.5</w:t>
                  </w:r>
                </w:p>
              </w:tc>
              <w:tc>
                <w:tcPr>
                  <w:tcW w:w="4051"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aps w:val="0"/>
                      <w:color w:val="000000" w:themeColor="text1"/>
                      <w:sz w:val="21"/>
                      <w:szCs w:val="21"/>
                      <w:highlight w:val="none"/>
                      <w14:textFill>
                        <w14:solidFill>
                          <w14:schemeClr w14:val="tx1"/>
                        </w14:solidFill>
                      </w14:textFill>
                    </w:rPr>
                    <w:t>外购、汽车运输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default" w:ascii="Times New Roman" w:hAnsi="Times New Roman" w:eastAsia="宋体" w:cs="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t>8</w:t>
                  </w:r>
                </w:p>
              </w:tc>
              <w:tc>
                <w:tcPr>
                  <w:tcW w:w="1756"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i w:val="0"/>
                      <w:caps w:val="0"/>
                      <w:color w:val="000000" w:themeColor="text1"/>
                      <w:spacing w:val="0"/>
                      <w:sz w:val="21"/>
                      <w:szCs w:val="21"/>
                      <w:highlight w:val="none"/>
                      <w:shd w:val="clear" w:color="auto" w:fill="FFFFFF"/>
                      <w14:textFill>
                        <w14:solidFill>
                          <w14:schemeClr w14:val="tx1"/>
                        </w14:solidFill>
                      </w14:textFill>
                    </w:rPr>
                    <w:t>油性漆</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吨</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lang w:eastAsia="zh-CN"/>
                      <w14:textFill>
                        <w14:solidFill>
                          <w14:schemeClr w14:val="tx1"/>
                        </w14:solidFill>
                      </w14:textFill>
                    </w:rPr>
                  </w:pPr>
                  <w:r>
                    <w:rPr>
                      <w:rFonts w:hint="eastAsia" w:ascii="Times New Roman" w:hAnsi="Times New Roman" w:eastAsia="宋体" w:cs="宋体"/>
                      <w:caps w:val="0"/>
                      <w:color w:val="000000" w:themeColor="text1"/>
                      <w:sz w:val="21"/>
                      <w:szCs w:val="21"/>
                      <w:highlight w:val="none"/>
                      <w:lang w:val="en-US" w:eastAsia="zh-CN"/>
                      <w14:textFill>
                        <w14:solidFill>
                          <w14:schemeClr w14:val="tx1"/>
                        </w14:solidFill>
                      </w14:textFill>
                    </w:rPr>
                    <w:t>3</w:t>
                  </w:r>
                </w:p>
              </w:tc>
              <w:tc>
                <w:tcPr>
                  <w:tcW w:w="4051"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aps w:val="0"/>
                      <w:color w:val="000000" w:themeColor="text1"/>
                      <w:sz w:val="21"/>
                      <w:szCs w:val="21"/>
                      <w:highlight w:val="none"/>
                      <w14:textFill>
                        <w14:solidFill>
                          <w14:schemeClr w14:val="tx1"/>
                        </w14:solidFill>
                      </w14:textFill>
                    </w:rPr>
                    <w:t>外购、汽车运输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default" w:ascii="Times New Roman" w:hAnsi="Times New Roman" w:eastAsia="宋体" w:cs="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t>9</w:t>
                  </w:r>
                </w:p>
              </w:tc>
              <w:tc>
                <w:tcPr>
                  <w:tcW w:w="1756"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14:textFill>
                        <w14:solidFill>
                          <w14:schemeClr w14:val="tx1"/>
                        </w14:solidFill>
                      </w14:textFill>
                    </w:rPr>
                  </w:pPr>
                  <w:r>
                    <w:rPr>
                      <w:rFonts w:hint="eastAsia" w:ascii="Times New Roman" w:hAnsi="Times New Roman" w:eastAsia="宋体" w:cs="宋体"/>
                      <w:caps w:val="0"/>
                      <w:color w:val="000000" w:themeColor="text1"/>
                      <w:sz w:val="21"/>
                      <w:szCs w:val="21"/>
                      <w:highlight w:val="none"/>
                      <w:lang w:val="en-US" w:eastAsia="zh-CN"/>
                      <w14:textFill>
                        <w14:solidFill>
                          <w14:schemeClr w14:val="tx1"/>
                        </w14:solidFill>
                      </w14:textFill>
                    </w:rPr>
                    <w:t>稀释剂</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吨</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t>1</w:t>
                  </w:r>
                </w:p>
              </w:tc>
              <w:tc>
                <w:tcPr>
                  <w:tcW w:w="4051"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aps w:val="0"/>
                      <w:color w:val="000000" w:themeColor="text1"/>
                      <w:sz w:val="21"/>
                      <w:szCs w:val="21"/>
                      <w:highlight w:val="none"/>
                      <w14:textFill>
                        <w14:solidFill>
                          <w14:schemeClr w14:val="tx1"/>
                        </w14:solidFill>
                      </w14:textFill>
                    </w:rPr>
                    <w:t>外购、汽车运输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default" w:ascii="Times New Roman" w:hAnsi="Times New Roman" w:eastAsia="宋体" w:cs="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t>10</w:t>
                  </w:r>
                </w:p>
              </w:tc>
              <w:tc>
                <w:tcPr>
                  <w:tcW w:w="1756"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default" w:ascii="Times New Roman" w:hAnsi="Times New Roman" w:eastAsia="宋体" w:cs="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aps w:val="0"/>
                      <w:color w:val="000000" w:themeColor="text1"/>
                      <w:sz w:val="21"/>
                      <w:szCs w:val="21"/>
                      <w:highlight w:val="none"/>
                      <w:lang w:val="en-US" w:eastAsia="zh-CN"/>
                      <w14:textFill>
                        <w14:solidFill>
                          <w14:schemeClr w14:val="tx1"/>
                        </w14:solidFill>
                      </w14:textFill>
                    </w:rPr>
                    <w:t>燃油</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default" w:ascii="Times New Roman" w:hAnsi="Times New Roman" w:eastAsia="宋体" w:cs="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吨</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default"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t>1</w:t>
                  </w:r>
                </w:p>
              </w:tc>
              <w:tc>
                <w:tcPr>
                  <w:tcW w:w="4051"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aps w:val="0"/>
                      <w:color w:val="000000" w:themeColor="text1"/>
                      <w:sz w:val="21"/>
                      <w:szCs w:val="21"/>
                      <w:highlight w:val="none"/>
                      <w14:textFill>
                        <w14:solidFill>
                          <w14:schemeClr w14:val="tx1"/>
                        </w14:solidFill>
                      </w14:textFill>
                    </w:rPr>
                  </w:pPr>
                  <w:r>
                    <w:rPr>
                      <w:rFonts w:hint="eastAsia" w:ascii="Times New Roman" w:hAnsi="Times New Roman" w:eastAsia="宋体" w:cs="宋体"/>
                      <w:caps w:val="0"/>
                      <w:color w:val="000000" w:themeColor="text1"/>
                      <w:sz w:val="21"/>
                      <w:szCs w:val="21"/>
                      <w:highlight w:val="none"/>
                      <w14:textFill>
                        <w14:solidFill>
                          <w14:schemeClr w14:val="tx1"/>
                        </w14:solidFill>
                      </w14:textFill>
                    </w:rPr>
                    <w:t>外购、汽车运输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default" w:ascii="Times New Roman" w:hAnsi="Times New Roman" w:eastAsia="宋体" w:cs="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t>11</w:t>
                  </w:r>
                </w:p>
              </w:tc>
              <w:tc>
                <w:tcPr>
                  <w:tcW w:w="1756"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leftChars="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水</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t/a</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30</w:t>
                  </w:r>
                </w:p>
              </w:tc>
              <w:tc>
                <w:tcPr>
                  <w:tcW w:w="4051"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园区供水管网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8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right="0" w:rightChars="0" w:hanging="10" w:hangingChars="5"/>
                    <w:jc w:val="center"/>
                    <w:textAlignment w:val="auto"/>
                    <w:outlineLvl w:val="9"/>
                    <w:rPr>
                      <w:rFonts w:hint="default" w:ascii="Times New Roman" w:hAnsi="Times New Roman" w:eastAsia="宋体" w:cs="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val="en-US" w:eastAsia="zh-CN"/>
                      <w14:textFill>
                        <w14:solidFill>
                          <w14:schemeClr w14:val="tx1"/>
                        </w14:solidFill>
                      </w14:textFill>
                    </w:rPr>
                    <w:t>12</w:t>
                  </w:r>
                </w:p>
              </w:tc>
              <w:tc>
                <w:tcPr>
                  <w:tcW w:w="1756"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left="10" w:leftChars="0" w:right="0" w:rightChars="0" w:hanging="10" w:hangingChars="5"/>
                    <w:jc w:val="center"/>
                    <w:textAlignment w:val="auto"/>
                    <w:outlineLvl w:val="9"/>
                    <w:rPr>
                      <w:rFonts w:hint="eastAsia" w:ascii="Times New Roman" w:hAnsi="Times New Roman" w:eastAsia="宋体" w:cs="宋体"/>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电</w:t>
                  </w:r>
                </w:p>
              </w:tc>
              <w:tc>
                <w:tcPr>
                  <w:tcW w:w="1169"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万KWh</w:t>
                  </w: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/a</w:t>
                  </w:r>
                </w:p>
              </w:tc>
              <w:tc>
                <w:tcPr>
                  <w:tcW w:w="1034"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sz w:val="21"/>
                      <w:szCs w:val="21"/>
                      <w:highlight w:val="none"/>
                      <w:lang w:val="en-US" w:eastAsia="zh-CN"/>
                      <w14:textFill>
                        <w14:solidFill>
                          <w14:schemeClr w14:val="tx1"/>
                        </w14:solidFill>
                      </w14:textFill>
                    </w:rPr>
                    <w:t>100</w:t>
                  </w:r>
                </w:p>
              </w:tc>
              <w:tc>
                <w:tcPr>
                  <w:tcW w:w="4051"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s="宋体"/>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kern w:val="0"/>
                      <w:sz w:val="21"/>
                      <w:szCs w:val="21"/>
                      <w:highlight w:val="none"/>
                      <w14:textFill>
                        <w14:solidFill>
                          <w14:schemeClr w14:val="tx1"/>
                        </w14:solidFill>
                      </w14:textFill>
                    </w:rPr>
                    <w:t>园区电网供电</w:t>
                  </w:r>
                </w:p>
              </w:tc>
            </w:tr>
          </w:tbl>
          <w:p>
            <w:pPr>
              <w:spacing w:line="460" w:lineRule="exact"/>
              <w:ind w:firstLine="472" w:firstLineChars="196"/>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原辅材料理化性质：</w:t>
            </w:r>
          </w:p>
          <w:p>
            <w:pPr>
              <w:spacing w:line="360" w:lineRule="auto"/>
              <w:ind w:firstLine="480" w:firstLineChars="20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切削液：项目使用化学合成基础油（即不含矿物油）的水溶性切削液。切削液是一种用在金属切削、磨加工过程中，用来冷却和润滑刀具及加工件的工业用液体，切削液由多种超强功能助剂经科学复合配合而成，同时具备良好的冷却性能、润滑性能、防锈性能、除油清洗功能、防腐功能、易稀释特点。克服了传统皂基乳化液夏天易臭、冬天难稀释、防锈效果差的毛病，对车床漆也无不良影响，适用于黑色金属的切削及磨加工，属当前最领先的磨削产品。切削液具有良好的冷却、防锈、清洗等特点，并且无毒、无味、对人体无侵蚀、对设备不腐蚀、对环境不污染等特点。</w:t>
            </w:r>
          </w:p>
          <w:p>
            <w:pPr>
              <w:spacing w:line="360" w:lineRule="auto"/>
              <w:ind w:firstLine="480" w:firstLineChars="20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抗磨液压油：采用精致高粘度指数基础油，加入抗磨、抗氧、防锈、金属钝化、抗泡沫、抗乳化等多种添加剂制得，具有良好的抗氧性、防锈性、润滑性、抗磨性。适用于液压设备，外观为淡黄色液体，运动粘度（40℃），46 mm2/s，闪点202℃，溶于乙醇、苯、乙醚等多种有机溶剂。</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润滑机油：即发动机润滑油，外观为淡黄色液体，加入抗磨、抗氧、防锈、金属钝化、抗泡沫、抗乳化等多种添加剂，具有良好的抗氧化、防锈性、润滑性、抗磨性和较好的空气释放性等。</w:t>
            </w:r>
          </w:p>
          <w:p>
            <w:pPr>
              <w:jc w:val="center"/>
              <w:rPr>
                <w:rFonts w:ascii="Times New Roman" w:hAnsi="Times New Roman" w:eastAsia="宋体"/>
                <w:b/>
                <w:bCs/>
                <w:color w:val="000000" w:themeColor="text1"/>
                <w:sz w:val="24"/>
                <w:szCs w:val="24"/>
                <w:highlight w:val="none"/>
                <w14:textFill>
                  <w14:solidFill>
                    <w14:schemeClr w14:val="tx1"/>
                  </w14:solidFill>
                </w14:textFill>
              </w:rPr>
            </w:pPr>
            <w:r>
              <w:rPr>
                <w:rFonts w:hint="eastAsia" w:ascii="Times New Roman" w:hAnsi="Times New Roman" w:eastAsia="宋体"/>
                <w:b/>
                <w:bCs/>
                <w:color w:val="000000" w:themeColor="text1"/>
                <w:sz w:val="24"/>
                <w:szCs w:val="24"/>
                <w:highlight w:val="none"/>
                <w:lang w:val="en-US" w:eastAsia="zh-CN"/>
                <w14:textFill>
                  <w14:solidFill>
                    <w14:schemeClr w14:val="tx1"/>
                  </w14:solidFill>
                </w14:textFill>
              </w:rPr>
              <w:t xml:space="preserve">表1-5  </w:t>
            </w:r>
            <w:r>
              <w:rPr>
                <w:rFonts w:hint="eastAsia" w:ascii="Times New Roman" w:hAnsi="Times New Roman" w:eastAsia="宋体"/>
                <w:b/>
                <w:bCs/>
                <w:color w:val="000000" w:themeColor="text1"/>
                <w:sz w:val="24"/>
                <w:szCs w:val="24"/>
                <w:highlight w:val="none"/>
                <w14:textFill>
                  <w14:solidFill>
                    <w14:schemeClr w14:val="tx1"/>
                  </w14:solidFill>
                </w14:textFill>
              </w:rPr>
              <w:t>环氧富锌防腐涂料成分表</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8"/>
              <w:gridCol w:w="4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二甲苯</w:t>
                  </w:r>
                </w:p>
              </w:tc>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ascii="Times New Roman" w:hAnsi="Times New Roman" w:eastAsia="宋体" w:cs="Times New Roman"/>
                      <w:b w:val="0"/>
                      <w:bCs w:val="0"/>
                      <w:color w:val="000000" w:themeColor="text1"/>
                      <w:sz w:val="21"/>
                      <w:szCs w:val="21"/>
                      <w:highlight w:val="none"/>
                      <w14:textFill>
                        <w14:solidFill>
                          <w14:schemeClr w14:val="tx1"/>
                        </w14:solidFill>
                      </w14:textFill>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正丁醇</w:t>
                  </w:r>
                </w:p>
              </w:tc>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ascii="Times New Roman" w:hAnsi="Times New Roman" w:eastAsia="宋体" w:cs="Times New Roman"/>
                      <w:b w:val="0"/>
                      <w:bCs w:val="0"/>
                      <w:color w:val="000000" w:themeColor="text1"/>
                      <w:sz w:val="21"/>
                      <w:szCs w:val="21"/>
                      <w:highlight w:val="none"/>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环氧树脂</w:t>
                  </w:r>
                </w:p>
              </w:tc>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ascii="Times New Roman" w:hAnsi="Times New Roman" w:eastAsia="宋体" w:cs="Times New Roman"/>
                      <w:b w:val="0"/>
                      <w:bCs w:val="0"/>
                      <w:color w:val="000000" w:themeColor="text1"/>
                      <w:sz w:val="21"/>
                      <w:szCs w:val="21"/>
                      <w:highlight w:val="none"/>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防沉剂</w:t>
                  </w:r>
                </w:p>
              </w:tc>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ascii="Times New Roman" w:hAnsi="Times New Roman" w:eastAsia="宋体" w:cs="Times New Roman"/>
                      <w:b w:val="0"/>
                      <w:bCs w:val="0"/>
                      <w:color w:val="000000" w:themeColor="text1"/>
                      <w:sz w:val="21"/>
                      <w:szCs w:val="21"/>
                      <w:highlight w:val="none"/>
                      <w14:textFill>
                        <w14:solidFill>
                          <w14:schemeClr w14:val="tx1"/>
                        </w14:solidFill>
                      </w14:textFill>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锌粉</w:t>
                  </w:r>
                </w:p>
              </w:tc>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ascii="Times New Roman" w:hAnsi="Times New Roman" w:eastAsia="宋体" w:cs="Times New Roman"/>
                      <w:b w:val="0"/>
                      <w:bCs w:val="0"/>
                      <w:color w:val="000000" w:themeColor="text1"/>
                      <w:sz w:val="21"/>
                      <w:szCs w:val="21"/>
                      <w:highlight w:val="none"/>
                      <w14:textFill>
                        <w14:solidFill>
                          <w14:schemeClr w14:val="tx1"/>
                        </w14:solidFill>
                      </w14:textFill>
                    </w:rPr>
                    <w:t>70.6</w:t>
                  </w:r>
                </w:p>
              </w:tc>
            </w:tr>
          </w:tbl>
          <w:p>
            <w:pPr>
              <w:jc w:val="center"/>
              <w:rPr>
                <w:rFonts w:ascii="Times New Roman" w:hAnsi="Times New Roman" w:eastAsia="宋体"/>
                <w:b/>
                <w:bCs/>
                <w:color w:val="000000" w:themeColor="text1"/>
                <w:sz w:val="24"/>
                <w:szCs w:val="24"/>
                <w:highlight w:val="none"/>
                <w14:textFill>
                  <w14:solidFill>
                    <w14:schemeClr w14:val="tx1"/>
                  </w14:solidFill>
                </w14:textFill>
              </w:rPr>
            </w:pPr>
            <w:r>
              <w:rPr>
                <w:rFonts w:hint="eastAsia" w:ascii="Times New Roman" w:hAnsi="Times New Roman" w:eastAsia="宋体"/>
                <w:b/>
                <w:bCs/>
                <w:color w:val="000000" w:themeColor="text1"/>
                <w:sz w:val="24"/>
                <w:szCs w:val="24"/>
                <w:highlight w:val="none"/>
                <w:lang w:val="en-US" w:eastAsia="zh-CN"/>
                <w14:textFill>
                  <w14:solidFill>
                    <w14:schemeClr w14:val="tx1"/>
                  </w14:solidFill>
                </w14:textFill>
              </w:rPr>
              <w:t xml:space="preserve">表1-6  </w:t>
            </w:r>
            <w:r>
              <w:rPr>
                <w:rFonts w:hint="eastAsia" w:ascii="Times New Roman" w:hAnsi="Times New Roman" w:eastAsia="宋体"/>
                <w:b/>
                <w:bCs/>
                <w:color w:val="000000" w:themeColor="text1"/>
                <w:sz w:val="24"/>
                <w:szCs w:val="24"/>
                <w:highlight w:val="none"/>
                <w14:textFill>
                  <w14:solidFill>
                    <w14:schemeClr w14:val="tx1"/>
                  </w14:solidFill>
                </w14:textFill>
              </w:rPr>
              <w:t>稀释剂成分表</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8"/>
              <w:gridCol w:w="4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二甲苯</w:t>
                  </w:r>
                </w:p>
              </w:tc>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正丁醇</w:t>
                  </w:r>
                </w:p>
              </w:tc>
              <w:tc>
                <w:tcPr>
                  <w:tcW w:w="2500" w:type="pct"/>
                  <w:vAlign w:val="center"/>
                </w:tcPr>
                <w:p>
                  <w:pPr>
                    <w:pStyle w:val="24"/>
                    <w:jc w:val="center"/>
                    <w:rPr>
                      <w:rFonts w:ascii="Times New Roman" w:hAnsi="Times New Roman" w:eastAsia="宋体" w:cs="Times New Roman"/>
                      <w:b w:val="0"/>
                      <w:bC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14:textFill>
                        <w14:solidFill>
                          <w14:schemeClr w14:val="tx1"/>
                        </w14:solidFill>
                      </w14:textFill>
                    </w:rPr>
                    <w:t>30</w:t>
                  </w:r>
                </w:p>
              </w:tc>
            </w:tr>
          </w:tbl>
          <w:p>
            <w:pPr>
              <w:spacing w:line="460" w:lineRule="exact"/>
              <w:ind w:firstLine="472" w:firstLineChars="196"/>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（6）公用工程</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①</w:t>
            </w:r>
            <w:r>
              <w:rPr>
                <w:rFonts w:ascii="Times New Roman" w:hAnsi="Times New Roman" w:eastAsia="宋体"/>
                <w:caps w:val="0"/>
                <w:color w:val="000000" w:themeColor="text1"/>
                <w:sz w:val="24"/>
                <w:highlight w:val="none"/>
                <w14:textFill>
                  <w14:solidFill>
                    <w14:schemeClr w14:val="tx1"/>
                  </w14:solidFill>
                </w14:textFill>
              </w:rPr>
              <w:t>供电</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项目供电由当地市政电网提供。</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②</w:t>
            </w:r>
            <w:r>
              <w:rPr>
                <w:rFonts w:ascii="Times New Roman" w:hAnsi="Times New Roman" w:eastAsia="宋体"/>
                <w:caps w:val="0"/>
                <w:color w:val="000000" w:themeColor="text1"/>
                <w:sz w:val="24"/>
                <w:highlight w:val="none"/>
                <w14:textFill>
                  <w14:solidFill>
                    <w14:schemeClr w14:val="tx1"/>
                  </w14:solidFill>
                </w14:textFill>
              </w:rPr>
              <w:t>给水</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项目用水依托已建设管网供水，项目用水主要为职工生活用水和生产用水。</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③</w:t>
            </w:r>
            <w:r>
              <w:rPr>
                <w:rFonts w:ascii="Times New Roman" w:hAnsi="Times New Roman" w:eastAsia="宋体"/>
                <w:caps w:val="0"/>
                <w:color w:val="000000" w:themeColor="text1"/>
                <w:sz w:val="24"/>
                <w:highlight w:val="none"/>
                <w14:textFill>
                  <w14:solidFill>
                    <w14:schemeClr w14:val="tx1"/>
                  </w14:solidFill>
                </w14:textFill>
              </w:rPr>
              <w:t>排水</w:t>
            </w:r>
          </w:p>
          <w:p>
            <w:pPr>
              <w:autoSpaceDE w:val="0"/>
              <w:adjustRightInd w:val="0"/>
              <w:spacing w:line="360" w:lineRule="auto"/>
              <w:ind w:firstLine="482"/>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厂区排水为雨、污分流制，雨水进入市政雨水管网；生活污水经</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化粪池处理后</w:t>
            </w:r>
            <w:r>
              <w:rPr>
                <w:rFonts w:ascii="Times New Roman" w:hAnsi="Times New Roman" w:eastAsia="宋体"/>
                <w:caps w:val="0"/>
                <w:color w:val="000000" w:themeColor="text1"/>
                <w:sz w:val="24"/>
                <w:highlight w:val="none"/>
                <w14:textFill>
                  <w14:solidFill>
                    <w14:schemeClr w14:val="tx1"/>
                  </w14:solidFill>
                </w14:textFill>
              </w:rPr>
              <w:t>接管排市政管网送繁昌县第二污水处理厂处理。</w:t>
            </w:r>
          </w:p>
          <w:p>
            <w:pPr>
              <w:spacing w:line="460" w:lineRule="exact"/>
              <w:ind w:firstLine="472" w:firstLineChars="196"/>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（7）总定员人数及工作制度</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劳动定员：</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本项目新增劳动定员50</w:t>
            </w:r>
            <w:r>
              <w:rPr>
                <w:rFonts w:hint="eastAsia" w:ascii="Times New Roman" w:hAnsi="Times New Roman" w:eastAsia="宋体"/>
                <w:caps w:val="0"/>
                <w:color w:val="000000" w:themeColor="text1"/>
                <w:sz w:val="24"/>
                <w:highlight w:val="none"/>
                <w14:textFill>
                  <w14:solidFill>
                    <w14:schemeClr w14:val="tx1"/>
                  </w14:solidFill>
                </w14:textFill>
              </w:rPr>
              <w:t>人</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公司统一订餐</w:t>
            </w:r>
            <w:r>
              <w:rPr>
                <w:rFonts w:ascii="Times New Roman" w:hAnsi="Times New Roman" w:eastAsia="宋体"/>
                <w:caps w:val="0"/>
                <w:color w:val="000000" w:themeColor="text1"/>
                <w:sz w:val="24"/>
                <w:highlight w:val="none"/>
                <w14:textFill>
                  <w14:solidFill>
                    <w14:schemeClr w14:val="tx1"/>
                  </w14:solidFill>
                </w14:textFill>
              </w:rPr>
              <w:t>。</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工作制度：年工作300天，实行</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单</w:t>
            </w:r>
            <w:r>
              <w:rPr>
                <w:rFonts w:ascii="Times New Roman" w:hAnsi="Times New Roman" w:eastAsia="宋体"/>
                <w:caps w:val="0"/>
                <w:color w:val="000000" w:themeColor="text1"/>
                <w:sz w:val="24"/>
                <w:highlight w:val="none"/>
                <w14:textFill>
                  <w14:solidFill>
                    <w14:schemeClr w14:val="tx1"/>
                  </w14:solidFill>
                </w14:textFill>
              </w:rPr>
              <w:t>班制，每班工作8小时。</w:t>
            </w:r>
          </w:p>
          <w:p>
            <w:pPr>
              <w:spacing w:line="460" w:lineRule="exact"/>
              <w:ind w:firstLine="482"/>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（8）平面布置分析</w:t>
            </w:r>
          </w:p>
          <w:p>
            <w:pPr>
              <w:pStyle w:val="19"/>
              <w:spacing w:after="0" w:line="360" w:lineRule="auto"/>
              <w:ind w:left="0" w:leftChars="0"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szCs w:val="22"/>
                <w:highlight w:val="none"/>
                <w14:textFill>
                  <w14:solidFill>
                    <w14:schemeClr w14:val="tx1"/>
                  </w14:solidFill>
                </w14:textFill>
              </w:rPr>
              <w:t>本项目总平面布置上，项目分为生产区、原料仓库、成品仓库</w:t>
            </w:r>
            <w:r>
              <w:rPr>
                <w:rFonts w:hint="eastAsia" w:ascii="Times New Roman" w:hAnsi="Times New Roman" w:eastAsia="宋体"/>
                <w:caps w:val="0"/>
                <w:color w:val="000000" w:themeColor="text1"/>
                <w:sz w:val="24"/>
                <w:szCs w:val="22"/>
                <w:highlight w:val="none"/>
                <w:lang w:eastAsia="zh-CN"/>
                <w14:textFill>
                  <w14:solidFill>
                    <w14:schemeClr w14:val="tx1"/>
                  </w14:solidFill>
                </w14:textFill>
              </w:rPr>
              <w:t>、</w:t>
            </w:r>
            <w:r>
              <w:rPr>
                <w:rFonts w:hint="eastAsia" w:ascii="Times New Roman" w:hAnsi="Times New Roman" w:eastAsia="宋体"/>
                <w:caps w:val="0"/>
                <w:color w:val="000000" w:themeColor="text1"/>
                <w:sz w:val="24"/>
                <w:szCs w:val="22"/>
                <w:highlight w:val="none"/>
                <w:lang w:val="en-US" w:eastAsia="zh-CN"/>
                <w14:textFill>
                  <w14:solidFill>
                    <w14:schemeClr w14:val="tx1"/>
                  </w14:solidFill>
                </w14:textFill>
              </w:rPr>
              <w:t>生活办公区</w:t>
            </w:r>
            <w:r>
              <w:rPr>
                <w:rFonts w:ascii="Times New Roman" w:hAnsi="Times New Roman" w:eastAsia="宋体"/>
                <w:caps w:val="0"/>
                <w:color w:val="000000" w:themeColor="text1"/>
                <w:sz w:val="24"/>
                <w:szCs w:val="22"/>
                <w:highlight w:val="none"/>
                <w14:textFill>
                  <w14:solidFill>
                    <w14:schemeClr w14:val="tx1"/>
                  </w14:solidFill>
                </w14:textFill>
              </w:rPr>
              <w:t>。本项目生产厂房内各设施按照工艺流程进行合理布设，物料输送短捷，可以满足物料流程的需要，确保生产厂房污染程度最低。本项目布局紧凑，可以满足节约占地的要求。各功能区分区明确，满足非生产及无关人员进入生产区的要求</w:t>
            </w:r>
            <w:r>
              <w:rPr>
                <w:rFonts w:ascii="Times New Roman" w:hAnsi="Times New Roman" w:eastAsia="宋体"/>
                <w:caps w:val="0"/>
                <w:color w:val="000000" w:themeColor="text1"/>
                <w:sz w:val="24"/>
                <w:highlight w:val="none"/>
                <w14:textFill>
                  <w14:solidFill>
                    <w14:schemeClr w14:val="tx1"/>
                  </w14:solidFill>
                </w14:textFill>
              </w:rPr>
              <w:t>。</w:t>
            </w:r>
          </w:p>
          <w:p>
            <w:pPr>
              <w:spacing w:line="360" w:lineRule="auto"/>
              <w:ind w:firstLine="482"/>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综上分析，项目厂区平面布局合理。</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4、选址合理性分析</w:t>
            </w:r>
          </w:p>
          <w:p>
            <w:pPr>
              <w:spacing w:line="460" w:lineRule="exact"/>
              <w:ind w:firstLine="480" w:firstLineChars="200"/>
              <w:rPr>
                <w:rFonts w:ascii="Times New Roman" w:hAnsi="Times New Roman" w:eastAsia="宋体"/>
                <w:bCs/>
                <w:caps w:val="0"/>
                <w:color w:val="000000" w:themeColor="text1"/>
                <w:sz w:val="24"/>
                <w:highlight w:val="none"/>
                <w14:textFill>
                  <w14:solidFill>
                    <w14:schemeClr w14:val="tx1"/>
                  </w14:solidFill>
                </w14:textFill>
              </w:rPr>
            </w:pPr>
            <w:r>
              <w:rPr>
                <w:rFonts w:ascii="Times New Roman" w:hAnsi="Times New Roman" w:eastAsia="宋体"/>
                <w:bCs/>
                <w:caps w:val="0"/>
                <w:color w:val="000000" w:themeColor="text1"/>
                <w:sz w:val="24"/>
                <w:highlight w:val="none"/>
                <w14:textFill>
                  <w14:solidFill>
                    <w14:schemeClr w14:val="tx1"/>
                  </w14:solidFill>
                </w14:textFill>
              </w:rPr>
              <w:t>本项目位于</w:t>
            </w:r>
            <w:r>
              <w:rPr>
                <w:rFonts w:hint="eastAsia" w:ascii="Times New Roman" w:hAnsi="Times New Roman" w:eastAsia="宋体"/>
                <w:bCs/>
                <w:caps w:val="0"/>
                <w:color w:val="000000" w:themeColor="text1"/>
                <w:sz w:val="24"/>
                <w:highlight w:val="none"/>
                <w14:textFill>
                  <w14:solidFill>
                    <w14:schemeClr w14:val="tx1"/>
                  </w14:solidFill>
                </w14:textFill>
              </w:rPr>
              <w:t>繁昌经济开发区孙村园区</w:t>
            </w:r>
            <w:r>
              <w:rPr>
                <w:rFonts w:ascii="Times New Roman" w:hAnsi="Times New Roman" w:eastAsia="宋体"/>
                <w:bCs/>
                <w:caps w:val="0"/>
                <w:color w:val="000000" w:themeColor="text1"/>
                <w:sz w:val="24"/>
                <w:highlight w:val="none"/>
                <w14:textFill>
                  <w14:solidFill>
                    <w14:schemeClr w14:val="tx1"/>
                  </w14:solidFill>
                </w14:textFill>
              </w:rPr>
              <w:t>，根据《芜湖孙村经济开发区总体规划》，开发区以轻工纺织服装产业集群和机械铸造产业集群为主导，本项目属于机械铸造行业，因此项目选址合理。</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5、相关政策与规划符合性分析</w:t>
            </w:r>
          </w:p>
          <w:p>
            <w:pPr>
              <w:adjustRightInd w:val="0"/>
              <w:spacing w:line="460" w:lineRule="exact"/>
              <w:ind w:firstLine="482" w:firstLineChars="200"/>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（1）产业政策相符性</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建设项目行业类别为</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C3443</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阀门和旋塞制造</w:t>
            </w:r>
            <w:r>
              <w:rPr>
                <w:rFonts w:ascii="Times New Roman" w:hAnsi="Times New Roman" w:eastAsia="宋体"/>
                <w:caps w:val="0"/>
                <w:color w:val="000000" w:themeColor="text1"/>
                <w:sz w:val="24"/>
                <w:highlight w:val="none"/>
                <w14:textFill>
                  <w14:solidFill>
                    <w14:schemeClr w14:val="tx1"/>
                  </w14:solidFill>
                </w14:textFill>
              </w:rPr>
              <w:t>，对照《产业结构调整指导目录》（2019年本）的有关条款的决定，本项目不在现行产业政策中规定的限制和淘汰类建设项目之列，不在鼓励建设项目之列，视为允许项目，符合国家的产业政策；对照《安徽省工业产业结构调整指导目录》（2007年本），本项目不属于</w:t>
            </w:r>
            <w:r>
              <w:rPr>
                <w:rFonts w:ascii="Times New Roman" w:hAnsi="Times New Roman" w:eastAsia="宋体"/>
                <w:caps w:val="0"/>
                <w:color w:val="000000" w:themeColor="text1"/>
                <w:sz w:val="24"/>
                <w:highlight w:val="none"/>
                <w14:textFill>
                  <w14:solidFill>
                    <w14:schemeClr w14:val="tx1"/>
                  </w14:solidFill>
                </w14:textFill>
              </w:rPr>
              <w:t>安徽省规定的鼓励类、淘汰类之列，应视为允许类之列。</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该项目已经于20</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20</w:t>
            </w:r>
            <w:r>
              <w:rPr>
                <w:rFonts w:ascii="Times New Roman" w:hAnsi="Times New Roman" w:eastAsia="宋体"/>
                <w:caps w:val="0"/>
                <w:color w:val="000000" w:themeColor="text1"/>
                <w:sz w:val="24"/>
                <w:highlight w:val="none"/>
                <w14:textFill>
                  <w14:solidFill>
                    <w14:schemeClr w14:val="tx1"/>
                  </w14:solidFill>
                </w14:textFill>
              </w:rPr>
              <w:t>年</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12</w:t>
            </w:r>
            <w:r>
              <w:rPr>
                <w:rFonts w:ascii="Times New Roman" w:hAnsi="Times New Roman" w:eastAsia="宋体"/>
                <w:caps w:val="0"/>
                <w:color w:val="000000" w:themeColor="text1"/>
                <w:sz w:val="24"/>
                <w:highlight w:val="none"/>
                <w14:textFill>
                  <w14:solidFill>
                    <w14:schemeClr w14:val="tx1"/>
                  </w14:solidFill>
                </w14:textFill>
              </w:rPr>
              <w:t>月</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日获得了繁昌</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区发展和改革委员会</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关于对芜湖市金贸流体科技股份有限公司年产5000吨智能阀门精加工生产建设项目备案的通知</w:t>
            </w:r>
            <w:r>
              <w:rPr>
                <w:rFonts w:ascii="Times New Roman" w:hAnsi="Times New Roman" w:eastAsia="宋体"/>
                <w:caps w:val="0"/>
                <w:color w:val="000000" w:themeColor="text1"/>
                <w:sz w:val="24"/>
                <w:highlight w:val="none"/>
                <w14:textFill>
                  <w14:solidFill>
                    <w14:schemeClr w14:val="tx1"/>
                  </w14:solidFill>
                </w14:textFill>
              </w:rPr>
              <w:t>”（项目编码：</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发改告知</w:t>
            </w:r>
            <w:r>
              <w:rPr>
                <w:rFonts w:ascii="Times New Roman" w:hAnsi="Times New Roman" w:eastAsia="宋体"/>
                <w:caps w:val="0"/>
                <w:color w:val="000000" w:themeColor="text1"/>
                <w:sz w:val="24"/>
                <w:highlight w:val="none"/>
                <w14:textFill>
                  <w14:solidFill>
                    <w14:schemeClr w14:val="tx1"/>
                  </w14:solidFill>
                </w14:textFill>
              </w:rPr>
              <w:t>【20</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20</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48</w:t>
            </w:r>
            <w:r>
              <w:rPr>
                <w:rFonts w:ascii="Times New Roman" w:hAnsi="Times New Roman" w:eastAsia="宋体"/>
                <w:caps w:val="0"/>
                <w:color w:val="000000" w:themeColor="text1"/>
                <w:sz w:val="24"/>
                <w:highlight w:val="none"/>
                <w14:textFill>
                  <w14:solidFill>
                    <w14:schemeClr w14:val="tx1"/>
                  </w14:solidFill>
                </w14:textFill>
              </w:rPr>
              <w:t>号）。</w:t>
            </w:r>
          </w:p>
          <w:p>
            <w:pPr>
              <w:pStyle w:val="1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因此本项目符合国家和安徽相关产业政策。</w:t>
            </w:r>
          </w:p>
          <w:p>
            <w:pPr>
              <w:pStyle w:val="10"/>
              <w:spacing w:line="460" w:lineRule="exact"/>
              <w:ind w:firstLine="482" w:firstLineChars="200"/>
              <w:rPr>
                <w:rFonts w:ascii="Times New Roman" w:hAnsi="Times New Roman" w:eastAsia="宋体"/>
                <w:b/>
                <w:bCs/>
                <w:caps w:val="0"/>
                <w:color w:val="000000" w:themeColor="text1"/>
                <w:sz w:val="24"/>
                <w:highlight w:val="none"/>
                <w14:textFill>
                  <w14:solidFill>
                    <w14:schemeClr w14:val="tx1"/>
                  </w14:solidFill>
                </w14:textFill>
              </w:rPr>
            </w:pPr>
            <w:r>
              <w:rPr>
                <w:rFonts w:hint="eastAsia" w:ascii="Times New Roman" w:hAnsi="Times New Roman" w:eastAsia="宋体"/>
                <w:b/>
                <w:bCs/>
                <w:caps w:val="0"/>
                <w:color w:val="000000" w:themeColor="text1"/>
                <w:sz w:val="24"/>
                <w:highlight w:val="none"/>
                <w14:textFill>
                  <w14:solidFill>
                    <w14:schemeClr w14:val="tx1"/>
                  </w14:solidFill>
                </w14:textFill>
              </w:rPr>
              <w:t>（2）与芜湖孙村经济开发区总体规划及审查意见相符性分析</w:t>
            </w:r>
          </w:p>
          <w:p>
            <w:pPr>
              <w:pStyle w:val="10"/>
              <w:spacing w:line="460" w:lineRule="exact"/>
              <w:ind w:firstLine="480" w:firstLineChars="200"/>
              <w:rPr>
                <w:rFonts w:hint="eastAsia" w:ascii="Times New Roman" w:hAnsi="Times New Roman" w:eastAsia="宋体"/>
                <w:bCs/>
                <w:caps w:val="0"/>
                <w:color w:val="000000" w:themeColor="text1"/>
                <w:sz w:val="24"/>
                <w:highlight w:val="none"/>
                <w14:textFill>
                  <w14:solidFill>
                    <w14:schemeClr w14:val="tx1"/>
                  </w14:solidFill>
                </w14:textFill>
              </w:rPr>
            </w:pPr>
            <w:r>
              <w:rPr>
                <w:rFonts w:hint="eastAsia" w:ascii="Times New Roman" w:hAnsi="Times New Roman" w:eastAsia="宋体"/>
                <w:bCs/>
                <w:caps w:val="0"/>
                <w:color w:val="000000" w:themeColor="text1"/>
                <w:sz w:val="24"/>
                <w:highlight w:val="none"/>
                <w14:textFill>
                  <w14:solidFill>
                    <w14:schemeClr w14:val="tx1"/>
                  </w14:solidFill>
                </w14:textFill>
              </w:rPr>
              <w:t>根据《安徽省环保厅关于芜湖孙村经济开发区总体规划环境影响报告书审查意见的函》（皖环函[2016]597号），孙村经济开发区定位以轻纺服装业和机械铸造业为主的产业主导型园区。本次</w:t>
            </w:r>
            <w:r>
              <w:rPr>
                <w:rFonts w:hint="eastAsia" w:ascii="Times New Roman" w:hAnsi="Times New Roman" w:eastAsia="宋体"/>
                <w:bCs/>
                <w:caps w:val="0"/>
                <w:color w:val="000000" w:themeColor="text1"/>
                <w:sz w:val="24"/>
                <w:highlight w:val="none"/>
                <w:lang w:val="en-US" w:eastAsia="zh-CN"/>
                <w14:textFill>
                  <w14:solidFill>
                    <w14:schemeClr w14:val="tx1"/>
                  </w14:solidFill>
                </w14:textFill>
              </w:rPr>
              <w:t>改扩建</w:t>
            </w:r>
            <w:r>
              <w:rPr>
                <w:rFonts w:hint="eastAsia" w:ascii="Times New Roman" w:hAnsi="Times New Roman" w:eastAsia="宋体"/>
                <w:bCs/>
                <w:caps w:val="0"/>
                <w:color w:val="000000" w:themeColor="text1"/>
                <w:sz w:val="24"/>
                <w:highlight w:val="none"/>
                <w14:textFill>
                  <w14:solidFill>
                    <w14:schemeClr w14:val="tx1"/>
                  </w14:solidFill>
                </w14:textFill>
              </w:rPr>
              <w:t>项目属于机械铸造业项目，符合芜湖孙村经济开发区的产业定位要求。</w:t>
            </w:r>
            <w:r>
              <w:rPr>
                <w:rFonts w:hint="eastAsia" w:ascii="Times New Roman" w:hAnsi="Times New Roman" w:eastAsia="宋体"/>
                <w:bCs/>
                <w:caps w:val="0"/>
                <w:color w:val="000000" w:themeColor="text1"/>
                <w:sz w:val="24"/>
                <w:highlight w:val="none"/>
                <w:lang w:val="en-US" w:eastAsia="zh-CN"/>
                <w14:textFill>
                  <w14:solidFill>
                    <w14:schemeClr w14:val="tx1"/>
                  </w14:solidFill>
                </w14:textFill>
              </w:rPr>
              <w:t>项目位于孙村经济开发区芜湖市金贸流体科技股份有限公司厂区内，用地属于工业用地。</w:t>
            </w:r>
            <w:r>
              <w:rPr>
                <w:rFonts w:hint="eastAsia" w:ascii="Times New Roman" w:hAnsi="Times New Roman" w:eastAsia="宋体"/>
                <w:bCs/>
                <w:caps w:val="0"/>
                <w:color w:val="000000" w:themeColor="text1"/>
                <w:sz w:val="24"/>
                <w:highlight w:val="none"/>
                <w14:textFill>
                  <w14:solidFill>
                    <w14:schemeClr w14:val="tx1"/>
                  </w14:solidFill>
                </w14:textFill>
              </w:rPr>
              <w:t>因此，本项目符合芜湖孙村经济开发区总体规划要求。</w:t>
            </w:r>
          </w:p>
          <w:p>
            <w:pPr>
              <w:pStyle w:val="10"/>
              <w:spacing w:line="460" w:lineRule="exact"/>
              <w:ind w:firstLine="480" w:firstLineChars="200"/>
              <w:rPr>
                <w:rFonts w:ascii="Times New Roman" w:hAnsi="Times New Roman" w:eastAsia="宋体"/>
                <w:bCs/>
                <w:caps w:val="0"/>
                <w:color w:val="000000" w:themeColor="text1"/>
                <w:sz w:val="24"/>
                <w:highlight w:val="none"/>
                <w14:textFill>
                  <w14:solidFill>
                    <w14:schemeClr w14:val="tx1"/>
                  </w14:solidFill>
                </w14:textFill>
              </w:rPr>
            </w:pPr>
            <w:r>
              <w:rPr>
                <w:rFonts w:hint="eastAsia" w:ascii="Times New Roman" w:hAnsi="Times New Roman" w:eastAsia="宋体"/>
                <w:bCs/>
                <w:caps w:val="0"/>
                <w:color w:val="000000" w:themeColor="text1"/>
                <w:sz w:val="24"/>
                <w:highlight w:val="none"/>
                <w14:textFill>
                  <w14:solidFill>
                    <w14:schemeClr w14:val="tx1"/>
                  </w14:solidFill>
                </w14:textFill>
              </w:rPr>
              <w:t>本项目与芜湖孙村经济开发区总体规划环评审查意见的符合性分析如下：</w:t>
            </w:r>
          </w:p>
          <w:p>
            <w:pPr>
              <w:jc w:val="center"/>
              <w:rPr>
                <w:rFonts w:ascii="Times New Roman" w:hAnsi="Times New Roman" w:eastAsia="宋体"/>
                <w:b/>
                <w:caps w:val="0"/>
                <w:color w:val="000000" w:themeColor="text1"/>
                <w:sz w:val="22"/>
                <w:szCs w:val="22"/>
                <w:highlight w:val="none"/>
                <w14:textFill>
                  <w14:solidFill>
                    <w14:schemeClr w14:val="tx1"/>
                  </w14:solidFill>
                </w14:textFill>
              </w:rPr>
            </w:pPr>
            <w:r>
              <w:rPr>
                <w:rFonts w:hint="eastAsia" w:ascii="Times New Roman" w:hAnsi="Times New Roman" w:eastAsia="宋体"/>
                <w:b/>
                <w:caps w:val="0"/>
                <w:color w:val="000000" w:themeColor="text1"/>
                <w:sz w:val="22"/>
                <w:szCs w:val="22"/>
                <w:highlight w:val="none"/>
                <w14:textFill>
                  <w14:solidFill>
                    <w14:schemeClr w14:val="tx1"/>
                  </w14:solidFill>
                </w14:textFill>
              </w:rPr>
              <w:t>表1-</w:t>
            </w:r>
            <w:r>
              <w:rPr>
                <w:rFonts w:hint="eastAsia" w:ascii="Times New Roman" w:hAnsi="Times New Roman" w:eastAsia="宋体"/>
                <w:b/>
                <w:caps w:val="0"/>
                <w:color w:val="000000" w:themeColor="text1"/>
                <w:sz w:val="22"/>
                <w:szCs w:val="22"/>
                <w:highlight w:val="none"/>
                <w:lang w:val="en-US" w:eastAsia="zh-CN"/>
                <w14:textFill>
                  <w14:solidFill>
                    <w14:schemeClr w14:val="tx1"/>
                  </w14:solidFill>
                </w14:textFill>
              </w:rPr>
              <w:t>7</w:t>
            </w:r>
            <w:r>
              <w:rPr>
                <w:rFonts w:ascii="Times New Roman" w:hAnsi="Times New Roman" w:eastAsia="宋体"/>
                <w:b/>
                <w:caps w:val="0"/>
                <w:color w:val="000000" w:themeColor="text1"/>
                <w:sz w:val="22"/>
                <w:szCs w:val="22"/>
                <w:highlight w:val="none"/>
                <w14:textFill>
                  <w14:solidFill>
                    <w14:schemeClr w14:val="tx1"/>
                  </w14:solidFill>
                </w14:textFill>
              </w:rPr>
              <w:t xml:space="preserve"> </w:t>
            </w:r>
            <w:r>
              <w:rPr>
                <w:rFonts w:hint="eastAsia" w:ascii="Times New Roman" w:hAnsi="Times New Roman" w:eastAsia="宋体"/>
                <w:b/>
                <w:caps w:val="0"/>
                <w:color w:val="000000" w:themeColor="text1"/>
                <w:sz w:val="22"/>
                <w:szCs w:val="22"/>
                <w:highlight w:val="none"/>
                <w14:textFill>
                  <w14:solidFill>
                    <w14:schemeClr w14:val="tx1"/>
                  </w14:solidFill>
                </w14:textFill>
              </w:rPr>
              <w:t>本项目与芜湖孙村经济开发区总体规划环评审查意见符合性分析</w:t>
            </w:r>
          </w:p>
          <w:tbl>
            <w:tblPr>
              <w:tblStyle w:val="32"/>
              <w:tblW w:w="5000" w:type="pct"/>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72"/>
              <w:gridCol w:w="3737"/>
              <w:gridCol w:w="3470"/>
              <w:gridCol w:w="1047"/>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序号</w:t>
                  </w:r>
                </w:p>
              </w:tc>
              <w:tc>
                <w:tcPr>
                  <w:tcW w:w="2070"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规划环评批复内容</w:t>
                  </w:r>
                </w:p>
              </w:tc>
              <w:tc>
                <w:tcPr>
                  <w:tcW w:w="1922"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本项目实际建设情况</w:t>
                  </w:r>
                </w:p>
              </w:tc>
              <w:tc>
                <w:tcPr>
                  <w:tcW w:w="580"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符合性分析</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1</w:t>
                  </w:r>
                </w:p>
              </w:tc>
              <w:tc>
                <w:tcPr>
                  <w:tcW w:w="2070"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进一步优化开发区空间布局和组团结构，要充分考虑内外居住区域环境要求，进一步优化调整开发区空间布局、组团结构，设置生态隔离措施，减轻和避免各功能区之间，项目之间的相互影响，严格控制开发区周边用地规划，加强对敏感点的保护。</w:t>
                  </w:r>
                </w:p>
              </w:tc>
              <w:tc>
                <w:tcPr>
                  <w:tcW w:w="1922"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本项目位于</w:t>
                  </w:r>
                  <w:r>
                    <w:rPr>
                      <w:rFonts w:hint="eastAsia" w:ascii="Times New Roman" w:hAnsi="Times New Roman" w:eastAsia="宋体"/>
                      <w:caps w:val="0"/>
                      <w:color w:val="000000" w:themeColor="text1"/>
                      <w:sz w:val="21"/>
                      <w:highlight w:val="none"/>
                      <w:lang w:val="en-US" w:eastAsia="zh-CN"/>
                      <w14:textFill>
                        <w14:solidFill>
                          <w14:schemeClr w14:val="tx1"/>
                        </w14:solidFill>
                      </w14:textFill>
                    </w:rPr>
                    <w:t>芜湖</w:t>
                  </w:r>
                  <w:r>
                    <w:rPr>
                      <w:rFonts w:hint="eastAsia" w:ascii="Times New Roman" w:hAnsi="Times New Roman" w:eastAsia="宋体"/>
                      <w:caps w:val="0"/>
                      <w:color w:val="000000" w:themeColor="text1"/>
                      <w:sz w:val="21"/>
                      <w:highlight w:val="none"/>
                      <w14:textFill>
                        <w14:solidFill>
                          <w14:schemeClr w14:val="tx1"/>
                        </w14:solidFill>
                      </w14:textFill>
                    </w:rPr>
                    <w:t>孙村经济开发区，本次</w:t>
                  </w:r>
                  <w:r>
                    <w:rPr>
                      <w:rFonts w:hint="eastAsia" w:ascii="Times New Roman" w:hAnsi="Times New Roman" w:eastAsia="宋体"/>
                      <w:caps w:val="0"/>
                      <w:color w:val="000000" w:themeColor="text1"/>
                      <w:sz w:val="21"/>
                      <w:highlight w:val="none"/>
                      <w:lang w:val="en-US" w:eastAsia="zh-CN"/>
                      <w14:textFill>
                        <w14:solidFill>
                          <w14:schemeClr w14:val="tx1"/>
                        </w14:solidFill>
                      </w14:textFill>
                    </w:rPr>
                    <w:t>改扩建</w:t>
                  </w:r>
                  <w:r>
                    <w:rPr>
                      <w:rFonts w:hint="eastAsia" w:ascii="Times New Roman" w:hAnsi="Times New Roman" w:eastAsia="宋体"/>
                      <w:caps w:val="0"/>
                      <w:color w:val="000000" w:themeColor="text1"/>
                      <w:sz w:val="21"/>
                      <w:highlight w:val="none"/>
                      <w:lang w:val="en-US" w:eastAsia="zh-CN"/>
                      <w14:textFill>
                        <w14:solidFill>
                          <w14:schemeClr w14:val="tx1"/>
                        </w14:solidFill>
                      </w14:textFill>
                    </w:rPr>
                    <w:t>项目</w:t>
                  </w:r>
                  <w:r>
                    <w:rPr>
                      <w:rFonts w:hint="eastAsia" w:ascii="Times New Roman" w:hAnsi="Times New Roman" w:eastAsia="宋体"/>
                      <w:caps w:val="0"/>
                      <w:color w:val="000000" w:themeColor="text1"/>
                      <w:sz w:val="21"/>
                      <w:highlight w:val="none"/>
                      <w14:textFill>
                        <w14:solidFill>
                          <w14:schemeClr w14:val="tx1"/>
                        </w14:solidFill>
                      </w14:textFill>
                    </w:rPr>
                    <w:t>属于为机械铸造业项目，符合芜湖孙村经济开发区功能分区相关要求</w:t>
                  </w:r>
                </w:p>
              </w:tc>
              <w:tc>
                <w:tcPr>
                  <w:tcW w:w="580"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2</w:t>
                  </w:r>
                </w:p>
              </w:tc>
              <w:tc>
                <w:tcPr>
                  <w:tcW w:w="2070"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强化水资源管理，提高水重复利用率，制定并实施开发区节水和中水利用规划，积极推进企业内、企业间水资源梯级利用和企业用水总量控制，切实提高水资源利用率，严禁建设国家明令禁止的项目，严格控制高污染、高耗能及污水排放量大的项目建设，已建和拟入区建设项目应严格执行水环境保护相关标准和要求。</w:t>
                  </w:r>
                </w:p>
              </w:tc>
              <w:tc>
                <w:tcPr>
                  <w:tcW w:w="1922" w:type="pct"/>
                  <w:vAlign w:val="center"/>
                </w:tcPr>
                <w:p>
                  <w:pPr>
                    <w:pStyle w:val="55"/>
                    <w:spacing w:line="240" w:lineRule="auto"/>
                    <w:rPr>
                      <w:rFonts w:hint="default" w:ascii="Times New Roman" w:hAnsi="Times New Roman" w:eastAsia="宋体"/>
                      <w:caps w:val="0"/>
                      <w:color w:val="000000" w:themeColor="text1"/>
                      <w:sz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本项目不属于国家明令禁止的项目，不属于高污染、高耗能及污水排放量大的项目，不在芜湖孙村经济开发区负面清单范围内。</w:t>
                  </w:r>
                </w:p>
              </w:tc>
              <w:tc>
                <w:tcPr>
                  <w:tcW w:w="580"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3</w:t>
                  </w:r>
                </w:p>
              </w:tc>
              <w:tc>
                <w:tcPr>
                  <w:tcW w:w="2070"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在规划确定的开发区产业定位总体框架下，根据当地环境容量和资源情况，合理确定主导产业规模，进一步优化发展重点，严格控制非主导产业项目入区。入区项目要采用先进的生产工艺和装备，采用高水平的污染治理措施。清洁生产水平现阶段要按国内先进水平要求，并逐步提高，最大限度控制开发区污染物排放量和排放强度。建立并实施不符合规划，产业准入和环保准入条件项目的退出机制。严格控制开发区印染产业规模，除承接退城入区项目外，不得新建印染项目，电镀依托开发区现有电镀中心或外包，不得新建电镀项目。</w:t>
                  </w:r>
                </w:p>
              </w:tc>
              <w:tc>
                <w:tcPr>
                  <w:tcW w:w="1922"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本项目采取了有效的污染治理措施，清洁生产水平达到国内先进水平要求。项目内产生的各项污染物均能得到有效处置，不会降低区域环境功能，故本项目符合区域规划要求</w:t>
                  </w:r>
                </w:p>
              </w:tc>
              <w:tc>
                <w:tcPr>
                  <w:tcW w:w="580"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28"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4</w:t>
                  </w:r>
                </w:p>
              </w:tc>
              <w:tc>
                <w:tcPr>
                  <w:tcW w:w="2070"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坚持环保优先原则，强化环保挤出设施建设。开发区污水处理依托繁昌县第二污水处理厂；应加快开发区配套污水管网建设，对开发区所有污水实行全收集、全处理。加快实施孙村经济开发区外企业退城入区进度，适当提前建设配套的印染废水专用预处理系统，并设置足够容量的调节池和事故池。开发区印染废水经集中预处理并满足《纺织染整工业水污染物排放标准》（</w:t>
                  </w:r>
                  <w:r>
                    <w:rPr>
                      <w:rFonts w:ascii="Times New Roman" w:hAnsi="Times New Roman" w:eastAsia="宋体"/>
                      <w:caps w:val="0"/>
                      <w:color w:val="000000" w:themeColor="text1"/>
                      <w:sz w:val="21"/>
                      <w:highlight w:val="none"/>
                      <w14:textFill>
                        <w14:solidFill>
                          <w14:schemeClr w14:val="tx1"/>
                        </w14:solidFill>
                      </w14:textFill>
                    </w:rPr>
                    <w:t>GB4287-2012</w:t>
                  </w:r>
                  <w:r>
                    <w:rPr>
                      <w:rFonts w:hint="eastAsia" w:ascii="Times New Roman" w:hAnsi="Times New Roman" w:eastAsia="宋体"/>
                      <w:caps w:val="0"/>
                      <w:color w:val="000000" w:themeColor="text1"/>
                      <w:sz w:val="21"/>
                      <w:highlight w:val="none"/>
                      <w14:textFill>
                        <w14:solidFill>
                          <w14:schemeClr w14:val="tx1"/>
                        </w14:solidFill>
                      </w14:textFill>
                    </w:rPr>
                    <w:t>）及其修改单中确定的间接排放标准后，排入繁昌县第二污水处理厂深度处理。在繁昌县第二污水处理厂不能对开发区污水进行全收集有效处理前，开发区不应新建有水污染物排放的建设项目。严格落实各项水环境保护措施，确保开发区建设不降低地表水、地下水环境质量和水体功能。加快集中供热方案、燃气规划实施进度，全面落实《安徽省大气污染防治行动计划实施方案》各项要求，禁止新建小型燃煤锅炉，限期淘汰现有小型燃煤锅炉。</w:t>
                  </w:r>
                </w:p>
              </w:tc>
              <w:tc>
                <w:tcPr>
                  <w:tcW w:w="1922"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本项目生活污水经</w:t>
                  </w:r>
                  <w:r>
                    <w:rPr>
                      <w:rFonts w:hint="eastAsia" w:ascii="Times New Roman" w:hAnsi="Times New Roman" w:eastAsia="宋体"/>
                      <w:caps w:val="0"/>
                      <w:color w:val="000000" w:themeColor="text1"/>
                      <w:sz w:val="21"/>
                      <w:highlight w:val="none"/>
                      <w:lang w:val="en-US" w:eastAsia="zh-CN"/>
                      <w14:textFill>
                        <w14:solidFill>
                          <w14:schemeClr w14:val="tx1"/>
                        </w14:solidFill>
                      </w14:textFill>
                    </w:rPr>
                    <w:t>化粪池处理后接管市政管网通入繁昌第二污水处理厂进行处理</w:t>
                  </w:r>
                </w:p>
              </w:tc>
              <w:tc>
                <w:tcPr>
                  <w:tcW w:w="580"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5</w:t>
                  </w:r>
                </w:p>
              </w:tc>
              <w:tc>
                <w:tcPr>
                  <w:tcW w:w="2070"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加强各类固体废物的收集和处理处置。危险废物应按有关规定安全收集、暂存、处置。确定专人对危险废物进行管理，建立危险废物环境管理台账和信息档案，严格执行危险废物转移联单制度。加强一般工业固体废物综合利用，生活垃圾应集中收集后送环卫部门妥善处理。</w:t>
                  </w:r>
                </w:p>
              </w:tc>
              <w:tc>
                <w:tcPr>
                  <w:tcW w:w="1922"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本项目加强各类固体废物的收集和处理处置，危险废物按有关规定安全收集、暂存、处置。项目建成后设专人对危险废物进行管理，建立危险废物环境管理台账和信息档案，严格执行危险废物转移联单制度。加强一般工业固体废物综合利用，生活垃圾应集中收集后送环卫部门妥善处理</w:t>
                  </w:r>
                </w:p>
              </w:tc>
              <w:tc>
                <w:tcPr>
                  <w:tcW w:w="580"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6</w:t>
                  </w:r>
                </w:p>
              </w:tc>
              <w:tc>
                <w:tcPr>
                  <w:tcW w:w="2070" w:type="pct"/>
                  <w:vAlign w:val="center"/>
                </w:tcPr>
                <w:p>
                  <w:pPr>
                    <w:spacing w:line="320" w:lineRule="exact"/>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建立健全开发区环境监控体系。开发区和入区企业要按照有关规范要求，开展日常环境监测、监控工作，建设规范的污染物排放在线监控系统，并与环保部门实现联网。</w:t>
                  </w:r>
                </w:p>
              </w:tc>
              <w:tc>
                <w:tcPr>
                  <w:tcW w:w="1922"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本项目按照有关规范要求，开展污染源监测计划</w:t>
                  </w:r>
                </w:p>
              </w:tc>
              <w:tc>
                <w:tcPr>
                  <w:tcW w:w="580"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7</w:t>
                  </w:r>
                </w:p>
              </w:tc>
              <w:tc>
                <w:tcPr>
                  <w:tcW w:w="2070" w:type="pct"/>
                  <w:vAlign w:val="center"/>
                </w:tcPr>
                <w:p>
                  <w:pPr>
                    <w:spacing w:line="320" w:lineRule="exact"/>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坚持预防为主、防控结合，制定并落实开发区综合环境风险防范、预警和应急体系，及时更新升级各类突发环境事件应急预案，做好应急软硬件建设和储备。建立环境风险单位信息库，入区企业要在开发区环境风险应急处置框架下，制定环境风险应急预案，在具体项目建设中细化落实。</w:t>
                  </w:r>
                </w:p>
              </w:tc>
              <w:tc>
                <w:tcPr>
                  <w:tcW w:w="1922"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企业按要求制定</w:t>
                  </w:r>
                  <w:r>
                    <w:rPr>
                      <w:rFonts w:hint="eastAsia" w:ascii="Times New Roman" w:hAnsi="Times New Roman" w:eastAsia="宋体"/>
                      <w:caps w:val="0"/>
                      <w:color w:val="000000" w:themeColor="text1"/>
                      <w:sz w:val="21"/>
                      <w:szCs w:val="21"/>
                      <w:highlight w:val="none"/>
                      <w14:textFill>
                        <w14:solidFill>
                          <w14:schemeClr w14:val="tx1"/>
                        </w14:solidFill>
                      </w14:textFill>
                    </w:rPr>
                    <w:t>突发环境事件应急预案，做好应急软硬件建设和储备</w:t>
                  </w:r>
                </w:p>
              </w:tc>
              <w:tc>
                <w:tcPr>
                  <w:tcW w:w="580"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符合</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428"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8</w:t>
                  </w:r>
                </w:p>
              </w:tc>
              <w:tc>
                <w:tcPr>
                  <w:tcW w:w="2070"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加强环境保护制度建设和管理。入区建设项目应认真履行环保法律法规要求，严格执行环境影响评价制度和环保</w:t>
                  </w:r>
                  <w:r>
                    <w:rPr>
                      <w:rFonts w:ascii="Times New Roman" w:hAnsi="Times New Roman" w:eastAsia="宋体"/>
                      <w:caps w:val="0"/>
                      <w:color w:val="000000" w:themeColor="text1"/>
                      <w:sz w:val="21"/>
                      <w:highlight w:val="none"/>
                      <w14:textFill>
                        <w14:solidFill>
                          <w14:schemeClr w14:val="tx1"/>
                        </w14:solidFill>
                      </w14:textFill>
                    </w:rPr>
                    <w:t>“</w:t>
                  </w:r>
                  <w:r>
                    <w:rPr>
                      <w:rFonts w:hint="eastAsia" w:ascii="Times New Roman" w:hAnsi="Times New Roman" w:eastAsia="宋体"/>
                      <w:caps w:val="0"/>
                      <w:color w:val="000000" w:themeColor="text1"/>
                      <w:sz w:val="21"/>
                      <w:highlight w:val="none"/>
                      <w14:textFill>
                        <w14:solidFill>
                          <w14:schemeClr w14:val="tx1"/>
                        </w14:solidFill>
                      </w14:textFill>
                    </w:rPr>
                    <w:t>三同时</w:t>
                  </w:r>
                  <w:r>
                    <w:rPr>
                      <w:rFonts w:ascii="Times New Roman" w:hAnsi="Times New Roman" w:eastAsia="宋体"/>
                      <w:caps w:val="0"/>
                      <w:color w:val="000000" w:themeColor="text1"/>
                      <w:sz w:val="21"/>
                      <w:highlight w:val="none"/>
                      <w14:textFill>
                        <w14:solidFill>
                          <w14:schemeClr w14:val="tx1"/>
                        </w14:solidFill>
                      </w14:textFill>
                    </w:rPr>
                    <w:t>”</w:t>
                  </w:r>
                  <w:r>
                    <w:rPr>
                      <w:rFonts w:hint="eastAsia" w:ascii="Times New Roman" w:hAnsi="Times New Roman" w:eastAsia="宋体"/>
                      <w:caps w:val="0"/>
                      <w:color w:val="000000" w:themeColor="text1"/>
                      <w:sz w:val="21"/>
                      <w:highlight w:val="none"/>
                      <w14:textFill>
                        <w14:solidFill>
                          <w14:schemeClr w14:val="tx1"/>
                        </w14:solidFill>
                      </w14:textFill>
                    </w:rPr>
                    <w:t>制度；新增污染物排放总量的建设项目应严格执行污染物排放总量控制相关要求。在规划实施过程中，每隔五年进行一次环境影响跟踪评价。规划修编应重新编制环境影响报告书。</w:t>
                  </w:r>
                </w:p>
              </w:tc>
              <w:tc>
                <w:tcPr>
                  <w:tcW w:w="1922" w:type="pct"/>
                  <w:vAlign w:val="center"/>
                </w:tcPr>
                <w:p>
                  <w:pPr>
                    <w:pStyle w:val="55"/>
                    <w:spacing w:line="240" w:lineRule="auto"/>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本项目遵守环保法律法规要求，执行环境影响评价制度和环保</w:t>
                  </w:r>
                  <w:r>
                    <w:rPr>
                      <w:rFonts w:ascii="Times New Roman" w:hAnsi="Times New Roman" w:eastAsia="宋体"/>
                      <w:caps w:val="0"/>
                      <w:color w:val="000000" w:themeColor="text1"/>
                      <w:sz w:val="21"/>
                      <w:highlight w:val="none"/>
                      <w14:textFill>
                        <w14:solidFill>
                          <w14:schemeClr w14:val="tx1"/>
                        </w14:solidFill>
                      </w14:textFill>
                    </w:rPr>
                    <w:t>“</w:t>
                  </w:r>
                  <w:r>
                    <w:rPr>
                      <w:rFonts w:hint="eastAsia" w:ascii="Times New Roman" w:hAnsi="Times New Roman" w:eastAsia="宋体"/>
                      <w:caps w:val="0"/>
                      <w:color w:val="000000" w:themeColor="text1"/>
                      <w:sz w:val="21"/>
                      <w:highlight w:val="none"/>
                      <w14:textFill>
                        <w14:solidFill>
                          <w14:schemeClr w14:val="tx1"/>
                        </w14:solidFill>
                      </w14:textFill>
                    </w:rPr>
                    <w:t>三同时</w:t>
                  </w:r>
                  <w:r>
                    <w:rPr>
                      <w:rFonts w:ascii="Times New Roman" w:hAnsi="Times New Roman" w:eastAsia="宋体"/>
                      <w:caps w:val="0"/>
                      <w:color w:val="000000" w:themeColor="text1"/>
                      <w:sz w:val="21"/>
                      <w:highlight w:val="none"/>
                      <w14:textFill>
                        <w14:solidFill>
                          <w14:schemeClr w14:val="tx1"/>
                        </w14:solidFill>
                      </w14:textFill>
                    </w:rPr>
                    <w:t>”</w:t>
                  </w:r>
                  <w:r>
                    <w:rPr>
                      <w:rFonts w:hint="eastAsia" w:ascii="Times New Roman" w:hAnsi="Times New Roman" w:eastAsia="宋体"/>
                      <w:caps w:val="0"/>
                      <w:color w:val="000000" w:themeColor="text1"/>
                      <w:sz w:val="21"/>
                      <w:highlight w:val="none"/>
                      <w14:textFill>
                        <w14:solidFill>
                          <w14:schemeClr w14:val="tx1"/>
                        </w14:solidFill>
                      </w14:textFill>
                    </w:rPr>
                    <w:t>制度</w:t>
                  </w:r>
                </w:p>
              </w:tc>
              <w:tc>
                <w:tcPr>
                  <w:tcW w:w="580" w:type="pct"/>
                  <w:vAlign w:val="center"/>
                </w:tcPr>
                <w:p>
                  <w:pPr>
                    <w:pStyle w:val="55"/>
                    <w:spacing w:line="240" w:lineRule="auto"/>
                    <w:jc w:val="center"/>
                    <w:rPr>
                      <w:rFonts w:ascii="Times New Roman" w:hAnsi="Times New Roman" w:eastAsia="宋体"/>
                      <w:caps w:val="0"/>
                      <w:color w:val="000000" w:themeColor="text1"/>
                      <w:sz w:val="21"/>
                      <w:highlight w:val="none"/>
                      <w14:textFill>
                        <w14:solidFill>
                          <w14:schemeClr w14:val="tx1"/>
                        </w14:solidFill>
                      </w14:textFill>
                    </w:rPr>
                  </w:pPr>
                  <w:r>
                    <w:rPr>
                      <w:rFonts w:hint="eastAsia" w:ascii="Times New Roman" w:hAnsi="Times New Roman" w:eastAsia="宋体"/>
                      <w:caps w:val="0"/>
                      <w:color w:val="000000" w:themeColor="text1"/>
                      <w:sz w:val="21"/>
                      <w:highlight w:val="none"/>
                      <w14:textFill>
                        <w14:solidFill>
                          <w14:schemeClr w14:val="tx1"/>
                        </w14:solidFill>
                      </w14:textFill>
                    </w:rPr>
                    <w:t>符合</w:t>
                  </w:r>
                </w:p>
              </w:tc>
            </w:tr>
          </w:tbl>
          <w:p>
            <w:pPr>
              <w:pStyle w:val="10"/>
              <w:spacing w:line="460" w:lineRule="exact"/>
              <w:ind w:firstLine="482" w:firstLineChars="200"/>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w:t>
            </w:r>
            <w:r>
              <w:rPr>
                <w:rFonts w:hint="eastAsia" w:ascii="Times New Roman" w:hAnsi="Times New Roman" w:eastAsia="宋体"/>
                <w:b/>
                <w:bCs/>
                <w:caps w:val="0"/>
                <w:color w:val="000000" w:themeColor="text1"/>
                <w:sz w:val="24"/>
                <w:highlight w:val="none"/>
                <w14:textFill>
                  <w14:solidFill>
                    <w14:schemeClr w14:val="tx1"/>
                  </w14:solidFill>
                </w14:textFill>
              </w:rPr>
              <w:t>3</w:t>
            </w:r>
            <w:r>
              <w:rPr>
                <w:rFonts w:ascii="Times New Roman" w:hAnsi="Times New Roman" w:eastAsia="宋体"/>
                <w:b/>
                <w:bCs/>
                <w:caps w:val="0"/>
                <w:color w:val="000000" w:themeColor="text1"/>
                <w:sz w:val="24"/>
                <w:highlight w:val="none"/>
                <w14:textFill>
                  <w14:solidFill>
                    <w14:schemeClr w14:val="tx1"/>
                  </w14:solidFill>
                </w14:textFill>
              </w:rPr>
              <w:t>）与《关于全面打造水清岸绿产业优美丽长江（安徽）经济带的实施意见》皖发【2018】21号文及《关于长江岸线及主要支流一公里范围内建设项目及有关“散乱污”企业整治规范环评审批工作的通知》芜环评函【2018】46号文件符合性</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对照《中共安徽省委安徽省人民政府关于全面打造水清岸绿产业优美丽长江（安徽）经济带的实施意见》皖发【2018】21号文及《关于长江岸线及主要支流一公里范围内建设项目及有关“散乱污”企业整治规范环评审批工作的通知》芜环评函【2018】46号：</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一）开展“禁新建”行动：严禁1公里范围内新建项目。2018年7月起，长江干流及主要支流岸线1公里范围内，除必须实施的防洪护岸、河道治理、供水、航道整治、港口码头及集疏运通道、道路及跨江桥隧、公共管理、生态环境治理、国家重要基础设施等事关公共安全和公众利益建设项目，一级长江岸线规划确定的城市建设区内非工业项目外，不得新批建设项目，不得布局新的工业园区。已批未开工的项目，已发停止建设，支持重新选址。已经开工建设的项目，严格进行检查评估，不符合岸线规划和环保、安全要求的，全部依法依规停建搬迁。</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二）严控5公里范围内新建项目。长江干流岸线5公里范围内，全面落实长江岸线功能定位要求，实施严格的化工项目市场准入制度，除提升安全、环保、节能水平，以及质量升级、结构调整的改扩建项目外，严格控制新建石油化工和煤化工等重化工、重污染项目。严禁新建布局中化工园区、合规化工园区内，严禁新批环境基础设施不完善或长期不能稳定运行的企业新建和扩建化工项目。</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三）严管15公里范围内新建项目。长江干流岸线15公里范围内，严把各类项目准入门槛，严格执行环境保护标准，把主要污染物和重点重金属排放总量控制目标作为新（改、扩）建项目环评审批的前置条件，新建项目必须全部合规达标，禁止建设没有环境容量和减排总量项目。在岸线开发、河段利用、区域活动和产业发展等方面，全面执行国家长江经济带市场准入禁止限制目录。实施备案、环评、安评、能评等并联审批，未落实生态环保、安全生产、能源节约要求的，一律不得开工建设。</w:t>
            </w:r>
          </w:p>
          <w:p>
            <w:pPr>
              <w:adjustRightInd w:val="0"/>
              <w:spacing w:line="360" w:lineRule="auto"/>
              <w:ind w:firstLine="480" w:firstLineChars="200"/>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本项目选址位于</w:t>
            </w:r>
            <w:r>
              <w:rPr>
                <w:rFonts w:hint="eastAsia" w:ascii="Times New Roman" w:hAnsi="Times New Roman" w:eastAsia="宋体"/>
                <w:caps w:val="0"/>
                <w:color w:val="000000" w:themeColor="text1"/>
                <w:sz w:val="24"/>
                <w:highlight w:val="none"/>
                <w14:textFill>
                  <w14:solidFill>
                    <w14:schemeClr w14:val="tx1"/>
                  </w14:solidFill>
                </w14:textFill>
              </w:rPr>
              <w:t>繁昌经济开发区孙村园区</w:t>
            </w:r>
            <w:r>
              <w:rPr>
                <w:rFonts w:ascii="Times New Roman" w:hAnsi="Times New Roman" w:eastAsia="宋体"/>
                <w:caps w:val="0"/>
                <w:color w:val="000000" w:themeColor="text1"/>
                <w:sz w:val="24"/>
                <w:highlight w:val="none"/>
                <w14:textFill>
                  <w14:solidFill>
                    <w14:schemeClr w14:val="tx1"/>
                  </w14:solidFill>
                </w14:textFill>
              </w:rPr>
              <w:t>，距离长江</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11.2</w:t>
            </w:r>
            <w:r>
              <w:rPr>
                <w:rFonts w:ascii="Times New Roman" w:hAnsi="Times New Roman" w:eastAsia="宋体"/>
                <w:caps w:val="0"/>
                <w:color w:val="000000" w:themeColor="text1"/>
                <w:sz w:val="24"/>
                <w:highlight w:val="none"/>
                <w14:textFill>
                  <w14:solidFill>
                    <w14:schemeClr w14:val="tx1"/>
                  </w14:solidFill>
                </w14:textFill>
              </w:rPr>
              <w:t>km。项目厂址不在长江干流及主要支流岸线1公里范围内，企业主要为</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金属</w:t>
            </w:r>
            <w:r>
              <w:rPr>
                <w:rFonts w:ascii="Times New Roman" w:hAnsi="Times New Roman" w:eastAsia="宋体"/>
                <w:caps w:val="0"/>
                <w:color w:val="000000" w:themeColor="text1"/>
                <w:sz w:val="24"/>
                <w:highlight w:val="none"/>
                <w14:textFill>
                  <w14:solidFill>
                    <w14:schemeClr w14:val="tx1"/>
                  </w14:solidFill>
                </w14:textFill>
              </w:rPr>
              <w:t>加工，不属于石油化工项目和煤化工等化工、重污染项目，不属于国家长江经济带市场准入禁止限制目录内项目。严格执行环境保护标准，主要污染物排放总量控制目标符合要求，区域环境容量满足建设需要。本项目符合《关于全面打造水清岸绿产业优美丽长江（安徽）经济带的实施意见》皖发【2018】21号文及《关于长江岸线及主要支流一公里范围内建设项目及有关“散乱污”企业整治规范环评审批工作的通知》芜环评函【2018】46号文件要求。</w:t>
            </w:r>
          </w:p>
          <w:p>
            <w:pPr>
              <w:adjustRightInd w:val="0"/>
              <w:spacing w:line="460" w:lineRule="exact"/>
              <w:ind w:firstLine="472" w:firstLineChars="196"/>
              <w:rPr>
                <w:rFonts w:ascii="Times New Roman" w:hAnsi="Times New Roman" w:eastAsia="宋体"/>
                <w:b/>
                <w:bCs/>
                <w:caps w:val="0"/>
                <w:color w:val="000000" w:themeColor="text1"/>
                <w:sz w:val="24"/>
                <w:highlight w:val="none"/>
                <w:lang w:val="zh-CN"/>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（4）</w:t>
            </w:r>
            <w:r>
              <w:rPr>
                <w:rFonts w:ascii="Times New Roman" w:hAnsi="Times New Roman" w:eastAsia="宋体"/>
                <w:b/>
                <w:bCs/>
                <w:caps w:val="0"/>
                <w:color w:val="000000" w:themeColor="text1"/>
                <w:sz w:val="24"/>
                <w:highlight w:val="none"/>
                <w:lang w:val="zh-CN"/>
                <w14:textFill>
                  <w14:solidFill>
                    <w14:schemeClr w14:val="tx1"/>
                  </w14:solidFill>
                </w14:textFill>
              </w:rPr>
              <w:t>与《国务院关于印发打赢蓝天保卫战三年行动计划的通知》（国发[2018]22号）与《安徽省人民政府关于印发安徽省打赢蓝天保卫战三年行动计划实施方案的通知》相符性分析</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与本项目相关的内容如下：</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1、优化产业布局。各地完成生态保护红线、环境质量底线、资源利用上线、环境准入清单编制工作，明确禁止和限制发展的行业、生产工艺和产业目录。修订完善高耗能、高污染和资源型行业准入条件，环境空气质量未达标城市应制订更严格的产业准入门槛。积极推行区域、规划环境影响评价，新、改、扩建钢铁、石化、化工、焦化、建材、有色等项目的环境影响评价，应满足区域、规划环评要求。</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加大区域产业布局调整力度。加快城市建成区重污染企业搬迁改造或关闭退出，推动实施一批水泥、平板玻璃、焦化、化工等重污染企业搬迁工程；重点区域城市钢铁企业要切实采取彻底关停、转型发展、就地改造、域外搬迁等方式，推动转型升级。重点区域禁止新增化工园区，加大现有化工园区整治力度。各地已明确的退城企业，要明确时间表，逾期不退城的予以停产。</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严控“两高”行业产能。重点区域严禁新增钢铁、焦化、电解铝、铸造、水泥和平板玻璃等产能；严格执行钢铁、水泥、平板玻璃等行业产能置换实施办法；新、改、扩建涉及大宗物料运输的建设项目，原则上不得采用公路运输。加大落后产能淘汰和过剩产能压减力度。严格执行质量、环保、能耗、安全等法规标准。修订《产业结构调整指导目录》，提高重点区域过剩产能淘汰标准。重点区域加大独立焦化企业淘汰力度，京津冀及周边地区实施“以钢定焦”，力争2020年炼焦产能与钢铁产能比达到0.4左右。严防“地条钢”死灰复燃。2020年，河北省钢铁产能控制在2亿吨以内；列入去产能计划的钢铁企业，需一并退出配套的烧结、焦炉、高炉等设备。</w:t>
            </w:r>
          </w:p>
          <w:p>
            <w:pPr>
              <w:adjustRightInd w:val="0"/>
              <w:spacing w:line="360" w:lineRule="auto"/>
              <w:ind w:firstLine="480" w:firstLineChars="200"/>
              <w:rPr>
                <w:rFonts w:ascii="Times New Roman" w:hAnsi="Times New Roman" w:eastAsia="宋体"/>
                <w:caps w:val="0"/>
                <w:color w:val="000000" w:themeColor="text1"/>
                <w:sz w:val="24"/>
                <w:highlight w:val="none"/>
                <w:lang w:val="zh-CN"/>
                <w14:textFill>
                  <w14:solidFill>
                    <w14:schemeClr w14:val="tx1"/>
                  </w14:solidFill>
                </w14:textFill>
              </w:rPr>
            </w:pPr>
            <w:r>
              <w:rPr>
                <w:rFonts w:ascii="Times New Roman" w:hAnsi="Times New Roman" w:eastAsia="宋体"/>
                <w:caps w:val="0"/>
                <w:color w:val="000000" w:themeColor="text1"/>
                <w:sz w:val="24"/>
                <w:highlight w:val="none"/>
                <w:lang w:val="zh-CN"/>
                <w14:textFill>
                  <w14:solidFill>
                    <w14:schemeClr w14:val="tx1"/>
                  </w14:solidFill>
                </w14:textFill>
              </w:rPr>
              <w:t>3、强化“散乱污”企业综合整治。全面开展“散乱污”企业及集群综合整治行动。根据产业政策、产业布局规划，以及土地、环保、质量、安全、能耗等要求，制定“散乱污”企业及集群整治标准。实行拉网式排查，建立管理台账。按照“先停后治”的原则，实施分类处置。列入关停取缔类的，基本做到“两断三清”（切断工业用水、用电，清除原料、产品、生产设备）；列入整合搬迁类的，要按照产业发展规模化、现代化的原则，搬迁至工业园区并实施升级改造；列入升级改造类的，树立行业标杆，实施清洁生产技术改造，全面提升污染治理水平。建立“散乱污”企业动态管理机制，坚决杜绝“散乱污”企业项目建设和已取缔的“散乱污”企业异地转移、死灰复燃。京津冀及周边地区2018年底前全面完成；长三角地区、汾渭平原2019年底前基本完成；全国2020年底前基本完成。</w:t>
            </w:r>
          </w:p>
          <w:p>
            <w:pPr>
              <w:adjustRightInd w:val="0"/>
              <w:spacing w:line="360" w:lineRule="auto"/>
              <w:ind w:firstLine="480"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lang w:val="zh-CN"/>
                <w14:textFill>
                  <w14:solidFill>
                    <w14:schemeClr w14:val="tx1"/>
                  </w14:solidFill>
                </w14:textFill>
              </w:rPr>
              <w:t>安徽省是全国打赢蓝天保卫战的重点地区，本项目位于</w:t>
            </w:r>
            <w:r>
              <w:rPr>
                <w:rFonts w:hint="eastAsia" w:ascii="Times New Roman" w:hAnsi="Times New Roman" w:eastAsia="宋体"/>
                <w:caps w:val="0"/>
                <w:color w:val="000000" w:themeColor="text1"/>
                <w:sz w:val="24"/>
                <w:highlight w:val="none"/>
                <w:lang w:val="zh-CN"/>
                <w14:textFill>
                  <w14:solidFill>
                    <w14:schemeClr w14:val="tx1"/>
                  </w14:solidFill>
                </w14:textFill>
              </w:rPr>
              <w:t>繁昌经济开发区孙村园区</w:t>
            </w:r>
            <w:r>
              <w:rPr>
                <w:rFonts w:ascii="Times New Roman" w:hAnsi="Times New Roman" w:eastAsia="宋体"/>
                <w:caps w:val="0"/>
                <w:color w:val="000000" w:themeColor="text1"/>
                <w:sz w:val="24"/>
                <w:highlight w:val="none"/>
                <w:lang w:val="zh-CN"/>
                <w14:textFill>
                  <w14:solidFill>
                    <w14:schemeClr w14:val="tx1"/>
                  </w14:solidFill>
                </w14:textFill>
              </w:rPr>
              <w:t>；项目颗粒物均通过除尘器处理后经15m高排气筒排放，非甲烷总烃</w:t>
            </w:r>
            <w:r>
              <w:rPr>
                <w:rFonts w:hint="eastAsia" w:ascii="Times New Roman" w:hAnsi="Times New Roman" w:eastAsia="宋体"/>
                <w:caps w:val="0"/>
                <w:color w:val="000000" w:themeColor="text1"/>
                <w:sz w:val="24"/>
                <w:highlight w:val="none"/>
                <w:lang w:val="zh-CN"/>
                <w14:textFill>
                  <w14:solidFill>
                    <w14:schemeClr w14:val="tx1"/>
                  </w14:solidFill>
                </w14:textFill>
              </w:rPr>
              <w:t>、</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二甲苯</w:t>
            </w:r>
            <w:r>
              <w:rPr>
                <w:rFonts w:ascii="Times New Roman" w:hAnsi="Times New Roman" w:eastAsia="宋体"/>
                <w:caps w:val="0"/>
                <w:color w:val="000000" w:themeColor="text1"/>
                <w:sz w:val="24"/>
                <w:highlight w:val="none"/>
                <w:lang w:val="zh-CN"/>
                <w14:textFill>
                  <w14:solidFill>
                    <w14:schemeClr w14:val="tx1"/>
                  </w14:solidFill>
                </w14:textFill>
              </w:rPr>
              <w:t>通过</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两级活性炭装置</w:t>
            </w:r>
            <w:r>
              <w:rPr>
                <w:rFonts w:ascii="Times New Roman" w:hAnsi="Times New Roman" w:eastAsia="宋体"/>
                <w:caps w:val="0"/>
                <w:color w:val="000000" w:themeColor="text1"/>
                <w:sz w:val="24"/>
                <w:highlight w:val="none"/>
                <w:lang w:val="zh-CN"/>
                <w14:textFill>
                  <w14:solidFill>
                    <w14:schemeClr w14:val="tx1"/>
                  </w14:solidFill>
                </w14:textFill>
              </w:rPr>
              <w:t>处理后经15m高排气筒排放，废气收集效率和处理效率均不小于90%，采取相应无组织改善措施，废气能够满足相应排放标准，符合《国务院关于印发打赢蓝天保卫战三年行动计划的通知》（国发[2018]22号）与《安徽省人民政府关于印发安徽省打赢蓝天保卫战三年行动计划实施方案的通知》的相关要求。</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 xml:space="preserve">（5）与《关于以改善环境质量为核心加强环境影响评价管理的通知》（环评[2016]150号）（简称三线一单）相符性分析  </w:t>
            </w:r>
          </w:p>
          <w:p>
            <w:pPr>
              <w:adjustRightInd w:val="0"/>
              <w:spacing w:line="360" w:lineRule="auto"/>
              <w:ind w:firstLine="480"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 xml:space="preserve">根据《关于以改善环境质量为核心加强环境影响评价管理的通知》（环评[2016]150 号）：“为适应以改善环境质量为核心的环境管理要求，切实加强环境影响评价（以下简称环评）管理，落实“生态保护红线、环境质量底线、资源利用上线和环境准入负面清单”（以下简称“三线一单”）约束”。 </w:t>
            </w:r>
          </w:p>
          <w:p>
            <w:pPr>
              <w:spacing w:line="46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表1-</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8</w:t>
            </w:r>
            <w:r>
              <w:rPr>
                <w:rFonts w:ascii="Times New Roman" w:hAnsi="Times New Roman" w:eastAsia="宋体"/>
                <w:b/>
                <w:caps w:val="0"/>
                <w:color w:val="000000" w:themeColor="text1"/>
                <w:sz w:val="24"/>
                <w:highlight w:val="none"/>
                <w14:textFill>
                  <w14:solidFill>
                    <w14:schemeClr w14:val="tx1"/>
                  </w14:solidFill>
                </w14:textFill>
              </w:rPr>
              <w:t xml:space="preserve"> 项目与“三线一单”相符性分析</w:t>
            </w:r>
          </w:p>
          <w:tbl>
            <w:tblPr>
              <w:tblStyle w:val="32"/>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82"/>
              <w:gridCol w:w="399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4982" w:type="dxa"/>
                  <w:tcBorders>
                    <w:tl2br w:val="nil"/>
                    <w:tr2bl w:val="nil"/>
                  </w:tcBorders>
                  <w:vAlign w:val="center"/>
                </w:tcPr>
                <w:p>
                  <w:pPr>
                    <w:spacing w:line="360" w:lineRule="auto"/>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环评【2016】150 号要求</w:t>
                  </w:r>
                </w:p>
              </w:tc>
              <w:tc>
                <w:tcPr>
                  <w:tcW w:w="3996" w:type="dxa"/>
                  <w:tcBorders>
                    <w:tl2br w:val="nil"/>
                    <w:tr2bl w:val="nil"/>
                  </w:tcBorders>
                  <w:vAlign w:val="center"/>
                </w:tcPr>
                <w:p>
                  <w:pPr>
                    <w:spacing w:line="360" w:lineRule="auto"/>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本项目相符性分析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4982"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highlight w:val="none"/>
                      <w14:textFill>
                        <w14:solidFill>
                          <w14:schemeClr w14:val="tx1"/>
                        </w14:solidFill>
                      </w14:textFill>
                    </w:rPr>
                  </w:pPr>
                  <w:r>
                    <w:rPr>
                      <w:rFonts w:ascii="Times New Roman" w:hAnsi="Times New Roman" w:eastAsia="宋体"/>
                      <w:caps w:val="0"/>
                      <w:color w:val="000000" w:themeColor="text1"/>
                      <w:spacing w:val="-4"/>
                      <w:sz w:val="21"/>
                      <w:szCs w:val="21"/>
                      <w:highlight w:val="none"/>
                      <w14:textFill>
                        <w14:solidFill>
                          <w14:schemeClr w14:val="tx1"/>
                        </w14:solidFill>
                      </w14:textFill>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3996"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highlight w:val="none"/>
                      <w14:textFill>
                        <w14:solidFill>
                          <w14:schemeClr w14:val="tx1"/>
                        </w14:solidFill>
                      </w14:textFill>
                    </w:rPr>
                  </w:pPr>
                  <w:r>
                    <w:rPr>
                      <w:rFonts w:ascii="Times New Roman" w:hAnsi="Times New Roman" w:eastAsia="宋体"/>
                      <w:caps w:val="0"/>
                      <w:color w:val="000000" w:themeColor="text1"/>
                      <w:spacing w:val="-4"/>
                      <w:sz w:val="21"/>
                      <w:szCs w:val="21"/>
                      <w:highlight w:val="none"/>
                      <w14:textFill>
                        <w14:solidFill>
                          <w14:schemeClr w14:val="tx1"/>
                        </w14:solidFill>
                      </w14:textFill>
                    </w:rPr>
                    <w:t>本项目不在自然保护区、风景名胜区等生态红线保护区范围内。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40" w:hRule="atLeast"/>
              </w:trPr>
              <w:tc>
                <w:tcPr>
                  <w:tcW w:w="4982"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highlight w:val="none"/>
                      <w14:textFill>
                        <w14:solidFill>
                          <w14:schemeClr w14:val="tx1"/>
                        </w14:solidFill>
                      </w14:textFill>
                    </w:rPr>
                  </w:pPr>
                  <w:r>
                    <w:rPr>
                      <w:rFonts w:ascii="Times New Roman" w:hAnsi="Times New Roman" w:eastAsia="宋体"/>
                      <w:caps w:val="0"/>
                      <w:color w:val="000000" w:themeColor="text1"/>
                      <w:spacing w:val="-4"/>
                      <w:sz w:val="21"/>
                      <w:szCs w:val="21"/>
                      <w:highlight w:val="none"/>
                      <w14:textFill>
                        <w14:solidFill>
                          <w14:schemeClr w14:val="tx1"/>
                        </w14:solidFill>
                      </w14:textFill>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tc>
              <w:tc>
                <w:tcPr>
                  <w:tcW w:w="3996"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highlight w:val="none"/>
                      <w14:textFill>
                        <w14:solidFill>
                          <w14:schemeClr w14:val="tx1"/>
                        </w14:solidFill>
                      </w14:textFill>
                    </w:rPr>
                  </w:pPr>
                  <w:r>
                    <w:rPr>
                      <w:rFonts w:ascii="Times New Roman" w:hAnsi="Times New Roman" w:eastAsia="宋体"/>
                      <w:caps w:val="0"/>
                      <w:color w:val="000000" w:themeColor="text1"/>
                      <w:spacing w:val="-4"/>
                      <w:sz w:val="21"/>
                      <w:szCs w:val="21"/>
                      <w:highlight w:val="none"/>
                      <w14:textFill>
                        <w14:solidFill>
                          <w14:schemeClr w14:val="tx1"/>
                        </w14:solidFill>
                      </w14:textFill>
                    </w:rPr>
                    <w:t>根据芜湖市环保局网站公布的《201</w:t>
                  </w:r>
                  <w:r>
                    <w:rPr>
                      <w:rFonts w:hint="eastAsia" w:ascii="Times New Roman" w:hAnsi="Times New Roman" w:eastAsia="宋体"/>
                      <w:caps w:val="0"/>
                      <w:color w:val="000000" w:themeColor="text1"/>
                      <w:spacing w:val="-4"/>
                      <w:sz w:val="21"/>
                      <w:szCs w:val="21"/>
                      <w:highlight w:val="none"/>
                      <w:lang w:val="en-US" w:eastAsia="zh-CN"/>
                      <w14:textFill>
                        <w14:solidFill>
                          <w14:schemeClr w14:val="tx1"/>
                        </w14:solidFill>
                      </w14:textFill>
                    </w:rPr>
                    <w:t>9</w:t>
                  </w:r>
                  <w:r>
                    <w:rPr>
                      <w:rFonts w:ascii="Times New Roman" w:hAnsi="Times New Roman" w:eastAsia="宋体"/>
                      <w:caps w:val="0"/>
                      <w:color w:val="000000" w:themeColor="text1"/>
                      <w:spacing w:val="-4"/>
                      <w:sz w:val="21"/>
                      <w:szCs w:val="21"/>
                      <w:highlight w:val="none"/>
                      <w14:textFill>
                        <w14:solidFill>
                          <w14:schemeClr w14:val="tx1"/>
                        </w14:solidFill>
                      </w14:textFill>
                    </w:rPr>
                    <w:t>年芜湖市环境状况公报》，项目所在区域为环境空气质量不达标区域，超标因子为</w:t>
                  </w:r>
                  <w:r>
                    <w:rPr>
                      <w:rFonts w:hint="eastAsia" w:ascii="Times New Roman" w:hAnsi="Times New Roman" w:eastAsia="宋体"/>
                      <w:caps w:val="0"/>
                      <w:color w:val="000000" w:themeColor="text1"/>
                      <w:spacing w:val="-4"/>
                      <w:sz w:val="21"/>
                      <w:szCs w:val="21"/>
                      <w:highlight w:val="none"/>
                      <w:lang w:val="en-US" w:eastAsia="zh-CN"/>
                      <w14:textFill>
                        <w14:solidFill>
                          <w14:schemeClr w14:val="tx1"/>
                        </w14:solidFill>
                      </w14:textFill>
                    </w:rPr>
                    <w:t>O</w:t>
                  </w:r>
                  <w:r>
                    <w:rPr>
                      <w:rFonts w:hint="eastAsia" w:ascii="Times New Roman" w:hAnsi="Times New Roman" w:eastAsia="宋体"/>
                      <w:caps w:val="0"/>
                      <w:color w:val="000000" w:themeColor="text1"/>
                      <w:spacing w:val="-4"/>
                      <w:sz w:val="21"/>
                      <w:szCs w:val="21"/>
                      <w:highlight w:val="none"/>
                      <w:vertAlign w:val="subscript"/>
                      <w:lang w:val="en-US" w:eastAsia="zh-CN"/>
                      <w14:textFill>
                        <w14:solidFill>
                          <w14:schemeClr w14:val="tx1"/>
                        </w14:solidFill>
                      </w14:textFill>
                    </w:rPr>
                    <w:t>3</w:t>
                  </w:r>
                  <w:r>
                    <w:rPr>
                      <w:rFonts w:ascii="Times New Roman" w:hAnsi="Times New Roman" w:eastAsia="宋体"/>
                      <w:caps w:val="0"/>
                      <w:color w:val="000000" w:themeColor="text1"/>
                      <w:spacing w:val="-4"/>
                      <w:sz w:val="21"/>
                      <w:szCs w:val="21"/>
                      <w:highlight w:val="none"/>
                      <w14:textFill>
                        <w14:solidFill>
                          <w14:schemeClr w14:val="tx1"/>
                        </w14:solidFill>
                      </w14:textFill>
                    </w:rPr>
                    <w:t>和PM</w:t>
                  </w:r>
                  <w:r>
                    <w:rPr>
                      <w:rFonts w:hint="eastAsia" w:ascii="Times New Roman" w:hAnsi="Times New Roman" w:eastAsia="宋体"/>
                      <w:caps w:val="0"/>
                      <w:color w:val="000000" w:themeColor="text1"/>
                      <w:spacing w:val="-4"/>
                      <w:sz w:val="21"/>
                      <w:szCs w:val="21"/>
                      <w:highlight w:val="none"/>
                      <w:vertAlign w:val="subscript"/>
                      <w:lang w:val="en-US" w:eastAsia="zh-CN"/>
                      <w14:textFill>
                        <w14:solidFill>
                          <w14:schemeClr w14:val="tx1"/>
                        </w14:solidFill>
                      </w14:textFill>
                    </w:rPr>
                    <w:t>2.5</w:t>
                  </w:r>
                  <w:r>
                    <w:rPr>
                      <w:rFonts w:ascii="Times New Roman" w:hAnsi="Times New Roman" w:eastAsia="宋体"/>
                      <w:caps w:val="0"/>
                      <w:color w:val="000000" w:themeColor="text1"/>
                      <w:spacing w:val="-4"/>
                      <w:sz w:val="21"/>
                      <w:szCs w:val="21"/>
                      <w:highlight w:val="none"/>
                      <w14:textFill>
                        <w14:solidFill>
                          <w14:schemeClr w14:val="tx1"/>
                        </w14:solidFill>
                      </w14:textFill>
                    </w:rPr>
                    <w:t>；地表水满足《地表水环境质量标准》（GB3838-2002）中Ⅲ类标准要求；声环境达到《 声环 境 质 量 标 准 》（GB3096-2008）中的3类标准。本项目废气、废水、噪声达标排放，固废均得到合理处置，对周边影响较小，不会突破项目所在地的环境质量底线。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1" w:hRule="atLeast"/>
              </w:trPr>
              <w:tc>
                <w:tcPr>
                  <w:tcW w:w="4982"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highlight w:val="none"/>
                      <w14:textFill>
                        <w14:solidFill>
                          <w14:schemeClr w14:val="tx1"/>
                        </w14:solidFill>
                      </w14:textFill>
                    </w:rPr>
                  </w:pPr>
                  <w:r>
                    <w:rPr>
                      <w:rFonts w:ascii="Times New Roman" w:hAnsi="Times New Roman" w:eastAsia="宋体"/>
                      <w:caps w:val="0"/>
                      <w:color w:val="000000" w:themeColor="text1"/>
                      <w:spacing w:val="-4"/>
                      <w:sz w:val="21"/>
                      <w:szCs w:val="21"/>
                      <w:highlight w:val="none"/>
                      <w14:textFill>
                        <w14:solidFill>
                          <w14:schemeClr w14:val="tx1"/>
                        </w14:solidFill>
                      </w14:textFill>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3996"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highlight w:val="none"/>
                      <w14:textFill>
                        <w14:solidFill>
                          <w14:schemeClr w14:val="tx1"/>
                        </w14:solidFill>
                      </w14:textFill>
                    </w:rPr>
                  </w:pPr>
                  <w:r>
                    <w:rPr>
                      <w:rFonts w:ascii="Times New Roman" w:hAnsi="Times New Roman" w:eastAsia="宋体"/>
                      <w:caps w:val="0"/>
                      <w:color w:val="000000" w:themeColor="text1"/>
                      <w:spacing w:val="-4"/>
                      <w:sz w:val="21"/>
                      <w:szCs w:val="21"/>
                      <w:highlight w:val="none"/>
                      <w14:textFill>
                        <w14:solidFill>
                          <w14:schemeClr w14:val="tx1"/>
                        </w14:solidFill>
                      </w14:textFill>
                    </w:rPr>
                    <w:t>本项目能源由市政电网提供，水源由市政供水管网提供，不会突破区域资源利用上限。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982"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highlight w:val="none"/>
                      <w14:textFill>
                        <w14:solidFill>
                          <w14:schemeClr w14:val="tx1"/>
                        </w14:solidFill>
                      </w14:textFill>
                    </w:rPr>
                  </w:pPr>
                  <w:r>
                    <w:rPr>
                      <w:rFonts w:ascii="Times New Roman" w:hAnsi="Times New Roman" w:eastAsia="宋体"/>
                      <w:caps w:val="0"/>
                      <w:color w:val="000000" w:themeColor="text1"/>
                      <w:spacing w:val="-4"/>
                      <w:sz w:val="21"/>
                      <w:szCs w:val="21"/>
                      <w:highlight w:val="none"/>
                      <w14:textFill>
                        <w14:solidFill>
                          <w14:schemeClr w14:val="tx1"/>
                        </w14:solidFill>
                      </w14:textFill>
                    </w:rPr>
                    <w:t>环境准入负面清单是基于生态保护红线、环境质量底线和资源利用上线，以清单方式列出的禁止、限制等差别化环境准入条件和要求。</w:t>
                  </w:r>
                </w:p>
              </w:tc>
              <w:tc>
                <w:tcPr>
                  <w:tcW w:w="3996" w:type="dxa"/>
                  <w:tcBorders>
                    <w:tl2br w:val="nil"/>
                    <w:tr2bl w:val="nil"/>
                  </w:tcBorders>
                  <w:vAlign w:val="center"/>
                </w:tcPr>
                <w:p>
                  <w:pPr>
                    <w:spacing w:line="320" w:lineRule="exact"/>
                    <w:jc w:val="center"/>
                    <w:rPr>
                      <w:rFonts w:ascii="Times New Roman" w:hAnsi="Times New Roman" w:eastAsia="宋体"/>
                      <w:caps w:val="0"/>
                      <w:color w:val="000000" w:themeColor="text1"/>
                      <w:spacing w:val="-4"/>
                      <w:sz w:val="21"/>
                      <w:szCs w:val="21"/>
                      <w:highlight w:val="none"/>
                      <w14:textFill>
                        <w14:solidFill>
                          <w14:schemeClr w14:val="tx1"/>
                        </w14:solidFill>
                      </w14:textFill>
                    </w:rPr>
                  </w:pPr>
                  <w:r>
                    <w:rPr>
                      <w:rFonts w:ascii="Times New Roman" w:hAnsi="Times New Roman" w:eastAsia="宋体"/>
                      <w:caps w:val="0"/>
                      <w:color w:val="000000" w:themeColor="text1"/>
                      <w:spacing w:val="-4"/>
                      <w:sz w:val="21"/>
                      <w:szCs w:val="21"/>
                      <w:highlight w:val="none"/>
                      <w14:textFill>
                        <w14:solidFill>
                          <w14:schemeClr w14:val="tx1"/>
                        </w14:solidFill>
                      </w14:textFill>
                    </w:rPr>
                    <w:t>本项目行业类别为</w:t>
                  </w:r>
                  <w:r>
                    <w:rPr>
                      <w:rFonts w:hint="eastAsia" w:ascii="Times New Roman" w:hAnsi="Times New Roman" w:eastAsia="宋体"/>
                      <w:caps w:val="0"/>
                      <w:color w:val="000000" w:themeColor="text1"/>
                      <w:spacing w:val="-4"/>
                      <w:sz w:val="21"/>
                      <w:szCs w:val="21"/>
                      <w:highlight w:val="none"/>
                      <w14:textFill>
                        <w14:solidFill>
                          <w14:schemeClr w14:val="tx1"/>
                        </w14:solidFill>
                      </w14:textFill>
                    </w:rPr>
                    <w:t>[C3443]阀门和旋塞制造</w:t>
                  </w:r>
                  <w:r>
                    <w:rPr>
                      <w:rFonts w:ascii="Times New Roman" w:hAnsi="Times New Roman" w:eastAsia="宋体"/>
                      <w:caps w:val="0"/>
                      <w:color w:val="000000" w:themeColor="text1"/>
                      <w:spacing w:val="-4"/>
                      <w:sz w:val="21"/>
                      <w:szCs w:val="21"/>
                      <w:highlight w:val="none"/>
                      <w14:textFill>
                        <w14:solidFill>
                          <w14:schemeClr w14:val="tx1"/>
                        </w14:solidFill>
                      </w14:textFill>
                    </w:rPr>
                    <w:t>，选址于</w:t>
                  </w:r>
                  <w:r>
                    <w:rPr>
                      <w:rFonts w:hint="eastAsia" w:ascii="Times New Roman" w:hAnsi="Times New Roman" w:eastAsia="宋体"/>
                      <w:caps w:val="0"/>
                      <w:color w:val="000000" w:themeColor="text1"/>
                      <w:spacing w:val="-4"/>
                      <w:sz w:val="21"/>
                      <w:szCs w:val="21"/>
                      <w:highlight w:val="none"/>
                      <w14:textFill>
                        <w14:solidFill>
                          <w14:schemeClr w14:val="tx1"/>
                        </w14:solidFill>
                      </w14:textFill>
                    </w:rPr>
                    <w:t>繁昌经济开发区孙村园区</w:t>
                  </w:r>
                  <w:r>
                    <w:rPr>
                      <w:rFonts w:ascii="Times New Roman" w:hAnsi="Times New Roman" w:eastAsia="宋体"/>
                      <w:caps w:val="0"/>
                      <w:color w:val="000000" w:themeColor="text1"/>
                      <w:spacing w:val="-4"/>
                      <w:sz w:val="21"/>
                      <w:szCs w:val="21"/>
                      <w:highlight w:val="none"/>
                      <w14:textFill>
                        <w14:solidFill>
                          <w14:schemeClr w14:val="tx1"/>
                        </w14:solidFill>
                      </w14:textFill>
                    </w:rPr>
                    <w:t>，用地性质为工业用地，符合园区产业定位，不属于环境准入负面清单中禁止入园企业。</w:t>
                  </w:r>
                </w:p>
              </w:tc>
            </w:tr>
          </w:tbl>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从表中可知，本项目符合《关于以改善环境质量为核心加强环境影响评价管理的  通知》（环评[2016]150号）（简称三线一单）文件要求。</w:t>
            </w: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0" w:hRule="atLeast"/>
          <w:jc w:val="center"/>
        </w:trPr>
        <w:tc>
          <w:tcPr>
            <w:tcW w:w="5000" w:type="pct"/>
            <w:gridSpan w:val="7"/>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与本项目有关的原有污染情况及主要环境问题：</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outlineLvl w:val="2"/>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bookmarkStart w:id="0" w:name="_Toc27817"/>
            <w:r>
              <w:rPr>
                <w:rFonts w:hint="eastAsia" w:ascii="Times New Roman" w:hAnsi="Times New Roman" w:eastAsia="宋体" w:cs="Times New Roman"/>
                <w:b/>
                <w:bCs/>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建设内容</w:t>
            </w:r>
            <w:bookmarkEnd w:id="0"/>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bCs/>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项目位于</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繁昌经济开发区孙村园区</w:t>
            </w: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占地面积</w:t>
            </w:r>
            <w:r>
              <w:rPr>
                <w:rFonts w:hint="eastAsia" w:ascii="Times New Roman" w:hAnsi="Times New Roman" w:eastAsia="宋体"/>
                <w:color w:val="000000" w:themeColor="text1"/>
                <w:sz w:val="24"/>
                <w:highlight w:val="none"/>
                <w:lang w:val="en-US" w:eastAsia="zh-CN"/>
                <w14:textFill>
                  <w14:solidFill>
                    <w14:schemeClr w14:val="tx1"/>
                  </w14:solidFill>
                </w14:textFill>
              </w:rPr>
              <w:t>85亩</w:t>
            </w: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全厂劳动定员为1</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0人，工作班次为单班制，每班工作8小时，年工作300天。</w:t>
            </w: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1-9</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项目主要建设内容一览表</w:t>
            </w:r>
          </w:p>
          <w:tbl>
            <w:tblPr>
              <w:tblStyle w:val="32"/>
              <w:tblpPr w:leftFromText="180" w:rightFromText="180" w:vertAnchor="text" w:horzAnchor="page" w:tblpX="360" w:tblpY="46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578"/>
              <w:gridCol w:w="2562"/>
              <w:gridCol w:w="3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bookmarkStart w:id="1" w:name="_Toc23823"/>
                  <w:r>
                    <w:rPr>
                      <w:rFonts w:ascii="Times New Roman" w:hAnsi="Times New Roman" w:eastAsia="宋体"/>
                      <w:color w:val="000000" w:themeColor="text1"/>
                      <w:kern w:val="0"/>
                      <w:sz w:val="21"/>
                      <w:szCs w:val="21"/>
                      <w:highlight w:val="none"/>
                      <w14:textFill>
                        <w14:solidFill>
                          <w14:schemeClr w14:val="tx1"/>
                        </w14:solidFill>
                      </w14:textFill>
                    </w:rPr>
                    <w:t>工程类别</w:t>
                  </w:r>
                </w:p>
              </w:tc>
              <w:tc>
                <w:tcPr>
                  <w:tcW w:w="15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r>
                    <w:rPr>
                      <w:rFonts w:ascii="Times New Roman" w:hAnsi="Times New Roman" w:eastAsia="宋体"/>
                      <w:color w:val="000000" w:themeColor="text1"/>
                      <w:kern w:val="0"/>
                      <w:sz w:val="21"/>
                      <w:szCs w:val="21"/>
                      <w:highlight w:val="none"/>
                      <w14:textFill>
                        <w14:solidFill>
                          <w14:schemeClr w14:val="tx1"/>
                        </w14:solidFill>
                      </w14:textFill>
                    </w:rPr>
                    <w:t>单项工程名称</w:t>
                  </w:r>
                </w:p>
              </w:tc>
              <w:tc>
                <w:tcPr>
                  <w:tcW w:w="256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r>
                    <w:rPr>
                      <w:rFonts w:ascii="Times New Roman" w:hAnsi="Times New Roman" w:eastAsia="宋体"/>
                      <w:color w:val="000000" w:themeColor="text1"/>
                      <w:kern w:val="0"/>
                      <w:sz w:val="21"/>
                      <w:szCs w:val="21"/>
                      <w:highlight w:val="none"/>
                      <w14:textFill>
                        <w14:solidFill>
                          <w14:schemeClr w14:val="tx1"/>
                        </w14:solidFill>
                      </w14:textFill>
                    </w:rPr>
                    <w:t>工程内容</w:t>
                  </w:r>
                </w:p>
              </w:tc>
              <w:tc>
                <w:tcPr>
                  <w:tcW w:w="3378"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工程规模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40" w:lineRule="exact"/>
                    <w:ind w:left="-7" w:leftChars="-6" w:right="0" w:rightChars="0" w:hanging="10" w:hangingChars="5"/>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r>
                    <w:rPr>
                      <w:rFonts w:ascii="Times New Roman" w:hAnsi="Times New Roman" w:eastAsia="宋体"/>
                      <w:color w:val="000000" w:themeColor="text1"/>
                      <w:kern w:val="0"/>
                      <w:sz w:val="21"/>
                      <w:szCs w:val="21"/>
                      <w:highlight w:val="none"/>
                      <w14:textFill>
                        <w14:solidFill>
                          <w14:schemeClr w14:val="tx1"/>
                        </w14:solidFill>
                      </w14:textFill>
                    </w:rPr>
                    <w:t>主体工程</w:t>
                  </w:r>
                </w:p>
              </w:tc>
              <w:tc>
                <w:tcPr>
                  <w:tcW w:w="1578"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 w:val="21"/>
                      <w:szCs w:val="21"/>
                      <w:highlight w:val="none"/>
                      <w14:textFill>
                        <w14:solidFill>
                          <w14:schemeClr w14:val="tx1"/>
                        </w14:solidFill>
                      </w14:textFill>
                    </w:rPr>
                    <w:t>生产车间</w:t>
                  </w:r>
                </w:p>
              </w:tc>
              <w:tc>
                <w:tcPr>
                  <w:tcW w:w="2562"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lang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建设管件、阀门以及轨道交通零部件生产线</w:t>
                  </w:r>
                </w:p>
              </w:tc>
              <w:tc>
                <w:tcPr>
                  <w:tcW w:w="33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 w:val="21"/>
                      <w:szCs w:val="21"/>
                      <w:highlight w:val="none"/>
                      <w14:textFill>
                        <w14:solidFill>
                          <w14:schemeClr w14:val="tx1"/>
                        </w14:solidFill>
                      </w14:textFill>
                    </w:rPr>
                    <w:t>建筑面积约</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30000</w:t>
                  </w:r>
                  <w:r>
                    <w:rPr>
                      <w:rFonts w:hint="eastAsia" w:ascii="Times New Roman" w:hAnsi="Times New Roman" w:eastAsia="宋体"/>
                      <w:color w:val="000000" w:themeColor="text1"/>
                      <w:sz w:val="21"/>
                      <w:szCs w:val="21"/>
                      <w:highlight w:val="none"/>
                      <w14:textFill>
                        <w14:solidFill>
                          <w14:schemeClr w14:val="tx1"/>
                        </w14:solidFill>
                      </w14:textFill>
                    </w:rPr>
                    <w:t>m</w:t>
                  </w:r>
                  <w:r>
                    <w:rPr>
                      <w:rFonts w:hint="eastAsia" w:ascii="Times New Roman" w:hAnsi="Times New Roman" w:eastAsia="宋体"/>
                      <w:color w:val="000000" w:themeColor="text1"/>
                      <w:sz w:val="21"/>
                      <w:szCs w:val="21"/>
                      <w:highlight w:val="none"/>
                      <w:vertAlign w:val="superscript"/>
                      <w14:textFill>
                        <w14:solidFill>
                          <w14:schemeClr w14:val="tx1"/>
                        </w14:solidFill>
                      </w14:textFill>
                    </w:rPr>
                    <w:t>2</w:t>
                  </w:r>
                  <w:r>
                    <w:rPr>
                      <w:rFonts w:hint="eastAsia" w:ascii="Times New Roman" w:hAnsi="Times New Roman" w:eastAsia="宋体"/>
                      <w:color w:val="000000" w:themeColor="text1"/>
                      <w:sz w:val="21"/>
                      <w:szCs w:val="21"/>
                      <w:highlight w:val="none"/>
                      <w14:textFill>
                        <w14:solidFill>
                          <w14:schemeClr w14:val="tx1"/>
                        </w14:solidFill>
                      </w14:textFill>
                    </w:rPr>
                    <w:t>，项目建成后可年生产</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各类</w:t>
                  </w:r>
                  <w:r>
                    <w:rPr>
                      <w:rFonts w:hint="eastAsia" w:ascii="Times New Roman" w:hAnsi="Times New Roman" w:eastAsia="宋体"/>
                      <w:color w:val="000000" w:themeColor="text1"/>
                      <w:sz w:val="21"/>
                      <w:szCs w:val="21"/>
                      <w:highlight w:val="none"/>
                      <w14:textFill>
                        <w14:solidFill>
                          <w14:schemeClr w14:val="tx1"/>
                        </w14:solidFill>
                      </w14:textFill>
                    </w:rPr>
                    <w:t>材料</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共2</w:t>
                  </w:r>
                  <w:r>
                    <w:rPr>
                      <w:rFonts w:hint="eastAsia" w:ascii="Times New Roman" w:hAnsi="Times New Roman" w:eastAsia="宋体"/>
                      <w:color w:val="000000" w:themeColor="text1"/>
                      <w:sz w:val="21"/>
                      <w:szCs w:val="21"/>
                      <w:highlight w:val="none"/>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r>
                    <w:rPr>
                      <w:rFonts w:ascii="Times New Roman" w:hAnsi="Times New Roman" w:eastAsia="宋体"/>
                      <w:color w:val="000000" w:themeColor="text1"/>
                      <w:kern w:val="0"/>
                      <w:sz w:val="21"/>
                      <w:szCs w:val="21"/>
                      <w:highlight w:val="none"/>
                      <w14:textFill>
                        <w14:solidFill>
                          <w14:schemeClr w14:val="tx1"/>
                        </w14:solidFill>
                      </w14:textFill>
                    </w:rPr>
                    <w:t>储运工程</w:t>
                  </w:r>
                </w:p>
              </w:tc>
              <w:tc>
                <w:tcPr>
                  <w:tcW w:w="1578"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 w:val="21"/>
                      <w:szCs w:val="21"/>
                      <w:highlight w:val="none"/>
                      <w14:textFill>
                        <w14:solidFill>
                          <w14:schemeClr w14:val="tx1"/>
                        </w14:solidFill>
                      </w14:textFill>
                    </w:rPr>
                    <w:t>仓库用房</w:t>
                  </w:r>
                </w:p>
              </w:tc>
              <w:tc>
                <w:tcPr>
                  <w:tcW w:w="256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lang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位于生产车间内</w:t>
                  </w:r>
                </w:p>
              </w:tc>
              <w:tc>
                <w:tcPr>
                  <w:tcW w:w="3378"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vertAlign w:val="superscript"/>
                      <w:lang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vMerge w:val="restart"/>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kern w:val="0"/>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公用工程</w:t>
                  </w:r>
                </w:p>
              </w:tc>
              <w:tc>
                <w:tcPr>
                  <w:tcW w:w="15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给水</w:t>
                  </w:r>
                </w:p>
              </w:tc>
              <w:tc>
                <w:tcPr>
                  <w:tcW w:w="2562"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园区供水管网</w:t>
                  </w:r>
                </w:p>
              </w:tc>
              <w:tc>
                <w:tcPr>
                  <w:tcW w:w="33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r>
                    <w:rPr>
                      <w:rFonts w:ascii="Times New Roman" w:hAnsi="Times New Roman" w:eastAsia="宋体"/>
                      <w:color w:val="000000" w:themeColor="text1"/>
                      <w:kern w:val="0"/>
                      <w:sz w:val="21"/>
                      <w:szCs w:val="21"/>
                      <w:highlight w:val="none"/>
                      <w14:textFill>
                        <w14:solidFill>
                          <w14:schemeClr w14:val="tx1"/>
                        </w14:solidFill>
                      </w14:textFill>
                    </w:rPr>
                    <w:t>年给水量</w:t>
                  </w:r>
                  <w:r>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t>3000</w:t>
                  </w:r>
                  <w:r>
                    <w:rPr>
                      <w:rFonts w:ascii="Times New Roman" w:hAnsi="Times New Roman" w:eastAsia="宋体"/>
                      <w:color w:val="000000" w:themeColor="text1"/>
                      <w:kern w:val="0"/>
                      <w:sz w:val="21"/>
                      <w:szCs w:val="21"/>
                      <w:highlight w:val="none"/>
                      <w14:textFill>
                        <w14:solidFill>
                          <w14:schemeClr w14:val="tx1"/>
                        </w14:solidFill>
                      </w14:textFill>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 w:hRule="atLeast"/>
              </w:trPr>
              <w:tc>
                <w:tcPr>
                  <w:tcW w:w="7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p>
              </w:tc>
              <w:tc>
                <w:tcPr>
                  <w:tcW w:w="15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排水</w:t>
                  </w:r>
                </w:p>
              </w:tc>
              <w:tc>
                <w:tcPr>
                  <w:tcW w:w="2562"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t>化粪池、</w:t>
                  </w:r>
                  <w:r>
                    <w:rPr>
                      <w:rFonts w:hint="eastAsia" w:ascii="Times New Roman" w:hAnsi="Times New Roman" w:eastAsia="宋体"/>
                      <w:color w:val="000000" w:themeColor="text1"/>
                      <w:kern w:val="0"/>
                      <w:sz w:val="21"/>
                      <w:szCs w:val="21"/>
                      <w:highlight w:val="none"/>
                      <w14:textFill>
                        <w14:solidFill>
                          <w14:schemeClr w14:val="tx1"/>
                        </w14:solidFill>
                      </w14:textFill>
                    </w:rPr>
                    <w:t>雨污分流</w:t>
                  </w:r>
                </w:p>
              </w:tc>
              <w:tc>
                <w:tcPr>
                  <w:tcW w:w="33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kern w:val="0"/>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雨水排入园区雨水管网；</w:t>
                  </w:r>
                  <w:r>
                    <w:rPr>
                      <w:rFonts w:hint="eastAsia" w:ascii="Times New Roman" w:hAnsi="Times New Roman" w:eastAsia="宋体"/>
                      <w:color w:val="000000" w:themeColor="text1"/>
                      <w:sz w:val="21"/>
                      <w:szCs w:val="21"/>
                      <w:highlight w:val="none"/>
                      <w14:textFill>
                        <w14:solidFill>
                          <w14:schemeClr w14:val="tx1"/>
                        </w14:solidFill>
                      </w14:textFill>
                    </w:rPr>
                    <w:t>废水经化粪池预处理后经园区污水管网进入</w:t>
                  </w:r>
                  <w:r>
                    <w:rPr>
                      <w:rFonts w:hint="eastAsia" w:ascii="Times New Roman" w:hAnsi="Times New Roman" w:eastAsia="宋体"/>
                      <w:bCs/>
                      <w:color w:val="000000" w:themeColor="text1"/>
                      <w:sz w:val="21"/>
                      <w:szCs w:val="21"/>
                      <w:highlight w:val="none"/>
                      <w14:textFill>
                        <w14:solidFill>
                          <w14:schemeClr w14:val="tx1"/>
                        </w14:solidFill>
                      </w14:textFill>
                    </w:rPr>
                    <w:t>繁昌县</w:t>
                  </w:r>
                  <w:r>
                    <w:rPr>
                      <w:rFonts w:hint="eastAsia" w:ascii="Times New Roman" w:hAnsi="Times New Roman" w:eastAsia="宋体"/>
                      <w:color w:val="000000" w:themeColor="text1"/>
                      <w:sz w:val="21"/>
                      <w:szCs w:val="21"/>
                      <w:highlight w:val="none"/>
                      <w14:textFill>
                        <w14:solidFill>
                          <w14:schemeClr w14:val="tx1"/>
                        </w14:solidFill>
                      </w14:textFill>
                    </w:rPr>
                    <w:t>第二污水处理厂处理，处理达标后外排</w:t>
                  </w:r>
                  <w:r>
                    <w:rPr>
                      <w:rFonts w:hint="eastAsia" w:ascii="Times New Roman" w:hAnsi="Times New Roman" w:eastAsia="宋体"/>
                      <w:bCs/>
                      <w:color w:val="000000" w:themeColor="text1"/>
                      <w:sz w:val="21"/>
                      <w:szCs w:val="21"/>
                      <w:highlight w:val="none"/>
                      <w14:textFill>
                        <w14:solidFill>
                          <w14:schemeClr w14:val="tx1"/>
                        </w14:solidFill>
                      </w14:textFill>
                    </w:rPr>
                    <w:t>梨山河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p>
              </w:tc>
              <w:tc>
                <w:tcPr>
                  <w:tcW w:w="15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供</w:t>
                  </w:r>
                  <w:r>
                    <w:rPr>
                      <w:rFonts w:hint="eastAsia" w:ascii="Times New Roman" w:hAnsi="Times New Roman" w:eastAsia="宋体"/>
                      <w:color w:val="000000" w:themeColor="text1"/>
                      <w:sz w:val="21"/>
                      <w:szCs w:val="21"/>
                      <w:highlight w:val="none"/>
                      <w14:textFill>
                        <w14:solidFill>
                          <w14:schemeClr w14:val="tx1"/>
                        </w14:solidFill>
                      </w14:textFill>
                    </w:rPr>
                    <w:t>电</w:t>
                  </w:r>
                </w:p>
              </w:tc>
              <w:tc>
                <w:tcPr>
                  <w:tcW w:w="2562"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kern w:val="0"/>
                      <w:sz w:val="21"/>
                      <w:szCs w:val="21"/>
                      <w:highlight w:val="none"/>
                      <w14:textFill>
                        <w14:solidFill>
                          <w14:schemeClr w14:val="tx1"/>
                        </w14:solidFill>
                      </w14:textFill>
                    </w:rPr>
                    <w:t>园区电网供电</w:t>
                  </w:r>
                </w:p>
              </w:tc>
              <w:tc>
                <w:tcPr>
                  <w:tcW w:w="33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r>
                    <w:rPr>
                      <w:rFonts w:ascii="Times New Roman" w:hAnsi="Times New Roman" w:eastAsia="宋体"/>
                      <w:color w:val="000000" w:themeColor="text1"/>
                      <w:kern w:val="0"/>
                      <w:sz w:val="21"/>
                      <w:szCs w:val="21"/>
                      <w:highlight w:val="none"/>
                      <w14:textFill>
                        <w14:solidFill>
                          <w14:schemeClr w14:val="tx1"/>
                        </w14:solidFill>
                      </w14:textFill>
                    </w:rPr>
                    <w:t>年消耗电量</w:t>
                  </w:r>
                  <w:r>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t>100</w:t>
                  </w:r>
                  <w:r>
                    <w:rPr>
                      <w:rFonts w:ascii="Times New Roman" w:hAnsi="Times New Roman" w:eastAsia="宋体"/>
                      <w:color w:val="000000" w:themeColor="text1"/>
                      <w:kern w:val="0"/>
                      <w:sz w:val="21"/>
                      <w:szCs w:val="21"/>
                      <w:highlight w:val="none"/>
                      <w14:textFill>
                        <w14:solidFill>
                          <w14:schemeClr w14:val="tx1"/>
                        </w14:solidFill>
                      </w14:textFill>
                    </w:rPr>
                    <w:t>万</w:t>
                  </w:r>
                  <w:r>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t>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vMerge w:val="restart"/>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r>
                    <w:rPr>
                      <w:rFonts w:ascii="Times New Roman" w:hAnsi="Times New Roman" w:eastAsia="宋体"/>
                      <w:color w:val="000000" w:themeColor="text1"/>
                      <w:kern w:val="0"/>
                      <w:sz w:val="21"/>
                      <w:szCs w:val="21"/>
                      <w:highlight w:val="none"/>
                      <w14:textFill>
                        <w14:solidFill>
                          <w14:schemeClr w14:val="tx1"/>
                        </w14:solidFill>
                      </w14:textFill>
                    </w:rPr>
                    <w:t>环保工程</w:t>
                  </w:r>
                </w:p>
              </w:tc>
              <w:tc>
                <w:tcPr>
                  <w:tcW w:w="1578" w:type="dxa"/>
                  <w:vMerge w:val="restart"/>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 w:val="21"/>
                      <w:szCs w:val="21"/>
                      <w:highlight w:val="none"/>
                      <w14:textFill>
                        <w14:solidFill>
                          <w14:schemeClr w14:val="tx1"/>
                        </w14:solidFill>
                      </w14:textFill>
                    </w:rPr>
                    <w:t>废气治理</w:t>
                  </w:r>
                </w:p>
              </w:tc>
              <w:tc>
                <w:tcPr>
                  <w:tcW w:w="2562"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default" w:ascii="Times New Roman" w:hAnsi="Times New Roman" w:eastAsia="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t>抛丸粉尘经布袋除尘器处理后通过15m排气筒外排</w:t>
                  </w:r>
                </w:p>
              </w:tc>
              <w:tc>
                <w:tcPr>
                  <w:tcW w:w="33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 w:hRule="atLeast"/>
              </w:trPr>
              <w:tc>
                <w:tcPr>
                  <w:tcW w:w="720" w:type="dxa"/>
                  <w:vMerge w:val="continue"/>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p>
              </w:tc>
              <w:tc>
                <w:tcPr>
                  <w:tcW w:w="1578" w:type="dxa"/>
                  <w:vMerge w:val="continue"/>
                  <w:tcBorders/>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14:textFill>
                        <w14:solidFill>
                          <w14:schemeClr w14:val="tx1"/>
                        </w14:solidFill>
                      </w14:textFill>
                    </w:rPr>
                  </w:pPr>
                </w:p>
              </w:tc>
              <w:tc>
                <w:tcPr>
                  <w:tcW w:w="2562"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default" w:ascii="Times New Roman" w:hAnsi="Times New Roman" w:eastAsia="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t>喷粉粉尘经单级滤筒回收装置回收后通过15m排气筒外排</w:t>
                  </w:r>
                </w:p>
              </w:tc>
              <w:tc>
                <w:tcPr>
                  <w:tcW w:w="33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kern w:val="0"/>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 w:hRule="atLeast"/>
              </w:trPr>
              <w:tc>
                <w:tcPr>
                  <w:tcW w:w="720" w:type="dxa"/>
                  <w:vMerge w:val="continue"/>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p>
              </w:tc>
              <w:tc>
                <w:tcPr>
                  <w:tcW w:w="1578" w:type="dxa"/>
                  <w:vMerge w:val="continue"/>
                  <w:tcBorders/>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14:textFill>
                        <w14:solidFill>
                          <w14:schemeClr w14:val="tx1"/>
                        </w14:solidFill>
                      </w14:textFill>
                    </w:rPr>
                  </w:pPr>
                </w:p>
              </w:tc>
              <w:tc>
                <w:tcPr>
                  <w:tcW w:w="2562"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default" w:ascii="Times New Roman" w:hAnsi="Times New Roman" w:eastAsia="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t>固化废气经两级活性炭装置处理后通过</w:t>
                  </w:r>
                  <w:r>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t>15m排气筒外排</w:t>
                  </w:r>
                </w:p>
              </w:tc>
              <w:tc>
                <w:tcPr>
                  <w:tcW w:w="33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kern w:val="0"/>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 w:hRule="atLeast"/>
              </w:trPr>
              <w:tc>
                <w:tcPr>
                  <w:tcW w:w="720" w:type="dxa"/>
                  <w:vMerge w:val="continue"/>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p>
              </w:tc>
              <w:tc>
                <w:tcPr>
                  <w:tcW w:w="1578"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kern w:val="0"/>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废水治理</w:t>
                  </w:r>
                </w:p>
              </w:tc>
              <w:tc>
                <w:tcPr>
                  <w:tcW w:w="2562"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化粪池</w:t>
                  </w:r>
                  <w:r>
                    <w:rPr>
                      <w:rFonts w:hint="eastAsia" w:ascii="Times New Roman" w:hAnsi="Times New Roman" w:eastAsia="宋体"/>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t>雨污管网</w:t>
                  </w:r>
                </w:p>
              </w:tc>
              <w:tc>
                <w:tcPr>
                  <w:tcW w:w="3378" w:type="dxa"/>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kern w:val="0"/>
                      <w:sz w:val="21"/>
                      <w:szCs w:val="21"/>
                      <w:highlight w:val="none"/>
                      <w:lang w:val="en-US" w:eastAsia="zh-CN"/>
                      <w14:textFill>
                        <w14:solidFill>
                          <w14:schemeClr w14:val="tx1"/>
                        </w14:solidFill>
                      </w14:textFill>
                    </w:rPr>
                    <w:t>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 w:hRule="atLeast"/>
              </w:trPr>
              <w:tc>
                <w:tcPr>
                  <w:tcW w:w="720" w:type="dxa"/>
                  <w:vMerge w:val="continue"/>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p>
              </w:tc>
              <w:tc>
                <w:tcPr>
                  <w:tcW w:w="1578"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kern w:val="0"/>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噪声治理</w:t>
                  </w:r>
                </w:p>
              </w:tc>
              <w:tc>
                <w:tcPr>
                  <w:tcW w:w="256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kern w:val="0"/>
                      <w:sz w:val="21"/>
                      <w:szCs w:val="21"/>
                      <w:highlight w:val="none"/>
                      <w14:textFill>
                        <w14:solidFill>
                          <w14:schemeClr w14:val="tx1"/>
                        </w14:solidFill>
                      </w14:textFill>
                    </w:rPr>
                  </w:pPr>
                  <w:r>
                    <w:rPr>
                      <w:rFonts w:hint="eastAsia" w:ascii="Times New Roman" w:hAnsi="Times New Roman" w:eastAsia="宋体"/>
                      <w:color w:val="000000" w:themeColor="text1"/>
                      <w:sz w:val="21"/>
                      <w:szCs w:val="21"/>
                      <w:highlight w:val="none"/>
                      <w14:textFill>
                        <w14:solidFill>
                          <w14:schemeClr w14:val="tx1"/>
                        </w14:solidFill>
                      </w14:textFill>
                    </w:rPr>
                    <w:t>基础减振、消声、厂房</w:t>
                  </w:r>
                  <w:r>
                    <w:rPr>
                      <w:rFonts w:ascii="Times New Roman" w:hAnsi="Times New Roman" w:eastAsia="宋体"/>
                      <w:color w:val="000000" w:themeColor="text1"/>
                      <w:sz w:val="21"/>
                      <w:szCs w:val="21"/>
                      <w:highlight w:val="none"/>
                      <w14:textFill>
                        <w14:solidFill>
                          <w14:schemeClr w14:val="tx1"/>
                        </w14:solidFill>
                      </w14:textFill>
                    </w:rPr>
                    <w:t>隔声</w:t>
                  </w:r>
                  <w:r>
                    <w:rPr>
                      <w:rFonts w:hint="eastAsia" w:ascii="Times New Roman" w:hAnsi="Times New Roman" w:eastAsia="宋体"/>
                      <w:color w:val="000000" w:themeColor="text1"/>
                      <w:sz w:val="21"/>
                      <w:szCs w:val="21"/>
                      <w:highlight w:val="none"/>
                      <w14:textFill>
                        <w14:solidFill>
                          <w14:schemeClr w14:val="tx1"/>
                        </w14:solidFill>
                      </w14:textFill>
                    </w:rPr>
                    <w:t>、距离衰减、绿化等</w:t>
                  </w:r>
                </w:p>
              </w:tc>
              <w:tc>
                <w:tcPr>
                  <w:tcW w:w="3378"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厂界</w:t>
                  </w:r>
                  <w:r>
                    <w:rPr>
                      <w:rFonts w:hint="eastAsia" w:ascii="Times New Roman" w:hAnsi="Times New Roman" w:eastAsia="宋体"/>
                      <w:color w:val="000000" w:themeColor="text1"/>
                      <w:sz w:val="21"/>
                      <w:szCs w:val="21"/>
                      <w:highlight w:val="none"/>
                      <w14:textFill>
                        <w14:solidFill>
                          <w14:schemeClr w14:val="tx1"/>
                        </w14:solidFill>
                      </w14:textFill>
                    </w:rPr>
                    <w:t>噪声</w:t>
                  </w:r>
                  <w:r>
                    <w:rPr>
                      <w:rFonts w:ascii="Times New Roman" w:hAnsi="Times New Roman" w:eastAsia="宋体"/>
                      <w:color w:val="000000" w:themeColor="text1"/>
                      <w:sz w:val="21"/>
                      <w:szCs w:val="21"/>
                      <w:highlight w:val="none"/>
                      <w14:textFill>
                        <w14:solidFill>
                          <w14:schemeClr w14:val="tx1"/>
                        </w14:solidFill>
                      </w14:textFill>
                    </w:rPr>
                    <w:t>达标</w:t>
                  </w:r>
                  <w:r>
                    <w:rPr>
                      <w:rFonts w:hint="eastAsia" w:ascii="Times New Roman" w:hAnsi="Times New Roman" w:eastAsia="宋体"/>
                      <w:color w:val="000000" w:themeColor="text1"/>
                      <w:sz w:val="21"/>
                      <w:szCs w:val="21"/>
                      <w:highlight w:val="none"/>
                      <w14:textFill>
                        <w14:solidFill>
                          <w14:schemeClr w14:val="tx1"/>
                        </w14:solidFill>
                      </w14:textFill>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20" w:type="dxa"/>
                  <w:vMerge w:val="continue"/>
                  <w:noWrap w:val="0"/>
                  <w:vAlign w:val="center"/>
                </w:tcPr>
                <w:p>
                  <w:pPr>
                    <w:keepNext w:val="0"/>
                    <w:keepLines w:val="0"/>
                    <w:pageBreakBefore w:val="0"/>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kern w:val="0"/>
                      <w:sz w:val="21"/>
                      <w:szCs w:val="21"/>
                      <w:highlight w:val="none"/>
                      <w14:textFill>
                        <w14:solidFill>
                          <w14:schemeClr w14:val="tx1"/>
                        </w14:solidFill>
                      </w14:textFill>
                    </w:rPr>
                  </w:pPr>
                </w:p>
              </w:tc>
              <w:tc>
                <w:tcPr>
                  <w:tcW w:w="1578"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kern w:val="0"/>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固废处理</w:t>
                  </w:r>
                </w:p>
              </w:tc>
              <w:tc>
                <w:tcPr>
                  <w:tcW w:w="256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hint="eastAsia" w:ascii="Times New Roman" w:hAnsi="Times New Roman" w:eastAsia="宋体"/>
                      <w:color w:val="000000" w:themeColor="text1"/>
                      <w:kern w:val="0"/>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塑粉回收用于生产，抛丸粉尘和生活垃圾委托环卫部门清运等</w:t>
                  </w:r>
                </w:p>
              </w:tc>
              <w:tc>
                <w:tcPr>
                  <w:tcW w:w="3378"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ind w:right="0" w:rightChars="0"/>
                    <w:jc w:val="center"/>
                    <w:textAlignment w:val="auto"/>
                    <w:outlineLvl w:val="9"/>
                    <w:rPr>
                      <w:rFonts w:ascii="Times New Roman" w:hAnsi="Times New Roman" w:eastAsia="宋体"/>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 w:val="21"/>
                      <w:szCs w:val="21"/>
                      <w:highlight w:val="none"/>
                      <w14:textFill>
                        <w14:solidFill>
                          <w14:schemeClr w14:val="tx1"/>
                        </w14:solidFill>
                      </w14:textFill>
                    </w:rPr>
                    <w:t>不产生二次污染</w:t>
                  </w:r>
                </w:p>
              </w:tc>
            </w:tr>
          </w:tbl>
          <w:p>
            <w:pPr>
              <w:ind w:left="0" w:leftChars="0" w:firstLine="482" w:firstLineChars="200"/>
              <w:outlineLvl w:val="2"/>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caps w:val="0"/>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产品方案</w:t>
            </w:r>
            <w:bookmarkEnd w:id="1"/>
          </w:p>
          <w:p>
            <w:pPr>
              <w:ind w:firstLine="480"/>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 xml:space="preserve">项目产品方案见下表。  </w:t>
            </w: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1-10</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项目产品方案及生产规模</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29"/>
              <w:gridCol w:w="41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tblHeader/>
                <w:jc w:val="center"/>
              </w:trPr>
              <w:tc>
                <w:tcPr>
                  <w:tcW w:w="4429"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产品名称</w:t>
                  </w:r>
                </w:p>
              </w:tc>
              <w:tc>
                <w:tcPr>
                  <w:tcW w:w="4142" w:type="dxa"/>
                  <w:noWrap w:val="0"/>
                  <w:vAlign w:val="center"/>
                </w:tcPr>
                <w:p>
                  <w:pPr>
                    <w:spacing w:line="320" w:lineRule="exac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生产能力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9" w:type="dxa"/>
                  <w:noWrap w:val="0"/>
                  <w:vAlign w:val="center"/>
                </w:tcPr>
                <w:p>
                  <w:pPr>
                    <w:pStyle w:val="168"/>
                    <w:keepNext w:val="0"/>
                    <w:keepLines w:val="0"/>
                    <w:widowControl/>
                    <w:suppressLineNumbers w:val="0"/>
                    <w:bidi w:val="0"/>
                    <w:spacing w:before="0" w:beforeAutospacing="0" w:after="0" w:afterAutospacing="0"/>
                    <w:ind w:left="0" w:leftChars="0" w:right="0" w:rightChars="0"/>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管件</w:t>
                  </w:r>
                </w:p>
              </w:tc>
              <w:tc>
                <w:tcPr>
                  <w:tcW w:w="4142" w:type="dxa"/>
                  <w:noWrap w:val="0"/>
                  <w:vAlign w:val="center"/>
                </w:tcPr>
                <w:p>
                  <w:pPr>
                    <w:pStyle w:val="168"/>
                    <w:keepNext w:val="0"/>
                    <w:keepLines w:val="0"/>
                    <w:widowControl/>
                    <w:suppressLineNumbers w:val="0"/>
                    <w:bidi w:val="0"/>
                    <w:spacing w:before="0" w:beforeAutospacing="0" w:after="0" w:afterAutospacing="0"/>
                    <w:ind w:left="0" w:leftChars="0" w:right="0" w:rightChars="0"/>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1万吨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9" w:type="dxa"/>
                  <w:noWrap w:val="0"/>
                  <w:vAlign w:val="center"/>
                </w:tcPr>
                <w:p>
                  <w:pPr>
                    <w:pStyle w:val="168"/>
                    <w:keepNext w:val="0"/>
                    <w:keepLines w:val="0"/>
                    <w:widowControl/>
                    <w:suppressLineNumbers w:val="0"/>
                    <w:bidi w:val="0"/>
                    <w:spacing w:before="0" w:beforeAutospacing="0" w:after="0" w:afterAutospacing="0"/>
                    <w:ind w:left="0" w:leftChars="0" w:right="0" w:rightChars="0"/>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阀门</w:t>
                  </w:r>
                </w:p>
              </w:tc>
              <w:tc>
                <w:tcPr>
                  <w:tcW w:w="4142" w:type="dxa"/>
                  <w:noWrap w:val="0"/>
                  <w:vAlign w:val="center"/>
                </w:tcPr>
                <w:p>
                  <w:pPr>
                    <w:pStyle w:val="168"/>
                    <w:keepNext w:val="0"/>
                    <w:keepLines w:val="0"/>
                    <w:widowControl/>
                    <w:suppressLineNumbers w:val="0"/>
                    <w:bidi w:val="0"/>
                    <w:spacing w:before="0" w:beforeAutospacing="0" w:after="0" w:afterAutospacing="0"/>
                    <w:ind w:left="0" w:leftChars="0" w:right="0" w:rightChars="0"/>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0.9万吨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29" w:type="dxa"/>
                  <w:noWrap w:val="0"/>
                  <w:vAlign w:val="center"/>
                </w:tcPr>
                <w:p>
                  <w:pPr>
                    <w:pStyle w:val="168"/>
                    <w:keepNext w:val="0"/>
                    <w:keepLines w:val="0"/>
                    <w:widowControl/>
                    <w:suppressLineNumbers w:val="0"/>
                    <w:bidi w:val="0"/>
                    <w:spacing w:before="0" w:beforeAutospacing="0" w:after="0" w:afterAutospacing="0"/>
                    <w:ind w:left="0" w:leftChars="0" w:right="0" w:rightChars="0"/>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轨道交通零部件</w:t>
                  </w:r>
                </w:p>
              </w:tc>
              <w:tc>
                <w:tcPr>
                  <w:tcW w:w="4142" w:type="dxa"/>
                  <w:noWrap w:val="0"/>
                  <w:vAlign w:val="center"/>
                </w:tcPr>
                <w:p>
                  <w:pPr>
                    <w:pStyle w:val="168"/>
                    <w:keepNext w:val="0"/>
                    <w:keepLines w:val="0"/>
                    <w:widowControl/>
                    <w:suppressLineNumbers w:val="0"/>
                    <w:bidi w:val="0"/>
                    <w:spacing w:before="0" w:beforeAutospacing="0" w:after="0" w:afterAutospacing="0"/>
                    <w:ind w:left="0" w:leftChars="0" w:right="0" w:rightChars="0"/>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0.1万吨</w:t>
                  </w:r>
                </w:p>
              </w:tc>
            </w:tr>
          </w:tbl>
          <w:p>
            <w:pPr>
              <w:ind w:firstLine="482"/>
              <w:outlineLvl w:val="2"/>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bookmarkStart w:id="2" w:name="_Toc7979"/>
            <w:r>
              <w:rPr>
                <w:rFonts w:hint="eastAsia" w:ascii="Times New Roman" w:hAnsi="Times New Roman" w:eastAsia="宋体" w:cs="Times New Roman"/>
                <w:b/>
                <w:bCs/>
                <w:caps w:val="0"/>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主要生产设备</w:t>
            </w:r>
            <w:bookmarkEnd w:id="2"/>
          </w:p>
          <w:p>
            <w:pPr>
              <w:ind w:firstLine="480"/>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项目主要设备清单见下表。</w:t>
            </w: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1-11原有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项目主要设备清单一览表</w:t>
            </w:r>
          </w:p>
          <w:tbl>
            <w:tblPr>
              <w:tblStyle w:val="32"/>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925"/>
              <w:gridCol w:w="4237"/>
              <w:gridCol w:w="1930"/>
              <w:gridCol w:w="1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bookmarkStart w:id="3" w:name="_Toc18265"/>
                  <w:r>
                    <w:rPr>
                      <w:rFonts w:hint="eastAsia" w:ascii="Times New Roman" w:hAnsi="Times New Roman" w:eastAsia="宋体"/>
                      <w:color w:val="000000" w:themeColor="text1"/>
                      <w:szCs w:val="20"/>
                      <w:highlight w:val="none"/>
                      <w14:textFill>
                        <w14:solidFill>
                          <w14:schemeClr w14:val="tx1"/>
                        </w14:solidFill>
                      </w14:textFill>
                    </w:rPr>
                    <w:t>序号</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设备名称及型号</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单位</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验收实际数量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2条涂装流水线（TDW-6000）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0"/>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井盖压力试验机</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数控车库（CNC152/1000）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数控车库（CNC152/1500）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5</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立式数控铣床（VP55）</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6</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液压阀门测试台（YFS-T）</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7</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ZY3732万向摇臂钻</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8</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立式加工中心M1100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9</w:t>
                  </w:r>
                </w:p>
              </w:tc>
              <w:tc>
                <w:tcPr>
                  <w:tcW w:w="2347"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立式加工中心M1100</w:t>
                  </w:r>
                </w:p>
              </w:tc>
              <w:tc>
                <w:tcPr>
                  <w:tcW w:w="1069"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10</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制粉设备</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11</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车床C620-1B/1000</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12</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车床C620-1B/1000</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13</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Q376双钩抛丸机</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14</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YFT-B200液压阀门试验台</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15</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YFT-600液压阀门试验台</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17</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摇臂钻床Z3040*13</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18</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DN300四通试验机</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19</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DN300弯管试验机</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20</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Q485-9吊钩通过式抛丸机</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nil"/>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21</w:t>
                  </w:r>
                </w:p>
              </w:tc>
              <w:tc>
                <w:tcPr>
                  <w:tcW w:w="2347" w:type="pct"/>
                  <w:tcBorders>
                    <w:top w:val="single" w:color="000000" w:sz="4" w:space="0"/>
                    <w:left w:val="single" w:color="000000" w:sz="4" w:space="0"/>
                    <w:bottom w:val="nil"/>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Z3050×16摇臂钻床</w:t>
                  </w:r>
                </w:p>
              </w:tc>
              <w:tc>
                <w:tcPr>
                  <w:tcW w:w="1069" w:type="pct"/>
                  <w:tcBorders>
                    <w:top w:val="single" w:color="000000" w:sz="4" w:space="0"/>
                    <w:left w:val="single" w:color="000000" w:sz="4" w:space="0"/>
                    <w:bottom w:val="nil"/>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nil"/>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22</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管件试压机</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23</w:t>
                  </w:r>
                </w:p>
              </w:tc>
              <w:tc>
                <w:tcPr>
                  <w:tcW w:w="2347"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管件试压机</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nil"/>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24</w:t>
                  </w:r>
                </w:p>
              </w:tc>
              <w:tc>
                <w:tcPr>
                  <w:tcW w:w="2347" w:type="pct"/>
                  <w:tcBorders>
                    <w:top w:val="single" w:color="000000" w:sz="4" w:space="0"/>
                    <w:left w:val="single" w:color="000000" w:sz="4" w:space="0"/>
                    <w:bottom w:val="nil"/>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SK300数控机床</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auto"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25</w:t>
                  </w:r>
                </w:p>
              </w:tc>
              <w:tc>
                <w:tcPr>
                  <w:tcW w:w="2347" w:type="pct"/>
                  <w:tcBorders>
                    <w:top w:val="single" w:color="000000" w:sz="4" w:space="0"/>
                    <w:left w:val="single" w:color="000000" w:sz="4" w:space="0"/>
                    <w:bottom w:val="single" w:color="auto"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CNC6152/1000数控车床</w:t>
                  </w:r>
                </w:p>
              </w:tc>
              <w:tc>
                <w:tcPr>
                  <w:tcW w:w="1069" w:type="pct"/>
                  <w:tcBorders>
                    <w:top w:val="single" w:color="000000" w:sz="4" w:space="0"/>
                    <w:left w:val="single" w:color="000000" w:sz="4" w:space="0"/>
                    <w:bottom w:val="single" w:color="auto"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auto"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26</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SK300数控机床</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27</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YD300小型机床</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28</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LZ2-B3-8多轴钻床</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29</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液压阀门实验台YFT-B300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30</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液压阀门试验台YFT-B300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31</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数显卧式銼床TX619T</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32</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攻丝机</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33</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车床CW61143C/1500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34</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立式升降台铣床</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35</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普通车床</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36</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数控车床</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37</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数控车床</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38</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数控双面组合铣床XK345A</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39</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单柱立式车床CX518-2A</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40</w:t>
                  </w:r>
                </w:p>
              </w:tc>
              <w:tc>
                <w:tcPr>
                  <w:tcW w:w="2347"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摇臂钻床</w:t>
                  </w:r>
                </w:p>
              </w:tc>
              <w:tc>
                <w:tcPr>
                  <w:tcW w:w="1069"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auto"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41</w:t>
                  </w:r>
                </w:p>
              </w:tc>
              <w:tc>
                <w:tcPr>
                  <w:tcW w:w="2347" w:type="pct"/>
                  <w:tcBorders>
                    <w:top w:val="single" w:color="000000" w:sz="4" w:space="0"/>
                    <w:left w:val="single" w:color="000000" w:sz="4" w:space="0"/>
                    <w:bottom w:val="single" w:color="auto"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数控车床CK6180/1500</w:t>
                  </w:r>
                </w:p>
              </w:tc>
              <w:tc>
                <w:tcPr>
                  <w:tcW w:w="1069" w:type="pct"/>
                  <w:tcBorders>
                    <w:top w:val="single" w:color="000000" w:sz="4" w:space="0"/>
                    <w:left w:val="single" w:color="000000" w:sz="4" w:space="0"/>
                    <w:bottom w:val="single" w:color="auto"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auto"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42</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数显卧式铣銼床TX611B</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43</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摇臂钻</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44</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法兰三通、四通试压机</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45</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钻攻中心ATC-400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46</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卧式车床CW6163E/1000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47</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双柱立式车床CQ5240B</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48</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钻孔攻丝机HD-ZG200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49</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普车改数控630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50</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普车改数控620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51</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微机控制伺服液压万能试验机BJWA-W1000B</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52</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液压阀门试验台YFT-B450</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53</w:t>
                  </w:r>
                </w:p>
              </w:tc>
              <w:tc>
                <w:tcPr>
                  <w:tcW w:w="234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变压器ZS-800/10-0.4</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54</w:t>
                  </w:r>
                </w:p>
              </w:tc>
              <w:tc>
                <w:tcPr>
                  <w:tcW w:w="2347"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数控车床SK520/1000</w:t>
                  </w:r>
                </w:p>
              </w:tc>
              <w:tc>
                <w:tcPr>
                  <w:tcW w:w="1069"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auto"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513"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55</w:t>
                  </w:r>
                </w:p>
              </w:tc>
              <w:tc>
                <w:tcPr>
                  <w:tcW w:w="2347" w:type="pct"/>
                  <w:tcBorders>
                    <w:top w:val="single" w:color="000000" w:sz="4" w:space="0"/>
                    <w:left w:val="single" w:color="000000" w:sz="4" w:space="0"/>
                    <w:bottom w:val="single" w:color="auto"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普通车床</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pPr>
                  <w:r>
                    <w:rPr>
                      <w:rFonts w:hint="eastAsia" w:ascii="Times New Roman" w:hAnsi="Times New Roman" w:eastAsia="宋体" w:cs="Times New Roman"/>
                      <w:color w:val="000000" w:themeColor="text1"/>
                      <w:kern w:val="0"/>
                      <w:sz w:val="21"/>
                      <w:szCs w:val="20"/>
                      <w:highlight w:val="none"/>
                      <w:lang/>
                      <w14:textFill>
                        <w14:solidFill>
                          <w14:schemeClr w14:val="tx1"/>
                        </w14:solidFill>
                      </w14:textFill>
                    </w:rPr>
                    <w:t>台/套</w:t>
                  </w:r>
                </w:p>
              </w:tc>
              <w:tc>
                <w:tcPr>
                  <w:tcW w:w="1069" w:type="pct"/>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jc w:val="center"/>
                    <w:rPr>
                      <w:rFonts w:hint="eastAsia" w:ascii="Times New Roman" w:hAnsi="Times New Roman" w:eastAsia="宋体" w:cs="Times New Roman"/>
                      <w:color w:val="000000" w:themeColor="text1"/>
                      <w:sz w:val="2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w:t>
                  </w:r>
                </w:p>
              </w:tc>
            </w:tr>
          </w:tbl>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outlineLvl w:val="2"/>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caps w:val="0"/>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t>主要原辅材料及能耗</w:t>
            </w:r>
            <w:bookmarkEnd w:id="3"/>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项目原辅材料消耗见下表。</w:t>
            </w:r>
          </w:p>
          <w:p>
            <w:pPr>
              <w:ind w:firstLine="0" w:firstLineChars="0"/>
              <w:jc w:val="cente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1-12</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项目主要原辅材料消耗一览表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2065"/>
              <w:gridCol w:w="1358"/>
              <w:gridCol w:w="1538"/>
              <w:gridCol w:w="3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bookmarkStart w:id="4" w:name="_Toc18938"/>
                  <w:r>
                    <w:rPr>
                      <w:rFonts w:hint="eastAsia" w:ascii="Times New Roman" w:hAnsi="Times New Roman" w:eastAsia="宋体"/>
                      <w:color w:val="000000" w:themeColor="text1"/>
                      <w:szCs w:val="20"/>
                      <w:highlight w:val="none"/>
                      <w14:textFill>
                        <w14:solidFill>
                          <w14:schemeClr w14:val="tx1"/>
                        </w14:solidFill>
                      </w14:textFill>
                    </w:rPr>
                    <w:t>类别</w:t>
                  </w:r>
                </w:p>
              </w:tc>
              <w:tc>
                <w:tcPr>
                  <w:tcW w:w="11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名称</w:t>
                  </w:r>
                </w:p>
              </w:tc>
              <w:tc>
                <w:tcPr>
                  <w:tcW w:w="7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单位</w:t>
                  </w:r>
                </w:p>
              </w:tc>
              <w:tc>
                <w:tcPr>
                  <w:tcW w:w="8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eastAsia="zh-CN"/>
                      <w14:textFill>
                        <w14:solidFill>
                          <w14:schemeClr w14:val="tx1"/>
                        </w14:solidFill>
                      </w14:textFill>
                    </w:rPr>
                  </w:pPr>
                  <w:r>
                    <w:rPr>
                      <w:rFonts w:hint="eastAsia" w:ascii="Times New Roman" w:hAnsi="Times New Roman" w:eastAsia="宋体"/>
                      <w:color w:val="000000" w:themeColor="text1"/>
                      <w:szCs w:val="20"/>
                      <w:highlight w:val="none"/>
                      <w:lang w:eastAsia="zh-CN"/>
                      <w14:textFill>
                        <w14:solidFill>
                          <w14:schemeClr w14:val="tx1"/>
                        </w14:solidFill>
                      </w14:textFill>
                    </w:rPr>
                    <w:t>年用量</w:t>
                  </w:r>
                </w:p>
              </w:tc>
              <w:tc>
                <w:tcPr>
                  <w:tcW w:w="1768"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w:t>
                  </w:r>
                </w:p>
              </w:tc>
              <w:tc>
                <w:tcPr>
                  <w:tcW w:w="11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热固性粉末涂料</w:t>
                  </w:r>
                </w:p>
              </w:tc>
              <w:tc>
                <w:tcPr>
                  <w:tcW w:w="7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吨</w:t>
                  </w:r>
                </w:p>
              </w:tc>
              <w:tc>
                <w:tcPr>
                  <w:tcW w:w="8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200</w:t>
                  </w:r>
                </w:p>
              </w:tc>
              <w:tc>
                <w:tcPr>
                  <w:tcW w:w="1768"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原料均为外购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w:t>
                  </w:r>
                </w:p>
              </w:tc>
              <w:tc>
                <w:tcPr>
                  <w:tcW w:w="11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EPDM三元乙丙橡胶密封件</w:t>
                  </w:r>
                </w:p>
              </w:tc>
              <w:tc>
                <w:tcPr>
                  <w:tcW w:w="7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吨</w:t>
                  </w:r>
                </w:p>
              </w:tc>
              <w:tc>
                <w:tcPr>
                  <w:tcW w:w="8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100</w:t>
                  </w:r>
                </w:p>
              </w:tc>
              <w:tc>
                <w:tcPr>
                  <w:tcW w:w="176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w:t>
                  </w:r>
                </w:p>
              </w:tc>
              <w:tc>
                <w:tcPr>
                  <w:tcW w:w="11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不锈钢阀杆</w:t>
                  </w:r>
                </w:p>
              </w:tc>
              <w:tc>
                <w:tcPr>
                  <w:tcW w:w="7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只</w:t>
                  </w:r>
                </w:p>
              </w:tc>
              <w:tc>
                <w:tcPr>
                  <w:tcW w:w="8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20万</w:t>
                  </w:r>
                </w:p>
              </w:tc>
              <w:tc>
                <w:tcPr>
                  <w:tcW w:w="176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w:t>
                  </w:r>
                </w:p>
              </w:tc>
              <w:tc>
                <w:tcPr>
                  <w:tcW w:w="11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水</w:t>
                  </w:r>
                </w:p>
              </w:tc>
              <w:tc>
                <w:tcPr>
                  <w:tcW w:w="7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t/a</w:t>
                  </w:r>
                </w:p>
              </w:tc>
              <w:tc>
                <w:tcPr>
                  <w:tcW w:w="8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2250</w:t>
                  </w:r>
                </w:p>
              </w:tc>
              <w:tc>
                <w:tcPr>
                  <w:tcW w:w="1768"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eastAsia="zh-CN"/>
                      <w14:textFill>
                        <w14:solidFill>
                          <w14:schemeClr w14:val="tx1"/>
                        </w14:solidFill>
                      </w14:textFill>
                    </w:rPr>
                  </w:pPr>
                  <w:r>
                    <w:rPr>
                      <w:rFonts w:hint="eastAsia" w:ascii="Times New Roman" w:hAnsi="Times New Roman" w:eastAsia="宋体"/>
                      <w:color w:val="000000" w:themeColor="text1"/>
                      <w:szCs w:val="20"/>
                      <w:highlight w:val="none"/>
                      <w:lang w:eastAsia="zh-CN"/>
                      <w14:textFill>
                        <w14:solidFill>
                          <w14:schemeClr w14:val="tx1"/>
                        </w14:solidFill>
                      </w14:textFill>
                    </w:rPr>
                    <w:t>厂区不设食堂，无食堂用水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478"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5</w:t>
                  </w:r>
                </w:p>
              </w:tc>
              <w:tc>
                <w:tcPr>
                  <w:tcW w:w="11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电</w:t>
                  </w:r>
                </w:p>
              </w:tc>
              <w:tc>
                <w:tcPr>
                  <w:tcW w:w="7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14:textFill>
                        <w14:solidFill>
                          <w14:schemeClr w14:val="tx1"/>
                        </w14:solidFill>
                      </w14:textFill>
                    </w:rPr>
                  </w:pPr>
                  <w:r>
                    <w:rPr>
                      <w:rFonts w:hint="default" w:ascii="Times New Roman" w:hAnsi="Times New Roman" w:eastAsia="宋体" w:cs="Times New Roman"/>
                      <w:color w:val="000000" w:themeColor="text1"/>
                      <w:szCs w:val="20"/>
                      <w:highlight w:val="none"/>
                      <w14:textFill>
                        <w14:solidFill>
                          <w14:schemeClr w14:val="tx1"/>
                        </w14:solidFill>
                      </w14:textFill>
                    </w:rPr>
                    <w:t>万KW</w:t>
                  </w:r>
                  <w:r>
                    <w:rPr>
                      <w:rFonts w:hint="default" w:ascii="Times New Roman" w:hAnsi="Times New Roman" w:eastAsia="宋体" w:cs="Times New Roman"/>
                      <w:color w:val="000000" w:themeColor="text1"/>
                      <w:szCs w:val="20"/>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0"/>
                      <w:highlight w:val="none"/>
                      <w14:textFill>
                        <w14:solidFill>
                          <w14:schemeClr w14:val="tx1"/>
                        </w14:solidFill>
                      </w14:textFill>
                    </w:rPr>
                    <w:t>h/a</w:t>
                  </w:r>
                </w:p>
              </w:tc>
              <w:tc>
                <w:tcPr>
                  <w:tcW w:w="85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100</w:t>
                  </w:r>
                </w:p>
              </w:tc>
              <w:tc>
                <w:tcPr>
                  <w:tcW w:w="1768"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68"/>
                    <w:keepNext w:val="0"/>
                    <w:keepLines w:val="0"/>
                    <w:widowControl/>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园区电网供电</w:t>
                  </w:r>
                </w:p>
              </w:tc>
            </w:tr>
          </w:tbl>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outlineLvl w:val="2"/>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caps w:val="0"/>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bCs/>
                <w:caps w:val="0"/>
                <w:color w:val="000000" w:themeColor="text1"/>
                <w:sz w:val="24"/>
                <w:szCs w:val="24"/>
                <w:highlight w:val="none"/>
                <w:lang w:val="en-US" w:eastAsia="zh-CN"/>
                <w14:textFill>
                  <w14:solidFill>
                    <w14:schemeClr w14:val="tx1"/>
                  </w14:solidFill>
                </w14:textFill>
              </w:rPr>
              <w:t>生产工艺</w:t>
            </w:r>
            <w:bookmarkEnd w:id="4"/>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bookmarkStart w:id="5" w:name="_Toc15498"/>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生产工艺流程图及污染节点简图</w:t>
            </w:r>
          </w:p>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eastAsia="zh-CN"/>
                <w14:textFill>
                  <w14:solidFill>
                    <w14:schemeClr w14:val="tx1"/>
                  </w14:solidFill>
                </w14:textFill>
              </w:rPr>
            </w:pPr>
            <w:r>
              <w:rPr>
                <w:rFonts w:hint="eastAsia" w:ascii="Times New Roman" w:hAnsi="Times New Roman" w:eastAsia="宋体"/>
                <w:color w:val="000000" w:themeColor="text1"/>
                <w:szCs w:val="20"/>
                <w:highlight w:val="none"/>
                <w:lang w:eastAsia="zh-CN"/>
                <w14:textFill>
                  <w14:solidFill>
                    <w14:schemeClr w14:val="tx1"/>
                  </w14:solidFill>
                </w14:textFill>
              </w:rPr>
              <w:drawing>
                <wp:inline distT="0" distB="0" distL="114300" distR="114300">
                  <wp:extent cx="5610225" cy="1383665"/>
                  <wp:effectExtent l="0" t="0" r="0" b="0"/>
                  <wp:docPr id="5" name="ECB019B1-382A-4266-B25C-5B523AA43C14-2"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CB019B1-382A-4266-B25C-5B523AA43C14-2" descr="qt_temp"/>
                          <pic:cNvPicPr>
                            <a:picLocks noChangeAspect="1"/>
                          </pic:cNvPicPr>
                        </pic:nvPicPr>
                        <pic:blipFill>
                          <a:blip r:embed="rId6"/>
                          <a:stretch>
                            <a:fillRect/>
                          </a:stretch>
                        </pic:blipFill>
                        <pic:spPr>
                          <a:xfrm>
                            <a:off x="0" y="0"/>
                            <a:ext cx="5610225" cy="138366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工艺流程如下：</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铸件入厂：将外协或本公司铸造成型型的管件铸件毛坯送至公司。</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精加工：在精加工设备上进行初加工，切屑或钻孔制成半成品。本环节产生少量废铁屑。</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抛丸：使用抛丸机对铸件进行进一步加工。本环节产生粉尘。</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喷涂：将铸件送上输送链首先进行铸件加热（10min、220℃）然后进行铸件热固性粉末涂料表面静电喷涂接着铸件固化、烘干（30min、80℃），待铸件冷却后，铸件下件。热固性粉末涂料表面喷涂在全封闭状态下进行，所有粉未涂料经回收柜脉冲自洁系统、专用粉未回收滤芯回收多余涂料，不存在涂料粉未外泄。本环节产生粉尘和VOCs。</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产品试压：对产品进行检验试验。</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入库：将成品入库待售。</w:t>
            </w:r>
          </w:p>
          <w:p>
            <w:pPr>
              <w:pStyle w:val="166"/>
              <w:keepNext/>
              <w:keepLines/>
              <w:pageBreakBefore w:val="0"/>
              <w:widowControl w:val="0"/>
              <w:numPr>
                <w:ilvl w:val="0"/>
                <w:numId w:val="0"/>
              </w:numPr>
              <w:kinsoku/>
              <w:wordWrap/>
              <w:overflowPunct/>
              <w:topLinePunct w:val="0"/>
              <w:autoSpaceDE/>
              <w:autoSpaceDN/>
              <w:bidi w:val="0"/>
              <w:adjustRightInd w:val="0"/>
              <w:snapToGrid w:val="0"/>
              <w:spacing w:before="0" w:beforeLines="0" w:after="0" w:afterLines="0" w:line="360" w:lineRule="auto"/>
              <w:ind w:firstLine="482" w:firstLineChars="200"/>
              <w:textAlignment w:val="auto"/>
              <w:rPr>
                <w:rFonts w:hint="default" w:ascii="Times New Roman" w:hAnsi="Times New Roman" w:eastAsia="宋体" w:cs="Times New Roman"/>
                <w:b/>
                <w:bCs w:val="0"/>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val="0"/>
                <w:caps w:val="0"/>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b/>
                <w:bCs w:val="0"/>
                <w:caps w:val="0"/>
                <w:color w:val="000000" w:themeColor="text1"/>
                <w:sz w:val="24"/>
                <w:szCs w:val="24"/>
                <w:highlight w:val="none"/>
                <w:lang w:val="en-US" w:eastAsia="zh-CN"/>
                <w14:textFill>
                  <w14:solidFill>
                    <w14:schemeClr w14:val="tx1"/>
                  </w14:solidFill>
                </w14:textFill>
              </w:rPr>
              <w:t>废气</w:t>
            </w:r>
            <w:r>
              <w:rPr>
                <w:rFonts w:hint="default" w:ascii="Times New Roman" w:hAnsi="Times New Roman" w:eastAsia="宋体" w:cs="Times New Roman"/>
                <w:b/>
                <w:bCs w:val="0"/>
                <w:caps w:val="0"/>
                <w:color w:val="000000" w:themeColor="text1"/>
                <w:sz w:val="24"/>
                <w:szCs w:val="24"/>
                <w:highlight w:val="none"/>
                <w14:textFill>
                  <w14:solidFill>
                    <w14:schemeClr w14:val="tx1"/>
                  </w14:solidFill>
                </w14:textFill>
              </w:rPr>
              <w:t>污染源分析及治理措施</w:t>
            </w:r>
            <w:bookmarkEnd w:id="5"/>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bookmarkStart w:id="6" w:name="_Toc29110"/>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本项目废气主要来源于抛丸工序产生的颗粒物、喷塑工序产生的喷塑粉尘、烘干工序产生的非甲烷总烃。</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颗粒物</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喷塑颗粒物</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olor w:val="000000" w:themeColor="text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项目喷粉房采用间歇方式操作，工件送入喷粉房内进行喷粉，喷粉结束后在送入烘道进行固化。本项目喷粉房设置单级滤筒回收装置对未附着的塑粉进行收集</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，尾气经引风机收集后由15m高排气筒（1#、2#、3#）排放。未收集粉尘无组织排放。</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抛丸颗粒物</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项目设抛丸机1台，在工件涂覆前进行抛丸处理。抛丸</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机</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全封闭，废气收集后由布袋除尘器处理，尾气</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经</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1根15米高排气筒（</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#）排放</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非甲烷总烃</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本项目固化采用</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热风炉</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加热方式供热，静电粉末喷涂后烘烤固化</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会</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产生有机废气</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静电粉末喷涂后的粉体烘烤固化温度为180-200℃。环氧树脂的热分解温度均在298℃以上，从固化条件及树脂的热分解温度可知，固化过程树脂基本不会发生分解，因此主要是残存的未聚合的单体及其它杂质挥发。项目烘道</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置于烘干房内，烘干房内部采取负压抽风收集废气的方式，烘干道密闭，</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上方</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设置一处</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集气口，对固化产生的有机废气进行收集</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，收集的</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废气经</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两级</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活性炭吸附装置处理后经15m高排气筒（</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#排气筒）排放</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。未收集非甲烷总烃无组织排放。</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outlineLvl w:val="1"/>
              <w:rPr>
                <w:rFonts w:hint="default" w:ascii="Times New Roman" w:hAnsi="Times New Roman" w:eastAsia="宋体" w:cs="Times New Roman"/>
                <w:b/>
                <w:bCs w:val="0"/>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val="0"/>
                <w:caps w:val="0"/>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bCs w:val="0"/>
                <w:caps w:val="0"/>
                <w:color w:val="000000" w:themeColor="text1"/>
                <w:sz w:val="24"/>
                <w:szCs w:val="24"/>
                <w:highlight w:val="none"/>
                <w:lang w:val="en-US" w:eastAsia="zh-CN"/>
                <w14:textFill>
                  <w14:solidFill>
                    <w14:schemeClr w14:val="tx1"/>
                  </w14:solidFill>
                </w14:textFill>
              </w:rPr>
              <w:t>废水</w:t>
            </w:r>
            <w:r>
              <w:rPr>
                <w:rFonts w:hint="default" w:ascii="Times New Roman" w:hAnsi="Times New Roman" w:eastAsia="宋体" w:cs="Times New Roman"/>
                <w:b/>
                <w:bCs w:val="0"/>
                <w:caps w:val="0"/>
                <w:color w:val="000000" w:themeColor="text1"/>
                <w:sz w:val="24"/>
                <w:szCs w:val="24"/>
                <w:highlight w:val="none"/>
                <w14:textFill>
                  <w14:solidFill>
                    <w14:schemeClr w14:val="tx1"/>
                  </w14:solidFill>
                </w14:textFill>
              </w:rPr>
              <w:t>污染源分析及治理措施</w:t>
            </w:r>
            <w:bookmarkEnd w:id="6"/>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根据</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验收监测数据</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，废</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水</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排放检测结果见下表：</w:t>
            </w:r>
          </w:p>
          <w:p>
            <w:pPr>
              <w:keepNext w:val="0"/>
              <w:keepLines w:val="0"/>
              <w:pageBreakBefore w:val="0"/>
              <w:widowControl w:val="0"/>
              <w:kinsoku/>
              <w:wordWrap/>
              <w:overflowPunct/>
              <w:topLinePunct w:val="0"/>
              <w:autoSpaceDE/>
              <w:autoSpaceDN/>
              <w:bidi w:val="0"/>
              <w:adjustRightInd/>
              <w:snapToGrid/>
              <w:spacing w:line="360" w:lineRule="auto"/>
              <w:ind w:firstLine="442"/>
              <w:jc w:val="center"/>
              <w:textAlignment w:val="auto"/>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w:t>
            </w:r>
            <w:r>
              <w:rPr>
                <w:rFonts w:hint="default"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工程</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废水排放</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情况一览表（单位：</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mg/L，pH无量纲</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w:t>
            </w:r>
          </w:p>
          <w:tbl>
            <w:tblPr>
              <w:tblStyle w:val="33"/>
              <w:tblW w:w="8787" w:type="dxa"/>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1188"/>
              <w:gridCol w:w="1300"/>
              <w:gridCol w:w="820"/>
              <w:gridCol w:w="820"/>
              <w:gridCol w:w="820"/>
              <w:gridCol w:w="820"/>
              <w:gridCol w:w="820"/>
              <w:gridCol w:w="1105"/>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4"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eastAsia="zh-CN"/>
                      <w14:textFill>
                        <w14:solidFill>
                          <w14:schemeClr w14:val="tx1"/>
                        </w14:solidFill>
                      </w14:textFill>
                    </w:rPr>
                    <w:t>监测点位</w:t>
                  </w:r>
                </w:p>
              </w:tc>
              <w:tc>
                <w:tcPr>
                  <w:tcW w:w="1188"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eastAsia="zh-CN"/>
                      <w14:textFill>
                        <w14:solidFill>
                          <w14:schemeClr w14:val="tx1"/>
                        </w14:solidFill>
                      </w14:textFill>
                    </w:rPr>
                    <w:t>监测日期</w:t>
                  </w:r>
                </w:p>
              </w:tc>
              <w:tc>
                <w:tcPr>
                  <w:tcW w:w="130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eastAsia="zh-CN"/>
                      <w14:textFill>
                        <w14:solidFill>
                          <w14:schemeClr w14:val="tx1"/>
                        </w14:solidFill>
                      </w14:textFill>
                    </w:rPr>
                    <w:t>监测频次</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PH</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氨氮</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COD</w:t>
                  </w:r>
                  <w:r>
                    <w:rPr>
                      <w:rFonts w:hint="eastAsia" w:ascii="Times New Roman" w:hAnsi="Times New Roman" w:eastAsia="宋体"/>
                      <w:color w:val="000000" w:themeColor="text1"/>
                      <w:szCs w:val="20"/>
                      <w:highlight w:val="none"/>
                      <w:vertAlign w:val="subscript"/>
                      <w:lang w:val="en-US" w:eastAsia="zh-CN"/>
                      <w14:textFill>
                        <w14:solidFill>
                          <w14:schemeClr w14:val="tx1"/>
                        </w14:solidFill>
                      </w14:textFill>
                    </w:rPr>
                    <w:t>cr</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BOD</w:t>
                  </w:r>
                  <w:r>
                    <w:rPr>
                      <w:rFonts w:hint="eastAsia" w:ascii="Times New Roman" w:hAnsi="Times New Roman" w:eastAsia="宋体"/>
                      <w:color w:val="000000" w:themeColor="text1"/>
                      <w:szCs w:val="20"/>
                      <w:highlight w:val="none"/>
                      <w:vertAlign w:val="subscript"/>
                      <w:lang w:val="en-US" w:eastAsia="zh-CN"/>
                      <w14:textFill>
                        <w14:solidFill>
                          <w14:schemeClr w14:val="tx1"/>
                        </w14:solidFill>
                      </w14:textFill>
                    </w:rPr>
                    <w:t>5</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SS</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eastAsia="zh-CN"/>
                      <w14:textFill>
                        <w14:solidFill>
                          <w14:schemeClr w14:val="tx1"/>
                        </w14:solidFill>
                      </w14:textFill>
                    </w:rPr>
                  </w:pPr>
                  <w:r>
                    <w:rPr>
                      <w:rFonts w:hint="eastAsia" w:ascii="Times New Roman" w:hAnsi="Times New Roman" w:eastAsia="宋体"/>
                      <w:color w:val="000000" w:themeColor="text1"/>
                      <w:szCs w:val="20"/>
                      <w:highlight w:val="none"/>
                      <w:lang w:eastAsia="zh-CN"/>
                      <w14:textFill>
                        <w14:solidFill>
                          <w14:schemeClr w14:val="tx1"/>
                        </w14:solidFill>
                      </w14:textFill>
                    </w:rPr>
                    <w:t>动植物油</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4" w:type="dxa"/>
                  <w:vMerge w:val="restart"/>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eastAsia="zh-CN"/>
                      <w14:textFill>
                        <w14:solidFill>
                          <w14:schemeClr w14:val="tx1"/>
                        </w14:solidFill>
                      </w14:textFill>
                    </w:rPr>
                    <w:t>厂区污水总排口</w:t>
                  </w:r>
                </w:p>
              </w:tc>
              <w:tc>
                <w:tcPr>
                  <w:tcW w:w="1188" w:type="dxa"/>
                  <w:vMerge w:val="restart"/>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2020/3/4</w:t>
                  </w:r>
                </w:p>
              </w:tc>
              <w:tc>
                <w:tcPr>
                  <w:tcW w:w="130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第一次</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7.21</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0.270</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16</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6.7</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20</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0.28</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4"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1188"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130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第二次</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7.26</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0.314</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27</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10.7</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22</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0.46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94"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1188"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130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第三次</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7.24</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0.295</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20</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8.5</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25</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0.44</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94"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14:textFill>
                        <w14:solidFill>
                          <w14:schemeClr w14:val="tx1"/>
                        </w14:solidFill>
                      </w14:textFill>
                    </w:rPr>
                  </w:pPr>
                </w:p>
              </w:tc>
              <w:tc>
                <w:tcPr>
                  <w:tcW w:w="1188"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14:textFill>
                        <w14:solidFill>
                          <w14:schemeClr w14:val="tx1"/>
                        </w14:solidFill>
                      </w14:textFill>
                    </w:rPr>
                  </w:pPr>
                </w:p>
              </w:tc>
              <w:tc>
                <w:tcPr>
                  <w:tcW w:w="130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第四次</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7.18</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0.332</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25</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10.0</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22</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0.59</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PrEx>
              <w:trPr>
                <w:trHeight w:val="23" w:hRule="atLeast"/>
                <w:jc w:val="center"/>
              </w:trPr>
              <w:tc>
                <w:tcPr>
                  <w:tcW w:w="1094"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1188" w:type="dxa"/>
                  <w:vMerge w:val="restart"/>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2020/3/5</w:t>
                  </w:r>
                </w:p>
              </w:tc>
              <w:tc>
                <w:tcPr>
                  <w:tcW w:w="130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第一次</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7.23</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0.264</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22</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9.2</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18</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0.71</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4"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1188"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130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第二次</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7.20</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0.347</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18</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7.6</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22</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0.49</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094"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1188"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130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第三次</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7.19</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0.304</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26</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10.4</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24</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0.46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094"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14:textFill>
                        <w14:solidFill>
                          <w14:schemeClr w14:val="tx1"/>
                        </w14:solidFill>
                      </w14:textFill>
                    </w:rPr>
                  </w:pPr>
                </w:p>
              </w:tc>
              <w:tc>
                <w:tcPr>
                  <w:tcW w:w="1188"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14:textFill>
                        <w14:solidFill>
                          <w14:schemeClr w14:val="tx1"/>
                        </w14:solidFill>
                      </w14:textFill>
                    </w:rPr>
                  </w:pPr>
                </w:p>
              </w:tc>
              <w:tc>
                <w:tcPr>
                  <w:tcW w:w="130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第四次</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7.25</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0.286</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23</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9.6</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21</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0.48</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582" w:type="dxa"/>
                  <w:gridSpan w:val="3"/>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执行标准限值</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6-9</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45</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500</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300</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400</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100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582" w:type="dxa"/>
                  <w:gridSpan w:val="3"/>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监测结果</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达标</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达标</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达标</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达标</w:t>
                  </w:r>
                </w:p>
              </w:tc>
              <w:tc>
                <w:tcPr>
                  <w:tcW w:w="82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达标</w:t>
                  </w:r>
                </w:p>
              </w:tc>
              <w:tc>
                <w:tcPr>
                  <w:tcW w:w="1105"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达标</w:t>
                  </w:r>
                </w:p>
              </w:tc>
            </w:tr>
          </w:tbl>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caps w:val="0"/>
                <w:color w:val="000000" w:themeColor="text1"/>
                <w:sz w:val="24"/>
                <w:szCs w:val="24"/>
                <w:highlight w:val="none"/>
                <w:lang w:val="en-US"/>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 xml:space="preserve"> 监测结果表明，厂内废水能够达《污水综合排放标准》(GB8978-1996)</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三</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级标准排放。</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outlineLvl w:val="1"/>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bookmarkStart w:id="7" w:name="_Toc30477"/>
            <w:r>
              <w:rPr>
                <w:rFonts w:hint="eastAsia" w:ascii="Times New Roman" w:hAnsi="Times New Roman" w:eastAsia="宋体" w:cs="Times New Roman"/>
                <w:bCs/>
                <w:caps w:val="0"/>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b w:val="0"/>
                <w:bCs/>
                <w:caps w:val="0"/>
                <w:color w:val="000000" w:themeColor="text1"/>
                <w:sz w:val="24"/>
                <w:szCs w:val="24"/>
                <w:highlight w:val="none"/>
                <w14:textFill>
                  <w14:solidFill>
                    <w14:schemeClr w14:val="tx1"/>
                  </w14:solidFill>
                </w14:textFill>
              </w:rPr>
              <w:t>噪声污染源分析及治理措施</w:t>
            </w:r>
            <w:bookmarkEnd w:id="7"/>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噪声源主要为</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抛丸</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设备、风机等设备噪声，根据</w:t>
            </w: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验收</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现场监测结果，企业各向厂界噪声监测结果见下表。</w:t>
            </w:r>
          </w:p>
          <w:p>
            <w:pPr>
              <w:keepNext w:val="0"/>
              <w:keepLines w:val="0"/>
              <w:pageBreakBefore w:val="0"/>
              <w:widowControl w:val="0"/>
              <w:kinsoku/>
              <w:wordWrap/>
              <w:overflowPunct/>
              <w:topLinePunct w:val="0"/>
              <w:autoSpaceDE/>
              <w:autoSpaceDN/>
              <w:bidi w:val="0"/>
              <w:adjustRightInd/>
              <w:snapToGrid/>
              <w:spacing w:line="360" w:lineRule="auto"/>
              <w:ind w:firstLine="442"/>
              <w:jc w:val="center"/>
              <w:textAlignment w:val="auto"/>
              <w:rPr>
                <w:rFonts w:hint="default" w:ascii="Times New Roman" w:hAnsi="Times New Roman" w:eastAsia="宋体" w:cs="Times New Roman"/>
                <w:b/>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表</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w:t>
            </w:r>
            <w:r>
              <w:rPr>
                <w:rFonts w:hint="default"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 xml:space="preserve"> </w:t>
            </w:r>
            <w:r>
              <w:rPr>
                <w:rFonts w:hint="eastAsia" w:ascii="Times New Roman" w:hAnsi="Times New Roman" w:eastAsia="宋体" w:cs="Times New Roman"/>
                <w:b/>
                <w:caps w:val="0"/>
                <w:color w:val="000000" w:themeColor="text1"/>
                <w:sz w:val="24"/>
                <w:szCs w:val="24"/>
                <w:highlight w:val="none"/>
                <w:lang w:val="en-US" w:eastAsia="zh-CN"/>
                <w14:textFill>
                  <w14:solidFill>
                    <w14:schemeClr w14:val="tx1"/>
                  </w14:solidFill>
                </w14:textFill>
              </w:rPr>
              <w:t>原有</w:t>
            </w:r>
            <w:r>
              <w:rPr>
                <w:rFonts w:hint="default" w:ascii="Times New Roman" w:hAnsi="Times New Roman" w:eastAsia="宋体" w:cs="Times New Roman"/>
                <w:b/>
                <w:caps w:val="0"/>
                <w:color w:val="000000" w:themeColor="text1"/>
                <w:sz w:val="24"/>
                <w:szCs w:val="24"/>
                <w:highlight w:val="none"/>
                <w14:textFill>
                  <w14:solidFill>
                    <w14:schemeClr w14:val="tx1"/>
                  </w14:solidFill>
                </w14:textFill>
              </w:rPr>
              <w:t>工程厂界噪声达标情况一览表（单位：dBA）</w:t>
            </w:r>
          </w:p>
          <w:tbl>
            <w:tblPr>
              <w:tblStyle w:val="33"/>
              <w:tblW w:w="4997"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1132"/>
              <w:gridCol w:w="1341"/>
              <w:gridCol w:w="1622"/>
              <w:gridCol w:w="1276"/>
              <w:gridCol w:w="1558"/>
              <w:gridCol w:w="1292"/>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类别</w:t>
                  </w:r>
                </w:p>
              </w:tc>
              <w:tc>
                <w:tcPr>
                  <w:tcW w:w="1109"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监测日期</w:t>
                  </w:r>
                </w:p>
              </w:tc>
              <w:tc>
                <w:tcPr>
                  <w:tcW w:w="1314"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监测点位</w:t>
                  </w:r>
                </w:p>
              </w:tc>
              <w:tc>
                <w:tcPr>
                  <w:tcW w:w="2839" w:type="dxa"/>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昼间Leq dB(A)</w:t>
                  </w:r>
                </w:p>
              </w:tc>
              <w:tc>
                <w:tcPr>
                  <w:tcW w:w="2793" w:type="dxa"/>
                  <w:gridSpan w:val="2"/>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夜间Leq dB(A)</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p>
              </w:tc>
              <w:tc>
                <w:tcPr>
                  <w:tcW w:w="110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p>
              </w:tc>
              <w:tc>
                <w:tcPr>
                  <w:tcW w:w="1314"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p>
              </w:tc>
              <w:tc>
                <w:tcPr>
                  <w:tcW w:w="1589"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观测时间</w:t>
                  </w:r>
                </w:p>
              </w:tc>
              <w:tc>
                <w:tcPr>
                  <w:tcW w:w="1250"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测量结果</w:t>
                  </w:r>
                </w:p>
              </w:tc>
              <w:tc>
                <w:tcPr>
                  <w:tcW w:w="1527"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观测时间</w:t>
                  </w:r>
                </w:p>
              </w:tc>
              <w:tc>
                <w:tcPr>
                  <w:tcW w:w="1266"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测量结果</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t>工业企业厂界环境噪声</w:t>
                  </w:r>
                </w:p>
              </w:tc>
              <w:tc>
                <w:tcPr>
                  <w:tcW w:w="1109" w:type="dxa"/>
                  <w:vMerge w:val="restart"/>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2020/3/4</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厂界东侧</w:t>
                  </w:r>
                </w:p>
              </w:tc>
              <w:tc>
                <w:tcPr>
                  <w:tcW w:w="1589"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10:31</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10:32</w:t>
                  </w:r>
                </w:p>
              </w:tc>
              <w:tc>
                <w:tcPr>
                  <w:tcW w:w="125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57</w:t>
                  </w:r>
                </w:p>
              </w:tc>
              <w:tc>
                <w:tcPr>
                  <w:tcW w:w="1527"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22:0</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22:0</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w:t>
                  </w:r>
                </w:p>
              </w:tc>
              <w:tc>
                <w:tcPr>
                  <w:tcW w:w="126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10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厂界南侧</w:t>
                  </w:r>
                </w:p>
              </w:tc>
              <w:tc>
                <w:tcPr>
                  <w:tcW w:w="1589"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10:</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40</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10:</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41</w:t>
                  </w:r>
                </w:p>
              </w:tc>
              <w:tc>
                <w:tcPr>
                  <w:tcW w:w="125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7</w:t>
                  </w:r>
                </w:p>
              </w:tc>
              <w:tc>
                <w:tcPr>
                  <w:tcW w:w="1527"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22:1</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22:1</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w:t>
                  </w:r>
                </w:p>
              </w:tc>
              <w:tc>
                <w:tcPr>
                  <w:tcW w:w="126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10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厂界西侧</w:t>
                  </w:r>
                </w:p>
              </w:tc>
              <w:tc>
                <w:tcPr>
                  <w:tcW w:w="1589"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1</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50</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1</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0</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51</w:t>
                  </w:r>
                </w:p>
              </w:tc>
              <w:tc>
                <w:tcPr>
                  <w:tcW w:w="125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55</w:t>
                  </w:r>
                </w:p>
              </w:tc>
              <w:tc>
                <w:tcPr>
                  <w:tcW w:w="1527"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2</w:t>
                  </w:r>
                </w:p>
              </w:tc>
              <w:tc>
                <w:tcPr>
                  <w:tcW w:w="126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77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10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厂界北侧</w:t>
                  </w:r>
                </w:p>
              </w:tc>
              <w:tc>
                <w:tcPr>
                  <w:tcW w:w="1589"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11:</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04</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11:</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05</w:t>
                  </w:r>
                </w:p>
              </w:tc>
              <w:tc>
                <w:tcPr>
                  <w:tcW w:w="125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58</w:t>
                  </w:r>
                </w:p>
              </w:tc>
              <w:tc>
                <w:tcPr>
                  <w:tcW w:w="1527"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31</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22:3</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2</w:t>
                  </w:r>
                </w:p>
              </w:tc>
              <w:tc>
                <w:tcPr>
                  <w:tcW w:w="126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779"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p>
              </w:tc>
              <w:tc>
                <w:tcPr>
                  <w:tcW w:w="1109"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pPr>
                </w:p>
              </w:tc>
              <w:tc>
                <w:tcPr>
                  <w:tcW w:w="1314"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犁山湖村组</w:t>
                  </w:r>
                </w:p>
              </w:tc>
              <w:tc>
                <w:tcPr>
                  <w:tcW w:w="1589"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11:</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18</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11:</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19</w:t>
                  </w:r>
                </w:p>
              </w:tc>
              <w:tc>
                <w:tcPr>
                  <w:tcW w:w="125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58.1</w:t>
                  </w:r>
                </w:p>
              </w:tc>
              <w:tc>
                <w:tcPr>
                  <w:tcW w:w="1527"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22:</w:t>
                  </w:r>
                  <w:r>
                    <w:rPr>
                      <w:rFonts w:hint="eastAsia"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43</w:t>
                  </w: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w:t>
                  </w: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ab/>
                  </w: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22:</w:t>
                  </w:r>
                  <w:r>
                    <w:rPr>
                      <w:rFonts w:hint="eastAsia"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44</w:t>
                  </w:r>
                </w:p>
              </w:tc>
              <w:tc>
                <w:tcPr>
                  <w:tcW w:w="126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44.7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109" w:type="dxa"/>
                  <w:vMerge w:val="restart"/>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2020/3/5</w:t>
                  </w: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厂界东侧</w:t>
                  </w:r>
                </w:p>
              </w:tc>
              <w:tc>
                <w:tcPr>
                  <w:tcW w:w="1589"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10:</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37</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10:</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38</w:t>
                  </w:r>
                </w:p>
              </w:tc>
              <w:tc>
                <w:tcPr>
                  <w:tcW w:w="125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58</w:t>
                  </w:r>
                </w:p>
              </w:tc>
              <w:tc>
                <w:tcPr>
                  <w:tcW w:w="1527"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22:01</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22:02</w:t>
                  </w:r>
                </w:p>
              </w:tc>
              <w:tc>
                <w:tcPr>
                  <w:tcW w:w="126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10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厂界南侧</w:t>
                  </w:r>
                </w:p>
              </w:tc>
              <w:tc>
                <w:tcPr>
                  <w:tcW w:w="1589"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10:</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50</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10:</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51</w:t>
                  </w:r>
                </w:p>
              </w:tc>
              <w:tc>
                <w:tcPr>
                  <w:tcW w:w="125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8</w:t>
                  </w:r>
                </w:p>
              </w:tc>
              <w:tc>
                <w:tcPr>
                  <w:tcW w:w="1527"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11</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12</w:t>
                  </w:r>
                </w:p>
              </w:tc>
              <w:tc>
                <w:tcPr>
                  <w:tcW w:w="126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14:textFill>
                        <w14:solidFill>
                          <w14:schemeClr w14:val="tx1"/>
                        </w14:solidFill>
                      </w14:textFill>
                    </w:rPr>
                    <w:t>46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10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厂界西侧</w:t>
                  </w:r>
                </w:p>
              </w:tc>
              <w:tc>
                <w:tcPr>
                  <w:tcW w:w="1589"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11:</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03</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11:</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04</w:t>
                  </w:r>
                </w:p>
              </w:tc>
              <w:tc>
                <w:tcPr>
                  <w:tcW w:w="125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57</w:t>
                  </w:r>
                </w:p>
              </w:tc>
              <w:tc>
                <w:tcPr>
                  <w:tcW w:w="1527"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22</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23</w:t>
                  </w:r>
                </w:p>
              </w:tc>
              <w:tc>
                <w:tcPr>
                  <w:tcW w:w="126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77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109"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vertAlign w:val="baseline"/>
                      <w:lang w:val="en-US" w:eastAsia="zh-CN"/>
                      <w14:textFill>
                        <w14:solidFill>
                          <w14:schemeClr w14:val="tx1"/>
                        </w14:solidFill>
                      </w14:textFill>
                    </w:rPr>
                  </w:pPr>
                </w:p>
              </w:tc>
              <w:tc>
                <w:tcPr>
                  <w:tcW w:w="1314" w:type="dxa"/>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厂界北侧</w:t>
                  </w:r>
                </w:p>
              </w:tc>
              <w:tc>
                <w:tcPr>
                  <w:tcW w:w="1589"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11:</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13</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11:1</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w:t>
                  </w:r>
                </w:p>
              </w:tc>
              <w:tc>
                <w:tcPr>
                  <w:tcW w:w="125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5</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8</w:t>
                  </w:r>
                </w:p>
              </w:tc>
              <w:tc>
                <w:tcPr>
                  <w:tcW w:w="1527"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30</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31</w:t>
                  </w:r>
                </w:p>
              </w:tc>
              <w:tc>
                <w:tcPr>
                  <w:tcW w:w="126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779"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14:textFill>
                        <w14:solidFill>
                          <w14:schemeClr w14:val="tx1"/>
                        </w14:solidFill>
                      </w14:textFill>
                    </w:rPr>
                  </w:pPr>
                </w:p>
              </w:tc>
              <w:tc>
                <w:tcPr>
                  <w:tcW w:w="1109" w:type="dxa"/>
                  <w:vMerge w:val="continue"/>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14:textFill>
                        <w14:solidFill>
                          <w14:schemeClr w14:val="tx1"/>
                        </w14:solidFill>
                      </w14:textFill>
                    </w:rPr>
                  </w:pPr>
                </w:p>
              </w:tc>
              <w:tc>
                <w:tcPr>
                  <w:tcW w:w="1314"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犁山湖村组</w:t>
                  </w:r>
                </w:p>
              </w:tc>
              <w:tc>
                <w:tcPr>
                  <w:tcW w:w="1589"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11:</w:t>
                  </w:r>
                  <w:r>
                    <w:rPr>
                      <w:rFonts w:hint="eastAsia"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27</w:t>
                  </w: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ab/>
                  </w: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w:t>
                  </w: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ab/>
                  </w: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11:</w:t>
                  </w:r>
                  <w:r>
                    <w:rPr>
                      <w:rFonts w:hint="eastAsia"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28</w:t>
                  </w:r>
                </w:p>
              </w:tc>
              <w:tc>
                <w:tcPr>
                  <w:tcW w:w="1250"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58.4</w:t>
                  </w:r>
                </w:p>
              </w:tc>
              <w:tc>
                <w:tcPr>
                  <w:tcW w:w="1527"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41</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ab/>
                  </w: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22:</w:t>
                  </w:r>
                  <w:r>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42</w:t>
                  </w:r>
                </w:p>
              </w:tc>
              <w:tc>
                <w:tcPr>
                  <w:tcW w:w="126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45.2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02"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执行标准限值</w:t>
                  </w:r>
                </w:p>
              </w:tc>
              <w:tc>
                <w:tcPr>
                  <w:tcW w:w="2839"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65</w:t>
                  </w:r>
                </w:p>
              </w:tc>
              <w:tc>
                <w:tcPr>
                  <w:tcW w:w="2793"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55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02" w:type="dxa"/>
                  <w:gridSpan w:val="3"/>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监测结果</w:t>
                  </w:r>
                </w:p>
              </w:tc>
              <w:tc>
                <w:tcPr>
                  <w:tcW w:w="2839"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达标</w:t>
                  </w:r>
                </w:p>
              </w:tc>
              <w:tc>
                <w:tcPr>
                  <w:tcW w:w="2793" w:type="dxa"/>
                  <w:gridSpan w:val="2"/>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beforeAutospacing="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达标</w:t>
                  </w:r>
                </w:p>
              </w:tc>
            </w:tr>
          </w:tbl>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default" w:ascii="Times New Roman" w:hAnsi="Times New Roman" w:eastAsia="宋体" w:cs="Times New Roman"/>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监测结果表明，企业现有各向厂界的噪声监测结果均能够满足《工业企业厂界环境噪声排放标准》（GB12348-90）中3类标准。</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outlineLvl w:val="1"/>
              <w:rPr>
                <w:rFonts w:hint="default" w:ascii="Times New Roman" w:hAnsi="Times New Roman" w:eastAsia="宋体" w:cs="Times New Roman"/>
                <w:b/>
                <w:bCs/>
                <w:caps w:val="0"/>
                <w:color w:val="000000" w:themeColor="text1"/>
                <w:sz w:val="24"/>
                <w:szCs w:val="24"/>
                <w:highlight w:val="none"/>
                <w14:textFill>
                  <w14:solidFill>
                    <w14:schemeClr w14:val="tx1"/>
                  </w14:solidFill>
                </w14:textFill>
              </w:rPr>
            </w:pPr>
            <w:bookmarkStart w:id="8" w:name="_Toc22053"/>
            <w:r>
              <w:rPr>
                <w:rFonts w:hint="eastAsia" w:ascii="Times New Roman" w:hAnsi="Times New Roman" w:eastAsia="宋体" w:cs="Times New Roman"/>
                <w:bCs/>
                <w:caps w:val="0"/>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bCs/>
                <w:caps w:val="0"/>
                <w:color w:val="000000" w:themeColor="text1"/>
                <w:sz w:val="24"/>
                <w:szCs w:val="24"/>
                <w:highlight w:val="none"/>
                <w14:textFill>
                  <w14:solidFill>
                    <w14:schemeClr w14:val="tx1"/>
                  </w14:solidFill>
                </w14:textFill>
              </w:rPr>
              <w:t>固废污染源分析及治理措施</w:t>
            </w:r>
            <w:bookmarkEnd w:id="8"/>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Times New Roman" w:hAnsi="Times New Roman" w:eastAsia="宋体"/>
                <w:color w:val="000000" w:themeColor="text1"/>
                <w:sz w:val="24"/>
                <w:szCs w:val="24"/>
                <w:highlight w:val="none"/>
                <w:lang w:eastAsia="zh-CN"/>
                <w14:textFill>
                  <w14:solidFill>
                    <w14:schemeClr w14:val="tx1"/>
                  </w14:solidFill>
                </w14:textFill>
              </w:rPr>
            </w:pPr>
            <w:bookmarkStart w:id="9" w:name="_Toc7148"/>
            <w:r>
              <w:rPr>
                <w:rFonts w:hint="eastAsia" w:ascii="Times New Roman" w:hAnsi="Times New Roman" w:eastAsia="宋体"/>
                <w:color w:val="000000" w:themeColor="text1"/>
                <w:sz w:val="24"/>
                <w:szCs w:val="24"/>
                <w:highlight w:val="none"/>
                <w:lang w:val="en-US" w:eastAsia="zh-CN"/>
                <w14:textFill>
                  <w14:solidFill>
                    <w14:schemeClr w14:val="tx1"/>
                  </w14:solidFill>
                </w14:textFill>
              </w:rPr>
              <w:t>按照验收监测期间调查数据推算，对</w:t>
            </w:r>
            <w:r>
              <w:rPr>
                <w:rFonts w:hint="eastAsia" w:ascii="Times New Roman" w:hAnsi="Times New Roman" w:eastAsia="宋体"/>
                <w:color w:val="000000" w:themeColor="text1"/>
                <w:sz w:val="24"/>
                <w:szCs w:val="24"/>
                <w:highlight w:val="none"/>
                <w:lang w:eastAsia="zh-CN"/>
                <w14:textFill>
                  <w14:solidFill>
                    <w14:schemeClr w14:val="tx1"/>
                  </w14:solidFill>
                </w14:textFill>
              </w:rPr>
              <w:t>芜湖市金贸流体科技股份有限公司固废产生统计如下表，处置合同见附件。</w:t>
            </w:r>
          </w:p>
          <w:p>
            <w:pPr>
              <w:pStyle w:val="169"/>
              <w:keepNext w:val="0"/>
              <w:keepLines w:val="0"/>
              <w:numPr>
                <w:numId w:val="0"/>
              </w:numPr>
              <w:suppressLineNumbers w:val="0"/>
              <w:bidi w:val="0"/>
              <w:spacing w:beforeAutospacing="0" w:afterAutospacing="0"/>
              <w:ind w:leftChars="0"/>
              <w:jc w:val="center"/>
              <w:rPr>
                <w:rFonts w:hint="eastAsia" w:ascii="Times New Roman" w:hAnsi="Times New Roman" w:eastAsia="宋体"/>
                <w:color w:val="000000" w:themeColor="text1"/>
                <w:sz w:val="24"/>
                <w:szCs w:val="22"/>
                <w:highlight w:val="none"/>
                <w:lang w:val="en-US" w:eastAsia="zh-CN"/>
                <w14:textFill>
                  <w14:solidFill>
                    <w14:schemeClr w14:val="tx1"/>
                  </w14:solidFill>
                </w14:textFill>
              </w:rPr>
            </w:pPr>
            <w:r>
              <w:rPr>
                <w:rFonts w:hint="eastAsia" w:ascii="Times New Roman" w:hAnsi="Times New Roman" w:eastAsia="宋体"/>
                <w:color w:val="000000" w:themeColor="text1"/>
                <w:sz w:val="24"/>
                <w:szCs w:val="22"/>
                <w:highlight w:val="none"/>
                <w:lang w:val="en-US" w:eastAsia="zh-CN"/>
                <w14:textFill>
                  <w14:solidFill>
                    <w14:schemeClr w14:val="tx1"/>
                  </w14:solidFill>
                </w14:textFill>
              </w:rPr>
              <w:t>表1-15  固废产生量统计</w:t>
            </w:r>
          </w:p>
          <w:tbl>
            <w:tblPr>
              <w:tblStyle w:val="33"/>
              <w:tblW w:w="8787" w:type="dxa"/>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863"/>
              <w:gridCol w:w="2806"/>
              <w:gridCol w:w="1488"/>
              <w:gridCol w:w="1146"/>
              <w:gridCol w:w="2484"/>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3"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序号</w:t>
                  </w:r>
                </w:p>
              </w:tc>
              <w:tc>
                <w:tcPr>
                  <w:tcW w:w="2806"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名称</w:t>
                  </w:r>
                </w:p>
              </w:tc>
              <w:tc>
                <w:tcPr>
                  <w:tcW w:w="1488"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废物类别</w:t>
                  </w:r>
                </w:p>
              </w:tc>
              <w:tc>
                <w:tcPr>
                  <w:tcW w:w="1146"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产量</w:t>
                  </w:r>
                </w:p>
              </w:tc>
              <w:tc>
                <w:tcPr>
                  <w:tcW w:w="2484"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处置方式</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3"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1</w:t>
                  </w:r>
                </w:p>
              </w:tc>
              <w:tc>
                <w:tcPr>
                  <w:tcW w:w="280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布袋除尘器收集的粉尘</w:t>
                  </w:r>
                </w:p>
              </w:tc>
              <w:tc>
                <w:tcPr>
                  <w:tcW w:w="1488"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一般废物</w:t>
                  </w:r>
                </w:p>
              </w:tc>
              <w:tc>
                <w:tcPr>
                  <w:tcW w:w="114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2484" w:type="dxa"/>
                  <w:vMerge w:val="restart"/>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由</w:t>
                  </w:r>
                  <w:r>
                    <w:rPr>
                      <w:rFonts w:hint="default" w:ascii="Times New Roman" w:hAnsi="Times New Roman" w:eastAsia="宋体"/>
                      <w:color w:val="000000" w:themeColor="text1"/>
                      <w:szCs w:val="20"/>
                      <w:highlight w:val="none"/>
                      <w:lang w:eastAsia="en-US"/>
                      <w14:textFill>
                        <w14:solidFill>
                          <w14:schemeClr w14:val="tx1"/>
                        </w14:solidFill>
                      </w14:textFill>
                    </w:rPr>
                    <w:t>环卫部门处置</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3"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2</w:t>
                  </w:r>
                </w:p>
              </w:tc>
              <w:tc>
                <w:tcPr>
                  <w:tcW w:w="280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default" w:ascii="Times New Roman" w:hAnsi="Times New Roman" w:eastAsia="宋体"/>
                      <w:color w:val="000000" w:themeColor="text1"/>
                      <w:szCs w:val="20"/>
                      <w:highlight w:val="none"/>
                      <w:lang w:eastAsia="en-US"/>
                      <w14:textFill>
                        <w14:solidFill>
                          <w14:schemeClr w14:val="tx1"/>
                        </w14:solidFill>
                      </w14:textFill>
                    </w:rPr>
                    <w:t>清扫的金属颗粒物</w:t>
                  </w:r>
                </w:p>
              </w:tc>
              <w:tc>
                <w:tcPr>
                  <w:tcW w:w="1488"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一般废物</w:t>
                  </w:r>
                </w:p>
              </w:tc>
              <w:tc>
                <w:tcPr>
                  <w:tcW w:w="114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default" w:ascii="Times New Roman" w:hAnsi="Times New Roman" w:eastAsia="宋体"/>
                      <w:color w:val="000000" w:themeColor="text1"/>
                      <w:szCs w:val="20"/>
                      <w:highlight w:val="none"/>
                      <w:lang w:val="en-US" w:eastAsia="zh-CN"/>
                      <w14:textFill>
                        <w14:solidFill>
                          <w14:schemeClr w14:val="tx1"/>
                        </w14:solidFill>
                      </w14:textFill>
                    </w:rPr>
                    <w:t>0.4</w:t>
                  </w:r>
                  <w:r>
                    <w:rPr>
                      <w:rFonts w:hint="eastAsia" w:ascii="Times New Roman" w:hAnsi="Times New Roman" w:eastAsia="宋体"/>
                      <w:color w:val="000000" w:themeColor="text1"/>
                      <w:szCs w:val="20"/>
                      <w:highlight w:val="none"/>
                      <w:lang w:val="en-US" w:eastAsia="zh-CN"/>
                      <w14:textFill>
                        <w14:solidFill>
                          <w14:schemeClr w14:val="tx1"/>
                        </w14:solidFill>
                      </w14:textFill>
                    </w:rPr>
                    <w:t>64</w:t>
                  </w:r>
                  <w:r>
                    <w:rPr>
                      <w:rFonts w:hint="default" w:ascii="Times New Roman" w:hAnsi="Times New Roman" w:eastAsia="宋体"/>
                      <w:color w:val="000000" w:themeColor="text1"/>
                      <w:szCs w:val="20"/>
                      <w:highlight w:val="none"/>
                      <w14:textFill>
                        <w14:solidFill>
                          <w14:schemeClr w14:val="tx1"/>
                        </w14:solidFill>
                      </w14:textFill>
                    </w:rPr>
                    <w:t>t/a</w:t>
                  </w:r>
                </w:p>
              </w:tc>
              <w:tc>
                <w:tcPr>
                  <w:tcW w:w="2484" w:type="dxa"/>
                  <w:vMerge w:val="continue"/>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PrEx>
              <w:trPr>
                <w:trHeight w:val="23" w:hRule="atLeast"/>
                <w:jc w:val="center"/>
              </w:trPr>
              <w:tc>
                <w:tcPr>
                  <w:tcW w:w="863"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3</w:t>
                  </w:r>
                </w:p>
              </w:tc>
              <w:tc>
                <w:tcPr>
                  <w:tcW w:w="280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default" w:ascii="Times New Roman" w:hAnsi="Times New Roman" w:eastAsia="宋体"/>
                      <w:color w:val="000000" w:themeColor="text1"/>
                      <w:szCs w:val="20"/>
                      <w:highlight w:val="none"/>
                      <w:lang w:eastAsia="en-US"/>
                      <w14:textFill>
                        <w14:solidFill>
                          <w14:schemeClr w14:val="tx1"/>
                        </w14:solidFill>
                      </w14:textFill>
                    </w:rPr>
                    <w:t>生活垃圾</w:t>
                  </w:r>
                </w:p>
              </w:tc>
              <w:tc>
                <w:tcPr>
                  <w:tcW w:w="1488"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一般废物</w:t>
                  </w:r>
                </w:p>
              </w:tc>
              <w:tc>
                <w:tcPr>
                  <w:tcW w:w="1146"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c>
                <w:tcPr>
                  <w:tcW w:w="2484" w:type="dxa"/>
                  <w:vMerge w:val="continue"/>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3"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4</w:t>
                  </w:r>
                </w:p>
              </w:tc>
              <w:tc>
                <w:tcPr>
                  <w:tcW w:w="280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leftChars="0" w:right="0" w:rightChars="0"/>
                    <w:rPr>
                      <w:rFonts w:hint="eastAsia" w:ascii="Times New Roman" w:hAnsi="Times New Roman" w:eastAsia="宋体" w:cs="Times New Roman"/>
                      <w:color w:val="000000" w:themeColor="text1"/>
                      <w:sz w:val="21"/>
                      <w:szCs w:val="20"/>
                      <w:highlight w:val="none"/>
                      <w:lang w:val="en-US" w:eastAsia="zh-CN"/>
                      <w14:textFill>
                        <w14:solidFill>
                          <w14:schemeClr w14:val="tx1"/>
                        </w14:solidFill>
                      </w14:textFill>
                    </w:rPr>
                  </w:pPr>
                  <w:r>
                    <w:rPr>
                      <w:rFonts w:hint="default" w:ascii="Times New Roman" w:hAnsi="Times New Roman" w:eastAsia="宋体"/>
                      <w:color w:val="000000" w:themeColor="text1"/>
                      <w:szCs w:val="20"/>
                      <w:highlight w:val="none"/>
                      <w:lang w:eastAsia="en-US"/>
                      <w14:textFill>
                        <w14:solidFill>
                          <w14:schemeClr w14:val="tx1"/>
                        </w14:solidFill>
                      </w14:textFill>
                    </w:rPr>
                    <w:t>废</w:t>
                  </w:r>
                  <w:r>
                    <w:rPr>
                      <w:rFonts w:hint="eastAsia" w:ascii="Times New Roman" w:hAnsi="Times New Roman" w:eastAsia="宋体"/>
                      <w:color w:val="000000" w:themeColor="text1"/>
                      <w:szCs w:val="20"/>
                      <w:highlight w:val="none"/>
                      <w:lang w:val="en-US" w:eastAsia="zh-CN"/>
                      <w14:textFill>
                        <w14:solidFill>
                          <w14:schemeClr w14:val="tx1"/>
                        </w14:solidFill>
                      </w14:textFill>
                    </w:rPr>
                    <w:t>机油、废乳化液</w:t>
                  </w:r>
                </w:p>
              </w:tc>
              <w:tc>
                <w:tcPr>
                  <w:tcW w:w="1488"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leftChars="0" w:right="0" w:rightChars="0"/>
                    <w:rPr>
                      <w:rFonts w:hint="eastAsia" w:ascii="Times New Roman" w:hAnsi="Times New Roman" w:eastAsia="宋体" w:cs="Times New Roman"/>
                      <w:color w:val="000000" w:themeColor="text1"/>
                      <w:sz w:val="2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危险废物</w:t>
                  </w:r>
                </w:p>
              </w:tc>
              <w:tc>
                <w:tcPr>
                  <w:tcW w:w="114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leftChars="0" w:right="0" w:rightChars="0"/>
                    <w:rPr>
                      <w:rFonts w:hint="eastAsia" w:ascii="Times New Roman" w:hAnsi="Times New Roman" w:eastAsia="宋体" w:cs="Times New Roman"/>
                      <w:color w:val="000000" w:themeColor="text1"/>
                      <w:sz w:val="2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6.5</w:t>
                  </w:r>
                  <w:r>
                    <w:rPr>
                      <w:rFonts w:hint="default" w:ascii="Times New Roman" w:hAnsi="Times New Roman" w:eastAsia="宋体"/>
                      <w:color w:val="000000" w:themeColor="text1"/>
                      <w:szCs w:val="20"/>
                      <w:highlight w:val="none"/>
                      <w14:textFill>
                        <w14:solidFill>
                          <w14:schemeClr w14:val="tx1"/>
                        </w14:solidFill>
                      </w14:textFill>
                    </w:rPr>
                    <w:t>t/a</w:t>
                  </w:r>
                </w:p>
              </w:tc>
              <w:tc>
                <w:tcPr>
                  <w:tcW w:w="2484" w:type="dxa"/>
                  <w:vMerge w:val="restart"/>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r>
                    <w:rPr>
                      <w:rFonts w:hint="default" w:ascii="Times New Roman" w:hAnsi="Times New Roman" w:eastAsia="宋体"/>
                      <w:color w:val="000000" w:themeColor="text1"/>
                      <w:szCs w:val="20"/>
                      <w:highlight w:val="none"/>
                      <w:lang w:val="en-US" w:eastAsia="zh-CN"/>
                      <w14:textFill>
                        <w14:solidFill>
                          <w14:schemeClr w14:val="tx1"/>
                        </w14:solidFill>
                      </w14:textFill>
                    </w:rPr>
                    <w:t>暂存于危废暂存场所，交由有资质单位处置</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63"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default" w:ascii="Times New Roman" w:hAnsi="Times New Roman" w:eastAsia="宋体"/>
                      <w:color w:val="000000" w:themeColor="text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5</w:t>
                  </w:r>
                </w:p>
              </w:tc>
              <w:tc>
                <w:tcPr>
                  <w:tcW w:w="280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leftChars="0" w:right="0" w:rightChars="0"/>
                    <w:rPr>
                      <w:rFonts w:hint="eastAsia" w:ascii="Times New Roman" w:hAnsi="Times New Roman" w:eastAsia="宋体" w:cs="Times New Roman"/>
                      <w:color w:val="000000" w:themeColor="text1"/>
                      <w:sz w:val="21"/>
                      <w:szCs w:val="20"/>
                      <w:highlight w:val="none"/>
                      <w:lang w:val="en-US" w:eastAsia="zh-CN"/>
                      <w14:textFill>
                        <w14:solidFill>
                          <w14:schemeClr w14:val="tx1"/>
                        </w14:solidFill>
                      </w14:textFill>
                    </w:rPr>
                  </w:pPr>
                  <w:r>
                    <w:rPr>
                      <w:rFonts w:hint="default" w:ascii="Times New Roman" w:hAnsi="Times New Roman" w:eastAsia="宋体"/>
                      <w:color w:val="000000" w:themeColor="text1"/>
                      <w:szCs w:val="20"/>
                      <w:highlight w:val="none"/>
                      <w:lang w:eastAsia="en-US"/>
                      <w14:textFill>
                        <w14:solidFill>
                          <w14:schemeClr w14:val="tx1"/>
                        </w14:solidFill>
                      </w14:textFill>
                    </w:rPr>
                    <w:t>废</w:t>
                  </w:r>
                  <w:r>
                    <w:rPr>
                      <w:rFonts w:hint="eastAsia" w:ascii="Times New Roman" w:hAnsi="Times New Roman" w:eastAsia="宋体"/>
                      <w:color w:val="000000" w:themeColor="text1"/>
                      <w:szCs w:val="20"/>
                      <w:highlight w:val="none"/>
                      <w:lang w:val="en-US" w:eastAsia="zh-CN"/>
                      <w14:textFill>
                        <w14:solidFill>
                          <w14:schemeClr w14:val="tx1"/>
                        </w14:solidFill>
                      </w14:textFill>
                    </w:rPr>
                    <w:t>活性炭</w:t>
                  </w:r>
                </w:p>
              </w:tc>
              <w:tc>
                <w:tcPr>
                  <w:tcW w:w="1488" w:type="dxa"/>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leftChars="0" w:right="0" w:rightChars="0"/>
                    <w:rPr>
                      <w:rFonts w:hint="eastAsia" w:ascii="Times New Roman" w:hAnsi="Times New Roman" w:eastAsia="宋体" w:cs="Times New Roman"/>
                      <w:color w:val="000000" w:themeColor="text1"/>
                      <w:sz w:val="21"/>
                      <w:szCs w:val="20"/>
                      <w:highlight w:val="none"/>
                      <w:lang w:val="en-US" w:eastAsia="zh-CN"/>
                      <w14:textFill>
                        <w14:solidFill>
                          <w14:schemeClr w14:val="tx1"/>
                        </w14:solidFill>
                      </w14:textFill>
                    </w:rPr>
                  </w:pPr>
                  <w:r>
                    <w:rPr>
                      <w:rFonts w:hint="eastAsia" w:ascii="Times New Roman" w:hAnsi="Times New Roman" w:eastAsia="宋体"/>
                      <w:color w:val="000000" w:themeColor="text1"/>
                      <w:szCs w:val="20"/>
                      <w:highlight w:val="none"/>
                      <w:lang w:val="en-US" w:eastAsia="zh-CN"/>
                      <w14:textFill>
                        <w14:solidFill>
                          <w14:schemeClr w14:val="tx1"/>
                        </w14:solidFill>
                      </w14:textFill>
                    </w:rPr>
                    <w:t>危险废物</w:t>
                  </w:r>
                </w:p>
              </w:tc>
              <w:tc>
                <w:tcPr>
                  <w:tcW w:w="1146" w:type="dxa"/>
                  <w:tcBorders>
                    <w:tl2br w:val="nil"/>
                    <w:tr2bl w:val="nil"/>
                  </w:tcBorders>
                  <w:noWrap w:val="0"/>
                  <w:vAlign w:val="center"/>
                </w:tcPr>
                <w:p>
                  <w:pPr>
                    <w:pStyle w:val="168"/>
                    <w:keepNext w:val="0"/>
                    <w:keepLines w:val="0"/>
                    <w:widowControl w:val="0"/>
                    <w:suppressLineNumbers w:val="0"/>
                    <w:bidi w:val="0"/>
                    <w:spacing w:before="0" w:beforeAutospacing="0" w:after="0" w:afterAutospacing="0"/>
                    <w:ind w:left="0" w:leftChars="0" w:right="0" w:rightChars="0"/>
                    <w:rPr>
                      <w:rFonts w:hint="eastAsia" w:ascii="Times New Roman" w:hAnsi="Times New Roman" w:eastAsia="宋体" w:cs="Times New Roman"/>
                      <w:color w:val="000000" w:themeColor="text1"/>
                      <w:sz w:val="21"/>
                      <w:szCs w:val="20"/>
                      <w:highlight w:val="none"/>
                      <w:lang w:val="en-US" w:eastAsia="zh-CN"/>
                      <w14:textFill>
                        <w14:solidFill>
                          <w14:schemeClr w14:val="tx1"/>
                        </w14:solidFill>
                      </w14:textFill>
                    </w:rPr>
                  </w:pPr>
                  <w:r>
                    <w:rPr>
                      <w:rFonts w:hint="default" w:ascii="Times New Roman" w:hAnsi="Times New Roman" w:eastAsia="宋体"/>
                      <w:color w:val="000000" w:themeColor="text1"/>
                      <w:szCs w:val="20"/>
                      <w:highlight w:val="none"/>
                      <w:lang w:eastAsia="en-US"/>
                      <w14:textFill>
                        <w14:solidFill>
                          <w14:schemeClr w14:val="tx1"/>
                        </w14:solidFill>
                      </w14:textFill>
                    </w:rPr>
                    <w:t>0.</w:t>
                  </w:r>
                  <w:r>
                    <w:rPr>
                      <w:rFonts w:hint="eastAsia" w:ascii="Times New Roman" w:hAnsi="Times New Roman" w:eastAsia="宋体"/>
                      <w:color w:val="000000" w:themeColor="text1"/>
                      <w:szCs w:val="20"/>
                      <w:highlight w:val="none"/>
                      <w:lang w:val="en-US" w:eastAsia="zh-CN"/>
                      <w14:textFill>
                        <w14:solidFill>
                          <w14:schemeClr w14:val="tx1"/>
                        </w14:solidFill>
                      </w14:textFill>
                    </w:rPr>
                    <w:t>392</w:t>
                  </w:r>
                  <w:r>
                    <w:rPr>
                      <w:rFonts w:hint="default" w:ascii="Times New Roman" w:hAnsi="Times New Roman" w:eastAsia="宋体"/>
                      <w:color w:val="000000" w:themeColor="text1"/>
                      <w:szCs w:val="20"/>
                      <w:highlight w:val="none"/>
                      <w14:textFill>
                        <w14:solidFill>
                          <w14:schemeClr w14:val="tx1"/>
                        </w14:solidFill>
                      </w14:textFill>
                    </w:rPr>
                    <w:t>t/a</w:t>
                  </w:r>
                </w:p>
              </w:tc>
              <w:tc>
                <w:tcPr>
                  <w:tcW w:w="2484" w:type="dxa"/>
                  <w:vMerge w:val="continue"/>
                  <w:tcBorders>
                    <w:tl2br w:val="nil"/>
                    <w:tr2bl w:val="nil"/>
                  </w:tcBorders>
                  <w:noWrap w:val="0"/>
                  <w:vAlign w:val="top"/>
                </w:tcPr>
                <w:p>
                  <w:pPr>
                    <w:pStyle w:val="168"/>
                    <w:keepNext w:val="0"/>
                    <w:keepLines w:val="0"/>
                    <w:widowControl w:val="0"/>
                    <w:suppressLineNumbers w:val="0"/>
                    <w:bidi w:val="0"/>
                    <w:spacing w:before="0" w:beforeAutospacing="0" w:after="0" w:afterAutospacing="0"/>
                    <w:ind w:left="0" w:right="0"/>
                    <w:rPr>
                      <w:rFonts w:hint="eastAsia" w:ascii="Times New Roman" w:hAnsi="Times New Roman" w:eastAsia="宋体"/>
                      <w:color w:val="000000" w:themeColor="text1"/>
                      <w:szCs w:val="20"/>
                      <w:highlight w:val="none"/>
                      <w:lang w:val="en-US" w:eastAsia="zh-CN"/>
                      <w14:textFill>
                        <w14:solidFill>
                          <w14:schemeClr w14:val="tx1"/>
                        </w14:solidFill>
                      </w14:textFill>
                    </w:rPr>
                  </w:pPr>
                </w:p>
              </w:tc>
            </w:tr>
            <w:bookmarkEnd w:id="9"/>
          </w:tbl>
          <w:p>
            <w:pPr>
              <w:pStyle w:val="40"/>
              <w:keepNext w:val="0"/>
              <w:keepLines w:val="0"/>
              <w:pageBreakBefore w:val="0"/>
              <w:widowControl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b w:val="0"/>
                <w:bCs/>
                <w:cap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10</w:t>
            </w:r>
            <w:r>
              <w:rPr>
                <w:rFonts w:hint="eastAsia" w:ascii="Times New Roman" w:hAnsi="Times New Roman" w:eastAsia="宋体" w:cs="Times New Roman"/>
                <w:b w:val="0"/>
                <w:bCs/>
                <w:caps w:val="0"/>
                <w:color w:val="000000" w:themeColor="text1"/>
                <w:kern w:val="2"/>
                <w:sz w:val="24"/>
                <w:szCs w:val="24"/>
                <w:highlight w:val="none"/>
                <w:lang w:val="en-US" w:eastAsia="zh-CN" w:bidi="ar-SA"/>
                <w14:textFill>
                  <w14:solidFill>
                    <w14:schemeClr w14:val="tx1"/>
                  </w14:solidFill>
                </w14:textFill>
              </w:rPr>
              <w:t>、现有项目环保手续执行情况</w:t>
            </w:r>
          </w:p>
          <w:p>
            <w:pPr>
              <w:keepNext w:val="0"/>
              <w:keepLines w:val="0"/>
              <w:pageBreakBefore w:val="0"/>
              <w:widowControl w:val="0"/>
              <w:kinsoku/>
              <w:wordWrap/>
              <w:overflowPunct/>
              <w:topLinePunct w:val="0"/>
              <w:bidi w:val="0"/>
              <w:snapToGrid/>
              <w:spacing w:line="360" w:lineRule="auto"/>
              <w:ind w:firstLine="0" w:firstLineChars="0"/>
              <w:jc w:val="center"/>
              <w:textAlignment w:val="auto"/>
              <w:rPr>
                <w:rFonts w:hint="default" w:ascii="Times New Roman" w:hAnsi="Times New Roman" w:eastAsia="宋体" w:cs="Times New Roman"/>
                <w:b/>
                <w:color w:val="000000" w:themeColor="text1"/>
                <w:highlight w:val="none"/>
                <w14:textFill>
                  <w14:solidFill>
                    <w14:schemeClr w14:val="tx1"/>
                  </w14:solidFill>
                </w14:textFill>
              </w:rPr>
            </w:pPr>
            <w:r>
              <w:rPr>
                <w:rFonts w:hint="default" w:ascii="Times New Roman" w:hAnsi="Times New Roman" w:eastAsia="宋体" w:cs="Times New Roman"/>
                <w:b/>
                <w:color w:val="000000" w:themeColor="text1"/>
                <w:sz w:val="22"/>
                <w:szCs w:val="22"/>
                <w:highlight w:val="none"/>
                <w14:textFill>
                  <w14:solidFill>
                    <w14:schemeClr w14:val="tx1"/>
                  </w14:solidFill>
                </w14:textFill>
              </w:rPr>
              <w:t>表</w:t>
            </w:r>
            <w:r>
              <w:rPr>
                <w:rFonts w:hint="eastAsia" w:ascii="Times New Roman" w:hAnsi="Times New Roman" w:eastAsia="宋体" w:cs="Times New Roman"/>
                <w:b/>
                <w:color w:val="000000" w:themeColor="text1"/>
                <w:sz w:val="22"/>
                <w:szCs w:val="22"/>
                <w:highlight w:val="none"/>
                <w:lang w:val="en-US" w:eastAsia="zh-CN"/>
                <w14:textFill>
                  <w14:solidFill>
                    <w14:schemeClr w14:val="tx1"/>
                  </w14:solidFill>
                </w14:textFill>
              </w:rPr>
              <w:t>1-16</w:t>
            </w:r>
            <w:r>
              <w:rPr>
                <w:rFonts w:hint="default" w:ascii="Times New Roman" w:hAnsi="Times New Roman" w:eastAsia="宋体" w:cs="Times New Roman"/>
                <w:b/>
                <w:color w:val="000000" w:themeColor="text1"/>
                <w:sz w:val="22"/>
                <w:szCs w:val="22"/>
                <w:highlight w:val="none"/>
                <w14:textFill>
                  <w14:solidFill>
                    <w14:schemeClr w14:val="tx1"/>
                  </w14:solidFill>
                </w14:textFill>
              </w:rPr>
              <w:t xml:space="preserve"> 现有项目环保手续执行情况一览表</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25"/>
              <w:gridCol w:w="879"/>
              <w:gridCol w:w="1117"/>
              <w:gridCol w:w="1161"/>
              <w:gridCol w:w="1587"/>
              <w:gridCol w:w="1325"/>
              <w:gridCol w:w="12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jc w:val="center"/>
              </w:trPr>
              <w:tc>
                <w:tcPr>
                  <w:tcW w:w="1725" w:type="dxa"/>
                  <w:vMerge w:val="restart"/>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企业所属建设项目名称</w:t>
                  </w:r>
                </w:p>
              </w:tc>
              <w:tc>
                <w:tcPr>
                  <w:tcW w:w="3157" w:type="dxa"/>
                  <w:gridSpan w:val="3"/>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备案、环评</w:t>
                  </w:r>
                </w:p>
              </w:tc>
              <w:tc>
                <w:tcPr>
                  <w:tcW w:w="2912" w:type="dxa"/>
                  <w:gridSpan w:val="2"/>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竣工环保验收</w:t>
                  </w:r>
                </w:p>
              </w:tc>
              <w:tc>
                <w:tcPr>
                  <w:tcW w:w="1232" w:type="dxa"/>
                  <w:vMerge w:val="restart"/>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项目目前运行状态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25"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879"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审批</w:t>
                  </w:r>
                </w:p>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部门</w:t>
                  </w:r>
                </w:p>
              </w:tc>
              <w:tc>
                <w:tcPr>
                  <w:tcW w:w="1117"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批准文号</w:t>
                  </w:r>
                </w:p>
              </w:tc>
              <w:tc>
                <w:tcPr>
                  <w:tcW w:w="1161"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批准时间</w:t>
                  </w:r>
                </w:p>
              </w:tc>
              <w:tc>
                <w:tcPr>
                  <w:tcW w:w="1587"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验收单位</w:t>
                  </w:r>
                </w:p>
              </w:tc>
              <w:tc>
                <w:tcPr>
                  <w:tcW w:w="1325"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验收</w:t>
                  </w:r>
                  <w:r>
                    <w:rPr>
                      <w:rFonts w:hint="default" w:ascii="Times New Roman" w:hAnsi="Times New Roman" w:eastAsia="宋体" w:cs="Times New Roman"/>
                      <w:color w:val="000000" w:themeColor="text1"/>
                      <w:sz w:val="21"/>
                      <w:szCs w:val="21"/>
                      <w:highlight w:val="none"/>
                      <w14:textFill>
                        <w14:solidFill>
                          <w14:schemeClr w14:val="tx1"/>
                        </w14:solidFill>
                      </w14:textFill>
                    </w:rPr>
                    <w:t>时间</w:t>
                  </w:r>
                </w:p>
              </w:tc>
              <w:tc>
                <w:tcPr>
                  <w:tcW w:w="1232"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25"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新型环保管件、阀门及轨道交通零部件加工生产基地项目</w:t>
                  </w:r>
                </w:p>
              </w:tc>
              <w:tc>
                <w:tcPr>
                  <w:tcW w:w="879"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繁昌县环境保护局</w:t>
                  </w:r>
                </w:p>
              </w:tc>
              <w:tc>
                <w:tcPr>
                  <w:tcW w:w="1117"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繁环审[2018]16号</w:t>
                  </w:r>
                </w:p>
              </w:tc>
              <w:tc>
                <w:tcPr>
                  <w:tcW w:w="1161"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2018.4.28</w:t>
                  </w:r>
                </w:p>
              </w:tc>
              <w:tc>
                <w:tcPr>
                  <w:tcW w:w="1587"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芜湖民宇环境科技有限公司</w:t>
                  </w:r>
                </w:p>
              </w:tc>
              <w:tc>
                <w:tcPr>
                  <w:tcW w:w="1325"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2020年11月</w:t>
                  </w:r>
                </w:p>
              </w:tc>
              <w:tc>
                <w:tcPr>
                  <w:tcW w:w="1232" w:type="dxa"/>
                  <w:noWrap w:val="0"/>
                  <w:vAlign w:val="center"/>
                </w:tcPr>
                <w:p>
                  <w:pPr>
                    <w:spacing w:line="240" w:lineRule="auto"/>
                    <w:ind w:firstLine="0" w:firstLineChars="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已投产</w:t>
                  </w:r>
                </w:p>
              </w:tc>
            </w:tr>
          </w:tbl>
          <w:p>
            <w:pPr>
              <w:pStyle w:val="40"/>
              <w:rPr>
                <w:rFonts w:ascii="Times New Roman" w:hAnsi="Times New Roman" w:eastAsia="宋体" w:cs="Times New Roman"/>
                <w:caps w:val="0"/>
                <w:color w:val="000000" w:themeColor="text1"/>
                <w:sz w:val="21"/>
                <w:szCs w:val="21"/>
                <w:highlight w:val="none"/>
                <w14:textFill>
                  <w14:solidFill>
                    <w14:schemeClr w14:val="tx1"/>
                  </w14:solidFill>
                </w14:textFill>
              </w:rPr>
            </w:pPr>
          </w:p>
        </w:tc>
      </w:tr>
    </w:tbl>
    <w:p>
      <w:pPr>
        <w:pStyle w:val="3"/>
        <w:spacing w:before="120" w:after="120" w:line="360" w:lineRule="auto"/>
        <w:rPr>
          <w:rFonts w:ascii="Times New Roman" w:hAnsi="Times New Roman" w:eastAsia="宋体"/>
          <w:caps w:val="0"/>
          <w:color w:val="000000" w:themeColor="text1"/>
          <w:sz w:val="28"/>
          <w:szCs w:val="28"/>
          <w:highlight w:val="none"/>
          <w14:textFill>
            <w14:solidFill>
              <w14:schemeClr w14:val="tx1"/>
            </w14:solidFill>
          </w14:textFill>
        </w:rPr>
      </w:pPr>
      <w:r>
        <w:rPr>
          <w:rFonts w:ascii="Times New Roman" w:hAnsi="Times New Roman" w:eastAsia="宋体"/>
          <w:caps w:val="0"/>
          <w:color w:val="000000" w:themeColor="text1"/>
          <w:highlight w:val="none"/>
          <w14:textFill>
            <w14:solidFill>
              <w14:schemeClr w14:val="tx1"/>
            </w14:solidFill>
          </w14:textFill>
        </w:rPr>
        <w:br w:type="page"/>
      </w:r>
      <w:r>
        <w:rPr>
          <w:rFonts w:ascii="Times New Roman" w:hAnsi="Times New Roman" w:eastAsia="宋体"/>
          <w:caps w:val="0"/>
          <w:color w:val="000000" w:themeColor="text1"/>
          <w:sz w:val="28"/>
          <w:szCs w:val="28"/>
          <w:highlight w:val="none"/>
          <w14:textFill>
            <w14:solidFill>
              <w14:schemeClr w14:val="tx1"/>
            </w14:solidFill>
          </w14:textFill>
        </w:rPr>
        <w:t>建设项目所在地自然环境简况</w:t>
      </w:r>
    </w:p>
    <w:tbl>
      <w:tblPr>
        <w:tblStyle w:val="32"/>
        <w:tblW w:w="5000" w:type="pct"/>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24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trPr>
        <w:tc>
          <w:tcPr>
            <w:tcW w:w="5000" w:type="pct"/>
            <w:tcBorders>
              <w:top w:val="single" w:color="auto" w:sz="4" w:space="0"/>
              <w:left w:val="single" w:color="auto" w:sz="4" w:space="0"/>
              <w:bottom w:val="single" w:color="auto" w:sz="4" w:space="0"/>
              <w:right w:val="single" w:color="auto" w:sz="4" w:space="0"/>
            </w:tcBorders>
          </w:tcPr>
          <w:p>
            <w:pPr>
              <w:pStyle w:val="28"/>
              <w:spacing w:line="400" w:lineRule="exact"/>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自然环境简况（地形、地貌、地质、气候、水文、植被、生物多样性等）：</w:t>
            </w:r>
          </w:p>
          <w:p>
            <w:pPr>
              <w:pStyle w:val="5"/>
              <w:spacing w:before="0" w:after="0" w:line="460" w:lineRule="exact"/>
              <w:ind w:left="756" w:leftChars="240" w:hanging="84" w:hangingChars="35"/>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1、地理位置</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芜湖市位于安徽省东南部，地处长江下游南岸，地处东经117°58′-118°43′、北纬30°38′-31°31′。南倚皖南山系，北望江淮平原，长江自城西南向东北缓缓流过，清弋江自东南向西北，穿城而过，汇入长江。</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繁昌县隶属芜湖市，位于芜湖市区西南方。繁昌县北靠长江，是皖南山区的门户。繁昌县的地理坐标为东经118º17'~118º43'，北纬30º56'~31º34'。繁昌县区位优越、交通便捷。处皖南北部，其北临长江，南望九华，东接长江金三角，西通中部腹地，素有“皖南门户”之称。浩浩长江，由西向东，穿山越岭，奔腾而来，在这里形成一条宽阔平稳可行驶万吨级船只的“黄金水道”。沪铜铁路、沿江高速公路宛如两条巨大的动脉，将繁昌同富饶发达的长江三角洲地区和广大内陆腹地连接起来。由繁昌前往南京禄口、合肥机场也非常方便，车程不到一个半小时。</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本项目位于</w:t>
            </w: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繁昌经济开发区孙村园区</w:t>
            </w:r>
            <w:r>
              <w:rPr>
                <w:rFonts w:ascii="Times New Roman" w:hAnsi="Times New Roman" w:eastAsia="宋体"/>
                <w:caps w:val="0"/>
                <w:color w:val="000000" w:themeColor="text1"/>
                <w:sz w:val="24"/>
                <w:highlight w:val="none"/>
                <w14:textFill>
                  <w14:solidFill>
                    <w14:schemeClr w14:val="tx1"/>
                  </w14:solidFill>
                </w14:textFill>
              </w:rPr>
              <w:t>，中心地理位置坐标为</w:t>
            </w:r>
            <w:r>
              <w:rPr>
                <w:rFonts w:ascii="Times New Roman" w:hAnsi="Times New Roman" w:eastAsia="宋体"/>
                <w:bCs/>
                <w:caps w:val="0"/>
                <w:color w:val="000000" w:themeColor="text1"/>
                <w:kern w:val="0"/>
                <w:sz w:val="24"/>
                <w:highlight w:val="none"/>
                <w14:textFill>
                  <w14:solidFill>
                    <w14:schemeClr w14:val="tx1"/>
                  </w14:solidFill>
                </w14:textFill>
              </w:rPr>
              <w:t>东经</w:t>
            </w:r>
            <w:r>
              <w:rPr>
                <w:rFonts w:hint="eastAsia" w:ascii="Times New Roman" w:hAnsi="Times New Roman" w:eastAsia="宋体"/>
                <w:bCs/>
                <w:caps w:val="0"/>
                <w:color w:val="000000" w:themeColor="text1"/>
                <w:kern w:val="0"/>
                <w:sz w:val="24"/>
                <w:highlight w:val="none"/>
                <w14:textFill>
                  <w14:solidFill>
                    <w14:schemeClr w14:val="tx1"/>
                  </w14:solidFill>
                </w14:textFill>
              </w:rPr>
              <w:t>118.09111834</w:t>
            </w:r>
            <w:r>
              <w:rPr>
                <w:rFonts w:ascii="Times New Roman" w:hAnsi="Times New Roman" w:eastAsia="宋体"/>
                <w:bCs/>
                <w:caps w:val="0"/>
                <w:color w:val="000000" w:themeColor="text1"/>
                <w:kern w:val="0"/>
                <w:sz w:val="24"/>
                <w:highlight w:val="none"/>
                <w14:textFill>
                  <w14:solidFill>
                    <w14:schemeClr w14:val="tx1"/>
                  </w14:solidFill>
                </w14:textFill>
              </w:rPr>
              <w:t>°、北纬</w:t>
            </w:r>
            <w:r>
              <w:rPr>
                <w:rFonts w:hint="eastAsia" w:ascii="Times New Roman" w:hAnsi="Times New Roman" w:eastAsia="宋体"/>
                <w:bCs/>
                <w:caps w:val="0"/>
                <w:color w:val="000000" w:themeColor="text1"/>
                <w:kern w:val="0"/>
                <w:sz w:val="24"/>
                <w:highlight w:val="none"/>
                <w14:textFill>
                  <w14:solidFill>
                    <w14:schemeClr w14:val="tx1"/>
                  </w14:solidFill>
                </w14:textFill>
              </w:rPr>
              <w:t>31.03601130</w:t>
            </w:r>
            <w:r>
              <w:rPr>
                <w:rFonts w:ascii="Times New Roman" w:hAnsi="Times New Roman" w:eastAsia="宋体"/>
                <w:bCs/>
                <w:caps w:val="0"/>
                <w:color w:val="000000" w:themeColor="text1"/>
                <w:kern w:val="0"/>
                <w:sz w:val="24"/>
                <w:highlight w:val="none"/>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w:t>
            </w:r>
          </w:p>
          <w:p>
            <w:pPr>
              <w:spacing w:line="360" w:lineRule="auto"/>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2、地形、地貌</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繁昌县在区域上处在沿江平原丘陵区。地形南高北低，西高东低。海拔400~500m之间的山峰有三座，由高到低，分别为：寨山（处在荻港、新港、芦南三个乡镇的交界地带)477.2m，红花尖(位于孙村、马坝两个乡镇交界地带450m，浮山(是峨山乡与浮山乡交界的山峰)431.6m。海拔超过400m 的国土面积仅有）0.62km</w:t>
            </w:r>
            <w:r>
              <w:rPr>
                <w:rFonts w:ascii="Times New Roman" w:hAnsi="Times New Roman" w:eastAsia="宋体"/>
                <w:caps w:val="0"/>
                <w:color w:val="000000" w:themeColor="text1"/>
                <w:sz w:val="24"/>
                <w:highlight w:val="none"/>
                <w:vertAlign w:val="superscript"/>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；海拔高程大于200m 的面积约60km</w:t>
            </w:r>
            <w:r>
              <w:rPr>
                <w:rFonts w:ascii="Times New Roman" w:hAnsi="Times New Roman" w:eastAsia="宋体"/>
                <w:caps w:val="0"/>
                <w:color w:val="000000" w:themeColor="text1"/>
                <w:sz w:val="24"/>
                <w:highlight w:val="none"/>
                <w:vertAlign w:val="superscript"/>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，占国土总面积的6.82%；海拔高程低于20m 的国土面积为472.3km</w:t>
            </w:r>
            <w:r>
              <w:rPr>
                <w:rFonts w:ascii="Times New Roman" w:hAnsi="Times New Roman" w:eastAsia="宋体"/>
                <w:caps w:val="0"/>
                <w:color w:val="000000" w:themeColor="text1"/>
                <w:sz w:val="24"/>
                <w:highlight w:val="none"/>
                <w:vertAlign w:val="superscript"/>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，占国土总面积的53.7%，其中181km</w:t>
            </w:r>
            <w:r>
              <w:rPr>
                <w:rFonts w:ascii="Times New Roman" w:hAnsi="Times New Roman" w:eastAsia="宋体"/>
                <w:caps w:val="0"/>
                <w:color w:val="000000" w:themeColor="text1"/>
                <w:sz w:val="24"/>
                <w:highlight w:val="none"/>
                <w:vertAlign w:val="superscript"/>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为水面面积。</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繁昌县的地势特征总体上由南向北可以概括为：一陵（由东部浮山向西南延伸进入铜陵境内，呈北东向展布）一谷(芜铜铁路从此经过，呈北东向展布)一丘（以寨山、红花尖为主体构成，周边均为开阔的第四系分布区）一河（由现状长江河道及漫滩区构成）。境内主要山岭有：寨山、红花尖、马仁山、五华山、浮山，分布在县境西北部。境内平原按其特征分为圩区平原和少量河谷平原。圩区平原面积近200km</w:t>
            </w:r>
            <w:r>
              <w:rPr>
                <w:rFonts w:ascii="Times New Roman" w:hAnsi="Times New Roman" w:eastAsia="宋体"/>
                <w:caps w:val="0"/>
                <w:color w:val="000000" w:themeColor="text1"/>
                <w:sz w:val="24"/>
                <w:highlight w:val="none"/>
                <w:vertAlign w:val="superscript"/>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，地势低平，水网密布，一般标高6~10m。分布在县境漳河系统及北部横山河和西部黄浒河流域。基本的地貌形态按其成因类型可以划为两类：丘陵和平原。</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（1）丘陵。</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①</w:t>
            </w:r>
            <w:r>
              <w:rPr>
                <w:rFonts w:ascii="Times New Roman" w:hAnsi="Times New Roman" w:eastAsia="宋体"/>
                <w:caps w:val="0"/>
                <w:color w:val="000000" w:themeColor="text1"/>
                <w:sz w:val="24"/>
                <w:highlight w:val="none"/>
                <w14:textFill>
                  <w14:solidFill>
                    <w14:schemeClr w14:val="tx1"/>
                  </w14:solidFill>
                </w14:textFill>
              </w:rPr>
              <w:t>高丘：属于侵蚀剥蚀类型。分布县境的西南部，海拔一般大于200m。残坡积物的厚度较薄，灰岩分布区大多岩石裸露。地形坡度一般小于20°，植被覆盖率较高，极少有居民居住。</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②</w:t>
            </w:r>
            <w:r>
              <w:rPr>
                <w:rFonts w:ascii="Times New Roman" w:hAnsi="Times New Roman" w:eastAsia="宋体"/>
                <w:caps w:val="0"/>
                <w:color w:val="000000" w:themeColor="text1"/>
                <w:sz w:val="24"/>
                <w:highlight w:val="none"/>
                <w14:textFill>
                  <w14:solidFill>
                    <w14:schemeClr w14:val="tx1"/>
                  </w14:solidFill>
                </w14:textFill>
              </w:rPr>
              <w:t>低（残）丘：属于剥蚀类型。一般分布在高丘周边，零星分布平原地带，海拔高程一般在50~200m。丘岗区是丘陵向平原过渡的地貌类型，在本县境内，该区是人类采矿活动地主要地区。</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（2）平原</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①</w:t>
            </w:r>
            <w:r>
              <w:rPr>
                <w:rFonts w:ascii="Times New Roman" w:hAnsi="Times New Roman" w:eastAsia="宋体"/>
                <w:caps w:val="0"/>
                <w:color w:val="000000" w:themeColor="text1"/>
                <w:sz w:val="24"/>
                <w:highlight w:val="none"/>
                <w14:textFill>
                  <w14:solidFill>
                    <w14:schemeClr w14:val="tx1"/>
                  </w14:solidFill>
                </w14:textFill>
              </w:rPr>
              <w:t>阶地：属于剥蚀堆积类型，分布在丘陵边缘地带。海拔高度一般在15~50m，多数由第四系更新统的粘性土体组成。</w:t>
            </w:r>
          </w:p>
          <w:p>
            <w:pPr>
              <w:spacing w:line="360" w:lineRule="auto"/>
              <w:ind w:firstLine="480" w:firstLineChars="200"/>
              <w:contextualSpacing/>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s="宋体"/>
                <w:caps w:val="0"/>
                <w:color w:val="000000" w:themeColor="text1"/>
                <w:sz w:val="24"/>
                <w:highlight w:val="none"/>
                <w14:textFill>
                  <w14:solidFill>
                    <w14:schemeClr w14:val="tx1"/>
                  </w14:solidFill>
                </w14:textFill>
              </w:rPr>
              <w:t>②</w:t>
            </w:r>
            <w:r>
              <w:rPr>
                <w:rFonts w:ascii="Times New Roman" w:hAnsi="Times New Roman" w:eastAsia="宋体"/>
                <w:caps w:val="0"/>
                <w:color w:val="000000" w:themeColor="text1"/>
                <w:sz w:val="24"/>
                <w:highlight w:val="none"/>
                <w14:textFill>
                  <w14:solidFill>
                    <w14:schemeClr w14:val="tx1"/>
                  </w14:solidFill>
                </w14:textFill>
              </w:rPr>
              <w:t>河漫滩：属于堆积类型，主要沿长江、漳河分布。地势低平，海拔高程一般小于 15m；主要由第四系全新统的粘性土极其砂性土组成。</w:t>
            </w:r>
          </w:p>
          <w:p>
            <w:pPr>
              <w:spacing w:line="360" w:lineRule="auto"/>
              <w:ind w:firstLine="482" w:firstLineChars="200"/>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3、水文地质</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境内主要河流和地表水系有：长江、漳河、峨溪河、黄浒河、苏伍滩和中塘。长江：自西南向北斜贯县西、北边界，境内流程近30公里，水面宽1至2.5公里，最窄处800米（荻港凤凰矶）。漳河：源于南陵县绿岭荷花塘和戴家汇的水涟洞，流经繁昌县平铺镇肇埠后，环绕县境东部，入长江，境内流程近20公里，河宽30至105米，其支流有峨溪河。峨溪河：源于繁阳范冲，流经县城南门桥（古称上峨桥）于峨桥（古称下峨桥，现属三山区）并入漳河，全程约23公里，河宽5至60米，属季节性河流。黄浒河：源于南陵县韭菜崖和铜陵县水龙山，为我县西南与铜陵县毗邻界河，经孙村赤沙滩，沿孙村、荻港西注长江，境内流程约27公里，河宽15至34米，属季节性河流。</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本项目的纳污河流犁山河：总长为10km，发源于境内的白马山，自东向西汇入黄浒河。犁山河在孙村镇境内段河宽约10m，平均水深1～2m。</w:t>
            </w:r>
          </w:p>
          <w:p>
            <w:pPr>
              <w:spacing w:line="360" w:lineRule="auto"/>
              <w:ind w:firstLine="482" w:firstLineChars="200"/>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4、气候与气象</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孙村镇位于芜湖市西南部，长江南岸，距繁昌县城8.5km。东临城关镇，南接赤沙乡，西临黄浒镇，北连荻港镇和马坝乡。孙村镇气候温和，雨量适中，四季分明，光照充足，属亚热带湿润性季风气候区。全年主导风向为东北风，平均风速2.5m/s，最大风速24m/s，平均气温15.9°C，极端最高气温41.2°C（1969年 8月），极端最低气温-14.3°C（1969年2月）。降水年际变化大，季节分配不均，年平均降水量1224mm，5～9月为汛期，降水可达700～1200mm，历年暴雨平均强度65.9mm，最大日降水量180.4mm。年均日照时数达2068.3小时，年太阳辐射量平均为116.9KJ/cm</w:t>
            </w:r>
            <w:r>
              <w:rPr>
                <w:rFonts w:ascii="Times New Roman" w:hAnsi="Times New Roman" w:eastAsia="宋体"/>
                <w:caps w:val="0"/>
                <w:color w:val="000000" w:themeColor="text1"/>
                <w:sz w:val="24"/>
                <w:highlight w:val="none"/>
                <w:vertAlign w:val="superscript"/>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.月，平均无霜期231天。</w:t>
            </w:r>
          </w:p>
          <w:p>
            <w:pPr>
              <w:spacing w:line="440" w:lineRule="exact"/>
              <w:ind w:firstLine="482"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5、生态环境</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1、土壤</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繁昌县地貌分区为冲积平原、侵蚀残丘和长江古老阶地三个基本地貌单元，土壤类型复杂多样，自然土壤有黄棕壤土和砂质粘土，适合发展林业，耕作土壤为水稻土和砂壤土，宜于种植水稻、油菜和各种蔬菜。</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2、植被</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繁昌县属北亚热带落叶常绿阔叶混交林植被区。全市目前有林地65296.7hm</w:t>
            </w:r>
            <w:r>
              <w:rPr>
                <w:rFonts w:ascii="Times New Roman" w:hAnsi="Times New Roman" w:eastAsia="宋体"/>
                <w:caps w:val="0"/>
                <w:color w:val="000000" w:themeColor="text1"/>
                <w:sz w:val="24"/>
                <w:highlight w:val="none"/>
                <w:vertAlign w:val="superscript"/>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森林覆盖率28.5％。森林资源中，以松树、山树为主的人工林约占45％，次生林和竹林约占55％。据不完全统计，芜湖市有维管束植物1163种(包括变种的栽培种)，其中蕨类植物有21种32属39种；裸子植物有9科19属41种；被子植物有142科604属1083种。常见的常绿树种有栽培的樟树、棕榈、石南、女贞、拘骨等。池塘河湖生长有菱、黄实、莲、茭白、莆荠、水芹和芦苇等水生植物群落。栽培植物以水稻为主，其次有油菜、紫云英、棉花、山芋、麻、小麦、茶叶、烟叶、桑、玉米、大豆、蔬菜、莲藕、中药材等，树木有亚热带常绿阔叶树和落叶阔叶树、苦槠、青冈、冬青、栎类、化香、枫香、山槐、松杉、柏、梨、苹果、葡萄、竹以及花卉。野生植物资源十分丰富，有千余种。稀有珍贵树种有青钱柳、金钱松、紫楠、鹅掌揪和绞股兰等。</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3、动物</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繁昌县域内动物区系处于古北界和东洋界两大界动物相互渗透的广泛过渡地带，动物种类丰富而复杂，一些典型的东洋界种如华南兔、猪獾、黄胸鼠、白头鹎、画眉、白腰文鸟、珠颈班鸠、石龙子、大头平胸龟、泽蛙等在芜湖市广泛分布，而古北界的东北刺猬、社鼠、灰喜鹊、云雀、红尾伯劳、蛇蝮等也有分布。另外，还保存古老珍稀动物的种类，如扬子鳄、白暨豚和白鲟等。据调查芜湖市有动物600多种，共有鸟类121种、鱼类57种。爬行类、两栖类、兽类动物种类繁多，现有两栖动物2目6科，爬行动物3目9科21种；哺乳动物8目19科50种。其中属安徽省重点保护的动物28种，国家重点保护的动物15种。其中水生动物6种(白暨豚、中华鲟、白鲟、江豚、胭脂鱼)，陆生动物9种(扬子鳄、穿山甲、豺、云豹、天鹅、鸳鸯、鸮形目、白鹇、水獭)，其中中国特有种两种(扬子鳄、白暨豚)。</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在消灭农村害虫维护生态平衡起重要作用的有益动物11种，有较大食用价值的动物28种，作为名贵中药材原料的动物15种，可用来制裘造革的动物22种，有重大科学研究价值的动物3种，具有可观赏性的动物28种，对农村生产有害的动物9种。</w:t>
            </w:r>
          </w:p>
          <w:p>
            <w:pPr>
              <w:spacing w:line="440" w:lineRule="exact"/>
              <w:ind w:firstLine="482" w:firstLineChars="200"/>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6、孙村经济开发区</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芜湖孙村经济开发区位于繁昌</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区</w:t>
            </w:r>
            <w:r>
              <w:rPr>
                <w:rFonts w:ascii="Times New Roman" w:hAnsi="Times New Roman" w:eastAsia="宋体"/>
                <w:caps w:val="0"/>
                <w:color w:val="000000" w:themeColor="text1"/>
                <w:sz w:val="24"/>
                <w:highlight w:val="none"/>
                <w14:textFill>
                  <w14:solidFill>
                    <w14:schemeClr w14:val="tx1"/>
                  </w14:solidFill>
                </w14:textFill>
              </w:rPr>
              <w:t>西部，为省政府2010年3月20日批准设立的省级筹建开发区。</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芜湖孙村经济开发区实行“政区合一”机构管理模式，即与孙村镇人民政府合并管理。规划面积控制在13平方公里以内，开发区分成两个版块;其中西区四至范围：东至人字东路、体人路，南至新芜铜路，西至响水路，北至人字西路；东区四至范围：东至东环路、宁安城际铁路支线，南至新芜铜路，西至军民路、军园路，北至北环路。</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区内沿江高速、沪铜铁路、省道321线和宁安城际铁路穿境而过，且紧邻京福高铁和长江黄金水道，区位交通优势显著。芜湖孙村经济开发区自筹建以来，先后投入数亿元，为入园企业提供通上下水、通路、通电、通邮、通气、通讯、通宽带、通有线电视和平整土地(“八通一平”)建设服务，截止目前，开发区内已建设供水管道15.2公里、雨污水管道42公里、主干道路32公里、供电线路55.32公里、天燃气管道13.22公里，邮政、通讯、宽带、有线电视和平整土地实现了园区全覆盖，充分满足了园区企业生产生活需要。</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近年来，芜湖孙村经济开发区充分发挥产业优势，重点发展新材料、机械铸造、纺织服装三大主导产业。截至2016年8月，开发区入园企业374家，其中规模以上企业122家，自营进出口企业34家，高新技术企业12家，省级技术中心企业5家。规模以上企业实现产值92.37亿元，较上年同期增长10.68%，实现工业增加值29.85亿元。</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s="Times New Roman"/>
                <w:caps w:val="0"/>
                <w:color w:val="000000" w:themeColor="text1"/>
                <w:highlight w:val="none"/>
                <w14:textFill>
                  <w14:solidFill>
                    <w14:schemeClr w14:val="tx1"/>
                  </w14:solidFill>
                </w14:textFill>
              </w:rPr>
            </w:pPr>
          </w:p>
        </w:tc>
      </w:tr>
    </w:tbl>
    <w:p>
      <w:pPr>
        <w:pStyle w:val="3"/>
        <w:spacing w:before="120" w:after="120" w:line="360" w:lineRule="auto"/>
        <w:rPr>
          <w:rFonts w:ascii="Times New Roman" w:hAnsi="Times New Roman" w:eastAsia="宋体"/>
          <w:caps w:val="0"/>
          <w:color w:val="000000" w:themeColor="text1"/>
          <w:sz w:val="28"/>
          <w:szCs w:val="28"/>
          <w:highlight w:val="none"/>
          <w14:textFill>
            <w14:solidFill>
              <w14:schemeClr w14:val="tx1"/>
            </w14:solidFill>
          </w14:textFill>
        </w:rPr>
      </w:pPr>
      <w:r>
        <w:rPr>
          <w:rFonts w:ascii="Times New Roman" w:hAnsi="Times New Roman" w:eastAsia="宋体"/>
          <w:caps w:val="0"/>
          <w:color w:val="000000" w:themeColor="text1"/>
          <w:sz w:val="28"/>
          <w:szCs w:val="28"/>
          <w:highlight w:val="none"/>
          <w14:textFill>
            <w14:solidFill>
              <w14:schemeClr w14:val="tx1"/>
            </w14:solidFill>
          </w14:textFill>
        </w:rPr>
        <w:t>环境质量状况</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5000" w:type="pct"/>
          </w:tcPr>
          <w:p>
            <w:pPr>
              <w:pStyle w:val="28"/>
              <w:spacing w:line="440" w:lineRule="exact"/>
              <w:rPr>
                <w:rFonts w:ascii="Times New Roman" w:hAnsi="Times New Roman" w:eastAsia="宋体"/>
                <w:b/>
                <w:bCs/>
                <w:caps w:val="0"/>
                <w:color w:val="000000" w:themeColor="text1"/>
                <w:highlight w:val="none"/>
                <w14:textFill>
                  <w14:solidFill>
                    <w14:schemeClr w14:val="tx1"/>
                  </w14:solidFill>
                </w14:textFill>
              </w:rPr>
            </w:pPr>
            <w:r>
              <w:rPr>
                <w:rFonts w:ascii="Times New Roman" w:hAnsi="Times New Roman" w:eastAsia="宋体"/>
                <w:b/>
                <w:bCs/>
                <w:caps w:val="0"/>
                <w:color w:val="000000" w:themeColor="text1"/>
                <w:highlight w:val="none"/>
                <w14:textFill>
                  <w14:solidFill>
                    <w14:schemeClr w14:val="tx1"/>
                  </w14:solidFill>
                </w14:textFill>
              </w:rPr>
              <w:t>建设项目所在地区域环境质量现状及主要环境问题（环境空气、地面水、地下水、声环境、生态环境等）</w:t>
            </w:r>
          </w:p>
          <w:p>
            <w:pPr>
              <w:pStyle w:val="12"/>
              <w:spacing w:line="460" w:lineRule="exact"/>
              <w:ind w:right="122" w:firstLine="361" w:firstLineChars="150"/>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1、环境空气质量现状</w:t>
            </w:r>
          </w:p>
          <w:p>
            <w:pPr>
              <w:spacing w:line="360" w:lineRule="auto"/>
              <w:ind w:firstLine="480" w:firstLineChars="200"/>
              <w:rPr>
                <w:rFonts w:ascii="Times New Roman" w:hAnsi="Times New Roman" w:eastAsia="宋体"/>
                <w:bCs/>
                <w:caps w:val="0"/>
                <w:color w:val="000000" w:themeColor="text1"/>
                <w:sz w:val="24"/>
                <w:highlight w:val="none"/>
                <w14:textFill>
                  <w14:solidFill>
                    <w14:schemeClr w14:val="tx1"/>
                  </w14:solidFill>
                </w14:textFill>
              </w:rPr>
            </w:pPr>
            <w:r>
              <w:rPr>
                <w:rFonts w:ascii="Times New Roman" w:hAnsi="Times New Roman" w:eastAsia="宋体"/>
                <w:bCs/>
                <w:caps w:val="0"/>
                <w:color w:val="000000" w:themeColor="text1"/>
                <w:sz w:val="24"/>
                <w:highlight w:val="none"/>
                <w14:textFill>
                  <w14:solidFill>
                    <w14:schemeClr w14:val="tx1"/>
                  </w14:solidFill>
                </w14:textFill>
              </w:rPr>
              <w:t>（1）区域环境空气达标情况</w:t>
            </w:r>
          </w:p>
          <w:p>
            <w:pPr>
              <w:tabs>
                <w:tab w:val="left" w:pos="1418"/>
              </w:tabs>
              <w:spacing w:line="360" w:lineRule="auto"/>
              <w:ind w:firstLine="480" w:firstLineChars="200"/>
              <w:rPr>
                <w:rFonts w:ascii="Times New Roman" w:hAnsi="Times New Roman" w:eastAsia="宋体"/>
                <w:bCs/>
                <w:caps w:val="0"/>
                <w:color w:val="000000" w:themeColor="text1"/>
                <w:sz w:val="24"/>
                <w:highlight w:val="none"/>
                <w14:textFill>
                  <w14:solidFill>
                    <w14:schemeClr w14:val="tx1"/>
                  </w14:solidFill>
                </w14:textFill>
              </w:rPr>
            </w:pPr>
            <w:r>
              <w:rPr>
                <w:rFonts w:ascii="Times New Roman" w:hAnsi="Times New Roman" w:eastAsia="宋体"/>
                <w:bCs/>
                <w:caps w:val="0"/>
                <w:color w:val="000000" w:themeColor="text1"/>
                <w:sz w:val="24"/>
                <w:highlight w:val="none"/>
                <w14:textFill>
                  <w14:solidFill>
                    <w14:schemeClr w14:val="tx1"/>
                  </w14:solidFill>
                </w14:textFill>
              </w:rPr>
              <w:t>根据《201</w:t>
            </w:r>
            <w:r>
              <w:rPr>
                <w:rFonts w:hint="eastAsia" w:ascii="Times New Roman" w:hAnsi="Times New Roman" w:eastAsia="宋体"/>
                <w:bCs/>
                <w:caps w:val="0"/>
                <w:color w:val="000000" w:themeColor="text1"/>
                <w:sz w:val="24"/>
                <w:highlight w:val="none"/>
                <w14:textFill>
                  <w14:solidFill>
                    <w14:schemeClr w14:val="tx1"/>
                  </w14:solidFill>
                </w14:textFill>
              </w:rPr>
              <w:t>9</w:t>
            </w:r>
            <w:r>
              <w:rPr>
                <w:rFonts w:ascii="Times New Roman" w:hAnsi="Times New Roman" w:eastAsia="宋体"/>
                <w:bCs/>
                <w:caps w:val="0"/>
                <w:color w:val="000000" w:themeColor="text1"/>
                <w:sz w:val="24"/>
                <w:highlight w:val="none"/>
                <w14:textFill>
                  <w14:solidFill>
                    <w14:schemeClr w14:val="tx1"/>
                  </w14:solidFill>
                </w14:textFill>
              </w:rPr>
              <w:t>年芜湖市生态环境状况公报》，</w:t>
            </w:r>
            <w:r>
              <w:rPr>
                <w:rFonts w:hint="eastAsia" w:ascii="Times New Roman" w:hAnsi="Times New Roman" w:eastAsia="宋体"/>
                <w:bCs/>
                <w:caps w:val="0"/>
                <w:color w:val="000000" w:themeColor="text1"/>
                <w:sz w:val="24"/>
                <w:highlight w:val="none"/>
                <w14:textFill>
                  <w14:solidFill>
                    <w14:schemeClr w14:val="tx1"/>
                  </w14:solidFill>
                </w14:textFill>
              </w:rPr>
              <w:t>根据《环境空气质量标准》（GB3095-2012）进行评价，全年环境空气优良天数为260天，优良率71.82%，优良天数比去年增加15天，轻度污染88天，中度污染12天，重度污染2天，无严重污染天气，重度污染天数比去年减少11天。</w:t>
            </w:r>
          </w:p>
          <w:p>
            <w:pPr>
              <w:spacing w:before="100" w:beforeAutospacing="1"/>
              <w:jc w:val="center"/>
              <w:rPr>
                <w:rFonts w:ascii="Times New Roman" w:hAnsi="Times New Roman" w:eastAsia="宋体"/>
                <w:b/>
                <w:caps w:val="0"/>
                <w:color w:val="000000" w:themeColor="text1"/>
                <w:sz w:val="24"/>
                <w:highlight w:val="none"/>
                <w:lang w:bidi="en-US"/>
                <w14:textFill>
                  <w14:solidFill>
                    <w14:schemeClr w14:val="tx1"/>
                  </w14:solidFill>
                </w14:textFill>
              </w:rPr>
            </w:pPr>
            <w:r>
              <w:rPr>
                <w:rFonts w:hint="eastAsia" w:ascii="Times New Roman" w:hAnsi="Times New Roman" w:eastAsia="宋体"/>
                <w:b/>
                <w:caps w:val="0"/>
                <w:color w:val="000000" w:themeColor="text1"/>
                <w:sz w:val="24"/>
                <w:highlight w:val="none"/>
                <w:lang w:bidi="en-US"/>
                <w14:textFill>
                  <w14:solidFill>
                    <w14:schemeClr w14:val="tx1"/>
                  </w14:solidFill>
                </w14:textFill>
              </w:rPr>
              <w:t>表</w:t>
            </w:r>
            <w:r>
              <w:rPr>
                <w:rFonts w:ascii="Times New Roman" w:hAnsi="Times New Roman" w:eastAsia="宋体"/>
                <w:b/>
                <w:caps w:val="0"/>
                <w:color w:val="000000" w:themeColor="text1"/>
                <w:sz w:val="24"/>
                <w:highlight w:val="none"/>
                <w:lang w:bidi="en-US"/>
                <w14:textFill>
                  <w14:solidFill>
                    <w14:schemeClr w14:val="tx1"/>
                  </w14:solidFill>
                </w14:textFill>
              </w:rPr>
              <w:t>3-1  2019</w:t>
            </w:r>
            <w:r>
              <w:rPr>
                <w:rFonts w:hint="eastAsia" w:ascii="Times New Roman" w:hAnsi="Times New Roman" w:eastAsia="宋体"/>
                <w:b/>
                <w:caps w:val="0"/>
                <w:color w:val="000000" w:themeColor="text1"/>
                <w:sz w:val="24"/>
                <w:highlight w:val="none"/>
                <w:lang w:bidi="en-US"/>
                <w14:textFill>
                  <w14:solidFill>
                    <w14:schemeClr w14:val="tx1"/>
                  </w14:solidFill>
                </w14:textFill>
              </w:rPr>
              <w:t>年度环境空气质量现状评价表</w:t>
            </w:r>
          </w:p>
          <w:tbl>
            <w:tblPr>
              <w:tblStyle w:val="32"/>
              <w:tblW w:w="5000" w:type="pct"/>
              <w:jc w:val="center"/>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762"/>
              <w:gridCol w:w="922"/>
              <w:gridCol w:w="1377"/>
              <w:gridCol w:w="986"/>
              <w:gridCol w:w="1052"/>
              <w:gridCol w:w="977"/>
              <w:gridCol w:w="982"/>
              <w:gridCol w:w="984"/>
              <w:gridCol w:w="984"/>
            </w:tblGrid>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22" w:type="pct"/>
                  <w:tcMar>
                    <w:top w:w="15" w:type="dxa"/>
                    <w:left w:w="15" w:type="dxa"/>
                    <w:bottom w:w="0" w:type="dxa"/>
                    <w:right w:w="15" w:type="dxa"/>
                  </w:tcMar>
                  <w:vAlign w:val="center"/>
                </w:tcPr>
                <w:p>
                  <w:pPr>
                    <w:pStyle w:val="12"/>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序号</w:t>
                  </w:r>
                </w:p>
              </w:tc>
              <w:tc>
                <w:tcPr>
                  <w:tcW w:w="511" w:type="pct"/>
                  <w:tcMar>
                    <w:top w:w="15" w:type="dxa"/>
                    <w:left w:w="15" w:type="dxa"/>
                    <w:bottom w:w="0" w:type="dxa"/>
                    <w:right w:w="15" w:type="dxa"/>
                  </w:tcMar>
                  <w:vAlign w:val="center"/>
                </w:tcPr>
                <w:p>
                  <w:pPr>
                    <w:pStyle w:val="12"/>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污染物</w:t>
                  </w:r>
                </w:p>
              </w:tc>
              <w:tc>
                <w:tcPr>
                  <w:tcW w:w="763" w:type="pct"/>
                  <w:tcMar>
                    <w:top w:w="15" w:type="dxa"/>
                    <w:left w:w="15" w:type="dxa"/>
                    <w:bottom w:w="0" w:type="dxa"/>
                    <w:right w:w="15" w:type="dxa"/>
                  </w:tcMar>
                  <w:vAlign w:val="center"/>
                </w:tcPr>
                <w:p>
                  <w:pPr>
                    <w:pStyle w:val="12"/>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评价指标</w:t>
                  </w:r>
                </w:p>
              </w:tc>
              <w:tc>
                <w:tcPr>
                  <w:tcW w:w="546" w:type="pct"/>
                  <w:tcMar>
                    <w:top w:w="15" w:type="dxa"/>
                    <w:left w:w="15" w:type="dxa"/>
                    <w:bottom w:w="0" w:type="dxa"/>
                    <w:right w:w="15" w:type="dxa"/>
                  </w:tcMar>
                  <w:vAlign w:val="center"/>
                </w:tcPr>
                <w:p>
                  <w:pPr>
                    <w:pStyle w:val="12"/>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单位</w:t>
                  </w:r>
                </w:p>
              </w:tc>
              <w:tc>
                <w:tcPr>
                  <w:tcW w:w="583" w:type="pct"/>
                  <w:tcMar>
                    <w:top w:w="15" w:type="dxa"/>
                    <w:left w:w="15" w:type="dxa"/>
                    <w:bottom w:w="0" w:type="dxa"/>
                    <w:right w:w="15" w:type="dxa"/>
                  </w:tcMar>
                  <w:vAlign w:val="center"/>
                </w:tcPr>
                <w:p>
                  <w:pPr>
                    <w:pStyle w:val="12"/>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2019</w:t>
                  </w:r>
                  <w:r>
                    <w:rPr>
                      <w:rFonts w:hint="eastAsia" w:ascii="Times New Roman" w:hAnsi="Times New Roman" w:eastAsia="宋体"/>
                      <w:b/>
                      <w:bCs/>
                      <w:caps w:val="0"/>
                      <w:color w:val="000000" w:themeColor="text1"/>
                      <w:sz w:val="21"/>
                      <w:szCs w:val="21"/>
                      <w:highlight w:val="none"/>
                      <w14:textFill>
                        <w14:solidFill>
                          <w14:schemeClr w14:val="tx1"/>
                        </w14:solidFill>
                      </w14:textFill>
                    </w:rPr>
                    <w:t>年基准年浓度</w:t>
                  </w:r>
                </w:p>
              </w:tc>
              <w:tc>
                <w:tcPr>
                  <w:tcW w:w="541" w:type="pct"/>
                  <w:tcMar>
                    <w:top w:w="15" w:type="dxa"/>
                    <w:left w:w="15" w:type="dxa"/>
                    <w:bottom w:w="0" w:type="dxa"/>
                    <w:right w:w="15" w:type="dxa"/>
                  </w:tcMar>
                  <w:vAlign w:val="center"/>
                </w:tcPr>
                <w:p>
                  <w:pPr>
                    <w:pStyle w:val="12"/>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标准限值</w:t>
                  </w:r>
                </w:p>
              </w:tc>
              <w:tc>
                <w:tcPr>
                  <w:tcW w:w="544" w:type="pct"/>
                  <w:tcMar>
                    <w:top w:w="15" w:type="dxa"/>
                    <w:left w:w="15" w:type="dxa"/>
                    <w:bottom w:w="0" w:type="dxa"/>
                    <w:right w:w="15" w:type="dxa"/>
                  </w:tcMar>
                  <w:vAlign w:val="center"/>
                </w:tcPr>
                <w:p>
                  <w:pPr>
                    <w:pStyle w:val="12"/>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占标率</w:t>
                  </w:r>
                  <w:r>
                    <w:rPr>
                      <w:rFonts w:ascii="Times New Roman" w:hAnsi="Times New Roman" w:eastAsia="宋体"/>
                      <w:b/>
                      <w:bCs/>
                      <w:caps w:val="0"/>
                      <w:color w:val="000000" w:themeColor="text1"/>
                      <w:sz w:val="21"/>
                      <w:szCs w:val="21"/>
                      <w:highlight w:val="none"/>
                      <w14:textFill>
                        <w14:solidFill>
                          <w14:schemeClr w14:val="tx1"/>
                        </w14:solidFill>
                      </w14:textFill>
                    </w:rPr>
                    <w:t>%</w:t>
                  </w:r>
                </w:p>
              </w:tc>
              <w:tc>
                <w:tcPr>
                  <w:tcW w:w="545" w:type="pct"/>
                  <w:tcMar>
                    <w:top w:w="15" w:type="dxa"/>
                    <w:left w:w="15" w:type="dxa"/>
                    <w:bottom w:w="0" w:type="dxa"/>
                    <w:right w:w="15" w:type="dxa"/>
                  </w:tcMar>
                  <w:vAlign w:val="center"/>
                </w:tcPr>
                <w:p>
                  <w:pPr>
                    <w:pStyle w:val="12"/>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达标情况</w:t>
                  </w:r>
                </w:p>
              </w:tc>
              <w:tc>
                <w:tcPr>
                  <w:tcW w:w="545" w:type="pct"/>
                  <w:vAlign w:val="center"/>
                </w:tcPr>
                <w:p>
                  <w:pPr>
                    <w:pStyle w:val="12"/>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判定结果</w:t>
                  </w: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07" w:hRule="atLeast"/>
                <w:jc w:val="center"/>
              </w:trPr>
              <w:tc>
                <w:tcPr>
                  <w:tcW w:w="422" w:type="pct"/>
                  <w:tcMar>
                    <w:top w:w="15" w:type="dxa"/>
                    <w:left w:w="15" w:type="dxa"/>
                    <w:bottom w:w="0" w:type="dxa"/>
                    <w:right w:w="15" w:type="dxa"/>
                  </w:tcMar>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w:t>
                  </w:r>
                </w:p>
              </w:tc>
              <w:tc>
                <w:tcPr>
                  <w:tcW w:w="51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bCs/>
                      <w:caps w:val="0"/>
                      <w:color w:val="000000" w:themeColor="text1"/>
                      <w:sz w:val="21"/>
                      <w:szCs w:val="21"/>
                      <w:highlight w:val="none"/>
                      <w14:textFill>
                        <w14:solidFill>
                          <w14:schemeClr w14:val="tx1"/>
                        </w14:solidFill>
                      </w14:textFill>
                    </w:rPr>
                    <w:t>SO</w:t>
                  </w:r>
                  <w:r>
                    <w:rPr>
                      <w:rFonts w:ascii="Times New Roman" w:hAnsi="Times New Roman" w:eastAsia="宋体"/>
                      <w:bCs/>
                      <w:caps w:val="0"/>
                      <w:color w:val="000000" w:themeColor="text1"/>
                      <w:sz w:val="21"/>
                      <w:szCs w:val="21"/>
                      <w:highlight w:val="none"/>
                      <w:vertAlign w:val="subscript"/>
                      <w14:textFill>
                        <w14:solidFill>
                          <w14:schemeClr w14:val="tx1"/>
                        </w14:solidFill>
                      </w14:textFill>
                    </w:rPr>
                    <w:t>2</w:t>
                  </w:r>
                </w:p>
              </w:tc>
              <w:tc>
                <w:tcPr>
                  <w:tcW w:w="76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年平均浓度</w:t>
                  </w:r>
                </w:p>
              </w:tc>
              <w:tc>
                <w:tcPr>
                  <w:tcW w:w="546"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lang w:bidi="en-US"/>
                      <w14:textFill>
                        <w14:solidFill>
                          <w14:schemeClr w14:val="tx1"/>
                        </w14:solidFill>
                      </w14:textFill>
                    </w:rPr>
                    <w:t>ug/m</w:t>
                  </w:r>
                  <w:r>
                    <w:rPr>
                      <w:rFonts w:ascii="Times New Roman" w:hAnsi="Times New Roman" w:eastAsia="宋体"/>
                      <w:caps w:val="0"/>
                      <w:color w:val="000000" w:themeColor="text1"/>
                      <w:sz w:val="21"/>
                      <w:szCs w:val="21"/>
                      <w:highlight w:val="none"/>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10</w:t>
                  </w:r>
                </w:p>
              </w:tc>
              <w:tc>
                <w:tcPr>
                  <w:tcW w:w="54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60</w:t>
                  </w:r>
                </w:p>
              </w:tc>
              <w:tc>
                <w:tcPr>
                  <w:tcW w:w="544"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16.7</w:t>
                  </w:r>
                </w:p>
              </w:tc>
              <w:tc>
                <w:tcPr>
                  <w:tcW w:w="545"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达标</w:t>
                  </w:r>
                </w:p>
              </w:tc>
              <w:tc>
                <w:tcPr>
                  <w:tcW w:w="545" w:type="pct"/>
                  <w:vMerge w:val="restart"/>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不达标区</w:t>
                  </w: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22" w:type="pct"/>
                  <w:tcMar>
                    <w:top w:w="15" w:type="dxa"/>
                    <w:left w:w="15" w:type="dxa"/>
                    <w:bottom w:w="0" w:type="dxa"/>
                    <w:right w:w="15" w:type="dxa"/>
                  </w:tcMar>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w:t>
                  </w:r>
                </w:p>
              </w:tc>
              <w:tc>
                <w:tcPr>
                  <w:tcW w:w="51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bCs/>
                      <w:caps w:val="0"/>
                      <w:color w:val="000000" w:themeColor="text1"/>
                      <w:sz w:val="21"/>
                      <w:szCs w:val="21"/>
                      <w:highlight w:val="none"/>
                      <w14:textFill>
                        <w14:solidFill>
                          <w14:schemeClr w14:val="tx1"/>
                        </w14:solidFill>
                      </w14:textFill>
                    </w:rPr>
                    <w:t>NO</w:t>
                  </w:r>
                  <w:r>
                    <w:rPr>
                      <w:rFonts w:ascii="Times New Roman" w:hAnsi="Times New Roman" w:eastAsia="宋体"/>
                      <w:bCs/>
                      <w:caps w:val="0"/>
                      <w:color w:val="000000" w:themeColor="text1"/>
                      <w:sz w:val="21"/>
                      <w:szCs w:val="21"/>
                      <w:highlight w:val="none"/>
                      <w:vertAlign w:val="subscript"/>
                      <w14:textFill>
                        <w14:solidFill>
                          <w14:schemeClr w14:val="tx1"/>
                        </w14:solidFill>
                      </w14:textFill>
                    </w:rPr>
                    <w:t>2</w:t>
                  </w:r>
                </w:p>
              </w:tc>
              <w:tc>
                <w:tcPr>
                  <w:tcW w:w="76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年平均浓度</w:t>
                  </w:r>
                </w:p>
              </w:tc>
              <w:tc>
                <w:tcPr>
                  <w:tcW w:w="546"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lang w:bidi="en-US"/>
                      <w14:textFill>
                        <w14:solidFill>
                          <w14:schemeClr w14:val="tx1"/>
                        </w14:solidFill>
                      </w14:textFill>
                    </w:rPr>
                    <w:t>ug/m</w:t>
                  </w:r>
                  <w:r>
                    <w:rPr>
                      <w:rFonts w:ascii="Times New Roman" w:hAnsi="Times New Roman" w:eastAsia="宋体"/>
                      <w:caps w:val="0"/>
                      <w:color w:val="000000" w:themeColor="text1"/>
                      <w:sz w:val="21"/>
                      <w:szCs w:val="21"/>
                      <w:highlight w:val="none"/>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23</w:t>
                  </w:r>
                </w:p>
              </w:tc>
              <w:tc>
                <w:tcPr>
                  <w:tcW w:w="54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40</w:t>
                  </w:r>
                </w:p>
              </w:tc>
              <w:tc>
                <w:tcPr>
                  <w:tcW w:w="544"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57.5</w:t>
                  </w:r>
                </w:p>
              </w:tc>
              <w:tc>
                <w:tcPr>
                  <w:tcW w:w="545"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达标</w:t>
                  </w:r>
                </w:p>
              </w:tc>
              <w:tc>
                <w:tcPr>
                  <w:tcW w:w="545" w:type="pct"/>
                  <w:vMerge w:val="continue"/>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22" w:type="pct"/>
                  <w:tcMar>
                    <w:top w:w="15" w:type="dxa"/>
                    <w:left w:w="15" w:type="dxa"/>
                    <w:bottom w:w="0" w:type="dxa"/>
                    <w:right w:w="15" w:type="dxa"/>
                  </w:tcMar>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w:t>
                  </w:r>
                </w:p>
              </w:tc>
              <w:tc>
                <w:tcPr>
                  <w:tcW w:w="51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bCs/>
                      <w:caps w:val="0"/>
                      <w:color w:val="000000" w:themeColor="text1"/>
                      <w:sz w:val="21"/>
                      <w:szCs w:val="21"/>
                      <w:highlight w:val="none"/>
                      <w14:textFill>
                        <w14:solidFill>
                          <w14:schemeClr w14:val="tx1"/>
                        </w14:solidFill>
                      </w14:textFill>
                    </w:rPr>
                    <w:t>PM</w:t>
                  </w:r>
                  <w:r>
                    <w:rPr>
                      <w:rFonts w:ascii="Times New Roman" w:hAnsi="Times New Roman" w:eastAsia="宋体"/>
                      <w:bCs/>
                      <w:caps w:val="0"/>
                      <w:color w:val="000000" w:themeColor="text1"/>
                      <w:sz w:val="21"/>
                      <w:szCs w:val="21"/>
                      <w:highlight w:val="none"/>
                      <w:vertAlign w:val="subscript"/>
                      <w14:textFill>
                        <w14:solidFill>
                          <w14:schemeClr w14:val="tx1"/>
                        </w14:solidFill>
                      </w14:textFill>
                    </w:rPr>
                    <w:t>10</w:t>
                  </w:r>
                </w:p>
              </w:tc>
              <w:tc>
                <w:tcPr>
                  <w:tcW w:w="76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年平均浓度</w:t>
                  </w:r>
                </w:p>
              </w:tc>
              <w:tc>
                <w:tcPr>
                  <w:tcW w:w="546"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lang w:bidi="en-US"/>
                      <w14:textFill>
                        <w14:solidFill>
                          <w14:schemeClr w14:val="tx1"/>
                        </w14:solidFill>
                      </w14:textFill>
                    </w:rPr>
                    <w:t>ug/m</w:t>
                  </w:r>
                  <w:r>
                    <w:rPr>
                      <w:rFonts w:ascii="Times New Roman" w:hAnsi="Times New Roman" w:eastAsia="宋体"/>
                      <w:caps w:val="0"/>
                      <w:color w:val="000000" w:themeColor="text1"/>
                      <w:sz w:val="21"/>
                      <w:szCs w:val="21"/>
                      <w:highlight w:val="none"/>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67</w:t>
                  </w:r>
                </w:p>
              </w:tc>
              <w:tc>
                <w:tcPr>
                  <w:tcW w:w="54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70</w:t>
                  </w:r>
                </w:p>
              </w:tc>
              <w:tc>
                <w:tcPr>
                  <w:tcW w:w="544"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95.7</w:t>
                  </w:r>
                </w:p>
              </w:tc>
              <w:tc>
                <w:tcPr>
                  <w:tcW w:w="545"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达标</w:t>
                  </w:r>
                </w:p>
              </w:tc>
              <w:tc>
                <w:tcPr>
                  <w:tcW w:w="545" w:type="pct"/>
                  <w:vMerge w:val="continue"/>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22" w:type="pct"/>
                  <w:tcMar>
                    <w:top w:w="15" w:type="dxa"/>
                    <w:left w:w="15" w:type="dxa"/>
                    <w:bottom w:w="0" w:type="dxa"/>
                    <w:right w:w="15" w:type="dxa"/>
                  </w:tcMar>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4</w:t>
                  </w:r>
                </w:p>
              </w:tc>
              <w:tc>
                <w:tcPr>
                  <w:tcW w:w="51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bCs/>
                      <w:caps w:val="0"/>
                      <w:color w:val="000000" w:themeColor="text1"/>
                      <w:sz w:val="21"/>
                      <w:szCs w:val="21"/>
                      <w:highlight w:val="none"/>
                      <w14:textFill>
                        <w14:solidFill>
                          <w14:schemeClr w14:val="tx1"/>
                        </w14:solidFill>
                      </w14:textFill>
                    </w:rPr>
                    <w:t>PM</w:t>
                  </w:r>
                  <w:r>
                    <w:rPr>
                      <w:rFonts w:ascii="Times New Roman" w:hAnsi="Times New Roman" w:eastAsia="宋体"/>
                      <w:bCs/>
                      <w:caps w:val="0"/>
                      <w:color w:val="000000" w:themeColor="text1"/>
                      <w:sz w:val="21"/>
                      <w:szCs w:val="21"/>
                      <w:highlight w:val="none"/>
                      <w:vertAlign w:val="subscript"/>
                      <w14:textFill>
                        <w14:solidFill>
                          <w14:schemeClr w14:val="tx1"/>
                        </w14:solidFill>
                      </w14:textFill>
                    </w:rPr>
                    <w:t>2.5</w:t>
                  </w:r>
                </w:p>
              </w:tc>
              <w:tc>
                <w:tcPr>
                  <w:tcW w:w="76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年平均浓度</w:t>
                  </w:r>
                </w:p>
              </w:tc>
              <w:tc>
                <w:tcPr>
                  <w:tcW w:w="546"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lang w:bidi="en-US"/>
                      <w14:textFill>
                        <w14:solidFill>
                          <w14:schemeClr w14:val="tx1"/>
                        </w14:solidFill>
                      </w14:textFill>
                    </w:rPr>
                    <w:t>ug/m</w:t>
                  </w:r>
                  <w:r>
                    <w:rPr>
                      <w:rFonts w:ascii="Times New Roman" w:hAnsi="Times New Roman" w:eastAsia="宋体"/>
                      <w:caps w:val="0"/>
                      <w:color w:val="000000" w:themeColor="text1"/>
                      <w:sz w:val="21"/>
                      <w:szCs w:val="21"/>
                      <w:highlight w:val="none"/>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44</w:t>
                  </w:r>
                </w:p>
              </w:tc>
              <w:tc>
                <w:tcPr>
                  <w:tcW w:w="54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35</w:t>
                  </w:r>
                </w:p>
              </w:tc>
              <w:tc>
                <w:tcPr>
                  <w:tcW w:w="544"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125.7</w:t>
                  </w:r>
                </w:p>
              </w:tc>
              <w:tc>
                <w:tcPr>
                  <w:tcW w:w="545"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不达标</w:t>
                  </w:r>
                </w:p>
              </w:tc>
              <w:tc>
                <w:tcPr>
                  <w:tcW w:w="545" w:type="pct"/>
                  <w:vMerge w:val="continue"/>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422" w:type="pct"/>
                  <w:tcMar>
                    <w:top w:w="15" w:type="dxa"/>
                    <w:left w:w="15" w:type="dxa"/>
                    <w:bottom w:w="0" w:type="dxa"/>
                    <w:right w:w="15" w:type="dxa"/>
                  </w:tcMar>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5</w:t>
                  </w:r>
                </w:p>
              </w:tc>
              <w:tc>
                <w:tcPr>
                  <w:tcW w:w="51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bCs/>
                      <w:caps w:val="0"/>
                      <w:color w:val="000000" w:themeColor="text1"/>
                      <w:sz w:val="21"/>
                      <w:szCs w:val="21"/>
                      <w:highlight w:val="none"/>
                      <w14:textFill>
                        <w14:solidFill>
                          <w14:schemeClr w14:val="tx1"/>
                        </w14:solidFill>
                      </w14:textFill>
                    </w:rPr>
                    <w:t>CO</w:t>
                  </w:r>
                </w:p>
              </w:tc>
              <w:tc>
                <w:tcPr>
                  <w:tcW w:w="76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全年日均值</w:t>
                  </w:r>
                </w:p>
              </w:tc>
              <w:tc>
                <w:tcPr>
                  <w:tcW w:w="546"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lang w:bidi="en-US"/>
                      <w14:textFill>
                        <w14:solidFill>
                          <w14:schemeClr w14:val="tx1"/>
                        </w14:solidFill>
                      </w14:textFill>
                    </w:rPr>
                    <w:t>mg/m</w:t>
                  </w:r>
                  <w:r>
                    <w:rPr>
                      <w:rFonts w:ascii="Times New Roman" w:hAnsi="Times New Roman" w:eastAsia="宋体"/>
                      <w:caps w:val="0"/>
                      <w:color w:val="000000" w:themeColor="text1"/>
                      <w:sz w:val="21"/>
                      <w:szCs w:val="21"/>
                      <w:highlight w:val="none"/>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1.3</w:t>
                  </w:r>
                </w:p>
              </w:tc>
              <w:tc>
                <w:tcPr>
                  <w:tcW w:w="54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4</w:t>
                  </w:r>
                </w:p>
              </w:tc>
              <w:tc>
                <w:tcPr>
                  <w:tcW w:w="544"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32.5</w:t>
                  </w:r>
                </w:p>
              </w:tc>
              <w:tc>
                <w:tcPr>
                  <w:tcW w:w="545"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达标</w:t>
                  </w:r>
                </w:p>
              </w:tc>
              <w:tc>
                <w:tcPr>
                  <w:tcW w:w="545" w:type="pct"/>
                  <w:vMerge w:val="continue"/>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000000" w:sz="4" w:space="0"/>
                  <w:left w:val="none" w:color="auto" w:sz="0" w:space="0"/>
                  <w:bottom w:val="single" w:color="000000" w:sz="4"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422" w:type="pct"/>
                  <w:tcMar>
                    <w:top w:w="15" w:type="dxa"/>
                    <w:left w:w="15" w:type="dxa"/>
                    <w:bottom w:w="0" w:type="dxa"/>
                    <w:right w:w="15" w:type="dxa"/>
                  </w:tcMar>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6</w:t>
                  </w:r>
                </w:p>
              </w:tc>
              <w:tc>
                <w:tcPr>
                  <w:tcW w:w="51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bCs/>
                      <w:caps w:val="0"/>
                      <w:color w:val="000000" w:themeColor="text1"/>
                      <w:sz w:val="21"/>
                      <w:szCs w:val="21"/>
                      <w:highlight w:val="none"/>
                      <w14:textFill>
                        <w14:solidFill>
                          <w14:schemeClr w14:val="tx1"/>
                        </w14:solidFill>
                      </w14:textFill>
                    </w:rPr>
                    <w:t>O</w:t>
                  </w:r>
                  <w:r>
                    <w:rPr>
                      <w:rFonts w:ascii="Times New Roman" w:hAnsi="Times New Roman" w:eastAsia="宋体"/>
                      <w:bCs/>
                      <w:caps w:val="0"/>
                      <w:color w:val="000000" w:themeColor="text1"/>
                      <w:sz w:val="21"/>
                      <w:szCs w:val="21"/>
                      <w:highlight w:val="none"/>
                      <w:vertAlign w:val="subscript"/>
                      <w14:textFill>
                        <w14:solidFill>
                          <w14:schemeClr w14:val="tx1"/>
                        </w14:solidFill>
                      </w14:textFill>
                    </w:rPr>
                    <w:t>3</w:t>
                  </w:r>
                </w:p>
              </w:tc>
              <w:tc>
                <w:tcPr>
                  <w:tcW w:w="76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全年日</w:t>
                  </w:r>
                  <w:r>
                    <w:rPr>
                      <w:rFonts w:ascii="Times New Roman" w:hAnsi="Times New Roman" w:eastAsia="宋体"/>
                      <w:caps w:val="0"/>
                      <w:color w:val="000000" w:themeColor="text1"/>
                      <w:sz w:val="21"/>
                      <w:szCs w:val="21"/>
                      <w:highlight w:val="none"/>
                      <w14:textFill>
                        <w14:solidFill>
                          <w14:schemeClr w14:val="tx1"/>
                        </w14:solidFill>
                      </w14:textFill>
                    </w:rPr>
                    <w:t>8</w:t>
                  </w:r>
                  <w:r>
                    <w:rPr>
                      <w:rFonts w:hint="eastAsia" w:ascii="Times New Roman" w:hAnsi="Times New Roman" w:eastAsia="宋体"/>
                      <w:caps w:val="0"/>
                      <w:color w:val="000000" w:themeColor="text1"/>
                      <w:sz w:val="21"/>
                      <w:szCs w:val="21"/>
                      <w:highlight w:val="none"/>
                      <w14:textFill>
                        <w14:solidFill>
                          <w14:schemeClr w14:val="tx1"/>
                        </w14:solidFill>
                      </w14:textFill>
                    </w:rPr>
                    <w:t>小时均值</w:t>
                  </w:r>
                </w:p>
              </w:tc>
              <w:tc>
                <w:tcPr>
                  <w:tcW w:w="546"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lang w:bidi="en-US"/>
                      <w14:textFill>
                        <w14:solidFill>
                          <w14:schemeClr w14:val="tx1"/>
                        </w14:solidFill>
                      </w14:textFill>
                    </w:rPr>
                    <w:t>ug/m</w:t>
                  </w:r>
                  <w:r>
                    <w:rPr>
                      <w:rFonts w:ascii="Times New Roman" w:hAnsi="Times New Roman" w:eastAsia="宋体"/>
                      <w:caps w:val="0"/>
                      <w:color w:val="000000" w:themeColor="text1"/>
                      <w:sz w:val="21"/>
                      <w:szCs w:val="21"/>
                      <w:highlight w:val="none"/>
                      <w:vertAlign w:val="superscript"/>
                      <w:lang w:bidi="en-US"/>
                      <w14:textFill>
                        <w14:solidFill>
                          <w14:schemeClr w14:val="tx1"/>
                        </w14:solidFill>
                      </w14:textFill>
                    </w:rPr>
                    <w:t>3</w:t>
                  </w:r>
                </w:p>
              </w:tc>
              <w:tc>
                <w:tcPr>
                  <w:tcW w:w="583"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185</w:t>
                  </w:r>
                </w:p>
              </w:tc>
              <w:tc>
                <w:tcPr>
                  <w:tcW w:w="541"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160</w:t>
                  </w:r>
                </w:p>
              </w:tc>
              <w:tc>
                <w:tcPr>
                  <w:tcW w:w="544"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115.6</w:t>
                  </w:r>
                </w:p>
              </w:tc>
              <w:tc>
                <w:tcPr>
                  <w:tcW w:w="545" w:type="pct"/>
                  <w:tcMar>
                    <w:top w:w="15" w:type="dxa"/>
                    <w:left w:w="15" w:type="dxa"/>
                    <w:bottom w:w="0" w:type="dxa"/>
                    <w:right w:w="15" w:type="dxa"/>
                  </w:tcMar>
                  <w:vAlign w:val="center"/>
                </w:tcPr>
                <w:p>
                  <w:pPr>
                    <w:pStyle w:val="12"/>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不达标</w:t>
                  </w:r>
                </w:p>
              </w:tc>
              <w:tc>
                <w:tcPr>
                  <w:tcW w:w="545" w:type="pct"/>
                  <w:vMerge w:val="continue"/>
                  <w:vAlign w:val="center"/>
                </w:tcPr>
                <w:p>
                  <w:pPr>
                    <w:pStyle w:val="12"/>
                    <w:jc w:val="center"/>
                    <w:rPr>
                      <w:rFonts w:ascii="Times New Roman" w:hAnsi="Times New Roman" w:eastAsia="宋体"/>
                      <w:caps w:val="0"/>
                      <w:color w:val="000000" w:themeColor="text1"/>
                      <w:sz w:val="21"/>
                      <w:szCs w:val="21"/>
                      <w:highlight w:val="none"/>
                      <w14:textFill>
                        <w14:solidFill>
                          <w14:schemeClr w14:val="tx1"/>
                        </w14:solidFill>
                      </w14:textFill>
                    </w:rPr>
                  </w:pPr>
                </w:p>
              </w:tc>
            </w:tr>
          </w:tbl>
          <w:p>
            <w:pPr>
              <w:tabs>
                <w:tab w:val="left" w:pos="1418"/>
              </w:tabs>
              <w:spacing w:line="360" w:lineRule="auto"/>
              <w:ind w:firstLine="480" w:firstLineChars="200"/>
              <w:rPr>
                <w:rFonts w:ascii="Times New Roman" w:hAnsi="Times New Roman" w:eastAsia="宋体"/>
                <w:bCs/>
                <w:caps w:val="0"/>
                <w:color w:val="000000" w:themeColor="text1"/>
                <w:sz w:val="24"/>
                <w:highlight w:val="none"/>
                <w14:textFill>
                  <w14:solidFill>
                    <w14:schemeClr w14:val="tx1"/>
                  </w14:solidFill>
                </w14:textFill>
              </w:rPr>
            </w:pPr>
            <w:r>
              <w:rPr>
                <w:rFonts w:ascii="Times New Roman" w:hAnsi="Times New Roman" w:eastAsia="宋体"/>
                <w:bCs/>
                <w:caps w:val="0"/>
                <w:color w:val="000000" w:themeColor="text1"/>
                <w:sz w:val="24"/>
                <w:highlight w:val="none"/>
                <w14:textFill>
                  <w14:solidFill>
                    <w14:schemeClr w14:val="tx1"/>
                  </w14:solidFill>
                </w14:textFill>
              </w:rPr>
              <w:t>项目位于</w:t>
            </w:r>
            <w:r>
              <w:rPr>
                <w:rFonts w:hint="eastAsia" w:ascii="Times New Roman" w:hAnsi="Times New Roman" w:eastAsia="宋体"/>
                <w:bCs/>
                <w:caps w:val="0"/>
                <w:color w:val="000000" w:themeColor="text1"/>
                <w:sz w:val="24"/>
                <w:highlight w:val="none"/>
                <w14:textFill>
                  <w14:solidFill>
                    <w14:schemeClr w14:val="tx1"/>
                  </w14:solidFill>
                </w14:textFill>
              </w:rPr>
              <w:t>繁昌经济开发区孙村园区</w:t>
            </w:r>
            <w:r>
              <w:rPr>
                <w:rFonts w:ascii="Times New Roman" w:hAnsi="Times New Roman" w:eastAsia="宋体"/>
                <w:bCs/>
                <w:caps w:val="0"/>
                <w:color w:val="000000" w:themeColor="text1"/>
                <w:sz w:val="24"/>
                <w:highlight w:val="none"/>
                <w14:textFill>
                  <w14:solidFill>
                    <w14:schemeClr w14:val="tx1"/>
                  </w14:solidFill>
                </w14:textFill>
              </w:rPr>
              <w:t>，根据《201</w:t>
            </w:r>
            <w:r>
              <w:rPr>
                <w:rFonts w:hint="eastAsia" w:ascii="Times New Roman" w:hAnsi="Times New Roman" w:eastAsia="宋体"/>
                <w:bCs/>
                <w:caps w:val="0"/>
                <w:color w:val="000000" w:themeColor="text1"/>
                <w:sz w:val="24"/>
                <w:highlight w:val="none"/>
                <w14:textFill>
                  <w14:solidFill>
                    <w14:schemeClr w14:val="tx1"/>
                  </w14:solidFill>
                </w14:textFill>
              </w:rPr>
              <w:t>9</w:t>
            </w:r>
            <w:r>
              <w:rPr>
                <w:rFonts w:ascii="Times New Roman" w:hAnsi="Times New Roman" w:eastAsia="宋体"/>
                <w:bCs/>
                <w:caps w:val="0"/>
                <w:color w:val="000000" w:themeColor="text1"/>
                <w:sz w:val="24"/>
                <w:highlight w:val="none"/>
                <w14:textFill>
                  <w14:solidFill>
                    <w14:schemeClr w14:val="tx1"/>
                  </w14:solidFill>
                </w14:textFill>
              </w:rPr>
              <w:t>年芜湖市生态环境状况公报》，</w:t>
            </w:r>
            <w:r>
              <w:rPr>
                <w:rFonts w:hint="eastAsia" w:ascii="Times New Roman" w:hAnsi="Times New Roman" w:eastAsia="宋体"/>
                <w:bCs/>
                <w:caps w:val="0"/>
                <w:color w:val="000000" w:themeColor="text1"/>
                <w:sz w:val="24"/>
                <w:highlight w:val="none"/>
                <w:lang w:val="en-US" w:eastAsia="zh-CN"/>
                <w14:textFill>
                  <w14:solidFill>
                    <w14:schemeClr w14:val="tx1"/>
                  </w14:solidFill>
                </w14:textFill>
              </w:rPr>
              <w:t>部分</w:t>
            </w:r>
            <w:r>
              <w:rPr>
                <w:rFonts w:ascii="Times New Roman" w:hAnsi="Times New Roman" w:eastAsia="宋体"/>
                <w:bCs/>
                <w:caps w:val="0"/>
                <w:color w:val="000000" w:themeColor="text1"/>
                <w:sz w:val="24"/>
                <w:highlight w:val="none"/>
                <w14:textFill>
                  <w14:solidFill>
                    <w14:schemeClr w14:val="tx1"/>
                  </w14:solidFill>
                </w14:textFill>
              </w:rPr>
              <w:t>指标不满足环境空气质量二级标准，超标因子为PM</w:t>
            </w:r>
            <w:r>
              <w:rPr>
                <w:rFonts w:hint="eastAsia" w:ascii="Times New Roman" w:hAnsi="Times New Roman" w:eastAsia="宋体"/>
                <w:bCs/>
                <w:caps w:val="0"/>
                <w:color w:val="000000" w:themeColor="text1"/>
                <w:sz w:val="24"/>
                <w:highlight w:val="none"/>
                <w:vertAlign w:val="subscript"/>
                <w:lang w:val="en-US" w:eastAsia="zh-CN"/>
                <w14:textFill>
                  <w14:solidFill>
                    <w14:schemeClr w14:val="tx1"/>
                  </w14:solidFill>
                </w14:textFill>
              </w:rPr>
              <w:t>2.5</w:t>
            </w:r>
            <w:r>
              <w:rPr>
                <w:rFonts w:ascii="Times New Roman" w:hAnsi="Times New Roman" w:eastAsia="宋体"/>
                <w:bCs/>
                <w:caps w:val="0"/>
                <w:color w:val="000000" w:themeColor="text1"/>
                <w:sz w:val="24"/>
                <w:highlight w:val="none"/>
                <w14:textFill>
                  <w14:solidFill>
                    <w14:schemeClr w14:val="tx1"/>
                  </w14:solidFill>
                </w14:textFill>
              </w:rPr>
              <w:t>、O</w:t>
            </w:r>
            <w:r>
              <w:rPr>
                <w:rFonts w:ascii="Times New Roman" w:hAnsi="Times New Roman" w:eastAsia="宋体"/>
                <w:bCs/>
                <w:caps w:val="0"/>
                <w:color w:val="000000" w:themeColor="text1"/>
                <w:sz w:val="24"/>
                <w:highlight w:val="none"/>
                <w:vertAlign w:val="subscript"/>
                <w14:textFill>
                  <w14:solidFill>
                    <w14:schemeClr w14:val="tx1"/>
                  </w14:solidFill>
                </w14:textFill>
              </w:rPr>
              <w:t>3</w:t>
            </w:r>
            <w:r>
              <w:rPr>
                <w:rFonts w:ascii="Times New Roman" w:hAnsi="Times New Roman" w:eastAsia="宋体"/>
                <w:bCs/>
                <w:caps w:val="0"/>
                <w:color w:val="000000" w:themeColor="text1"/>
                <w:sz w:val="24"/>
                <w:highlight w:val="none"/>
                <w14:textFill>
                  <w14:solidFill>
                    <w14:schemeClr w14:val="tx1"/>
                  </w14:solidFill>
                </w14:textFill>
              </w:rPr>
              <w:t>。本项目所在区环境空气质量为不达标区域。</w:t>
            </w:r>
          </w:p>
          <w:p>
            <w:pPr>
              <w:pStyle w:val="12"/>
              <w:spacing w:line="460" w:lineRule="exact"/>
              <w:ind w:right="122" w:firstLine="482" w:firstLineChars="200"/>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2、地表水环境质量</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为了解项目所在区域的环境质量现状，</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引用</w:t>
            </w:r>
            <w:r>
              <w:rPr>
                <w:rFonts w:hint="eastAsia" w:ascii="Times New Roman" w:hAnsi="Times New Roman" w:eastAsia="宋体"/>
                <w:caps w:val="0"/>
                <w:color w:val="000000" w:themeColor="text1"/>
                <w:sz w:val="24"/>
                <w:highlight w:val="none"/>
                <w14:textFill>
                  <w14:solidFill>
                    <w14:schemeClr w14:val="tx1"/>
                  </w14:solidFill>
                </w14:textFill>
              </w:rPr>
              <w:t>安徽威正测试技术有限公司于2020年7月30日~31日对项目周边进行水环境质量现状监测</w:t>
            </w:r>
            <w:r>
              <w:rPr>
                <w:rFonts w:ascii="Times New Roman" w:hAnsi="Times New Roman" w:eastAsia="宋体"/>
                <w:caps w:val="0"/>
                <w:color w:val="000000" w:themeColor="text1"/>
                <w:sz w:val="24"/>
                <w:highlight w:val="none"/>
                <w14:textFill>
                  <w14:solidFill>
                    <w14:schemeClr w14:val="tx1"/>
                  </w14:solidFill>
                </w14:textFill>
              </w:rPr>
              <w:t>。</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（1）监测断面设置</w:t>
            </w:r>
          </w:p>
          <w:p>
            <w:pPr>
              <w:spacing w:line="360" w:lineRule="auto"/>
              <w:ind w:firstLine="600" w:firstLineChars="25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监测点位详见表3-</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w:t>
            </w:r>
          </w:p>
          <w:p>
            <w:pPr>
              <w:spacing w:line="360" w:lineRule="auto"/>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表3</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-2</w:t>
            </w:r>
            <w:r>
              <w:rPr>
                <w:rFonts w:ascii="Times New Roman" w:hAnsi="Times New Roman" w:eastAsia="宋体"/>
                <w:b/>
                <w:caps w:val="0"/>
                <w:color w:val="000000" w:themeColor="text1"/>
                <w:sz w:val="24"/>
                <w:highlight w:val="none"/>
                <w14:textFill>
                  <w14:solidFill>
                    <w14:schemeClr w14:val="tx1"/>
                  </w14:solidFill>
                </w14:textFill>
              </w:rPr>
              <w:t xml:space="preserve">  地表水水质现状监测一览表</w:t>
            </w:r>
          </w:p>
          <w:tbl>
            <w:tblPr>
              <w:tblStyle w:val="32"/>
              <w:tblW w:w="4999" w:type="pct"/>
              <w:jc w:val="center"/>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590"/>
              <w:gridCol w:w="1532"/>
              <w:gridCol w:w="5902"/>
            </w:tblGrid>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881"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序号</w:t>
                  </w:r>
                </w:p>
              </w:tc>
              <w:tc>
                <w:tcPr>
                  <w:tcW w:w="4119" w:type="pct"/>
                  <w:gridSpan w:val="2"/>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断面位置</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81"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W1</w:t>
                  </w:r>
                </w:p>
              </w:tc>
              <w:tc>
                <w:tcPr>
                  <w:tcW w:w="849" w:type="pct"/>
                  <w:vMerge w:val="restar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犁山河</w:t>
                  </w:r>
                </w:p>
              </w:tc>
              <w:tc>
                <w:tcPr>
                  <w:tcW w:w="3270"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排污口上游500m</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81"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W2</w:t>
                  </w:r>
                </w:p>
              </w:tc>
              <w:tc>
                <w:tcPr>
                  <w:tcW w:w="849" w:type="pct"/>
                  <w:vMerge w:val="continue"/>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3270"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排污口下游500m</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881"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W3</w:t>
                  </w:r>
                </w:p>
              </w:tc>
              <w:tc>
                <w:tcPr>
                  <w:tcW w:w="849" w:type="pct"/>
                  <w:vMerge w:val="continue"/>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3270" w:type="pct"/>
                  <w:tcBorders>
                    <w:tl2br w:val="nil"/>
                    <w:tr2bl w:val="nil"/>
                  </w:tcBorders>
                  <w:vAlign w:val="center"/>
                </w:tcPr>
                <w:p>
                  <w:pPr>
                    <w:autoSpaceDE w:val="0"/>
                    <w:autoSpaceDN w:val="0"/>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排污口下游1500m</w:t>
                  </w:r>
                </w:p>
              </w:tc>
            </w:tr>
          </w:tbl>
          <w:p>
            <w:pPr>
              <w:spacing w:line="52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（2）监测项目、频次</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监测项目：pH、COD、BOD</w:t>
            </w:r>
            <w:r>
              <w:rPr>
                <w:rFonts w:ascii="Times New Roman" w:hAnsi="Times New Roman" w:eastAsia="宋体"/>
                <w:caps w:val="0"/>
                <w:color w:val="000000" w:themeColor="text1"/>
                <w:sz w:val="24"/>
                <w:highlight w:val="none"/>
                <w:vertAlign w:val="subscript"/>
                <w14:textFill>
                  <w14:solidFill>
                    <w14:schemeClr w14:val="tx1"/>
                  </w14:solidFill>
                </w14:textFill>
              </w:rPr>
              <w:t>5</w:t>
            </w:r>
            <w:r>
              <w:rPr>
                <w:rFonts w:ascii="Times New Roman" w:hAnsi="Times New Roman" w:eastAsia="宋体"/>
                <w:caps w:val="0"/>
                <w:color w:val="000000" w:themeColor="text1"/>
                <w:sz w:val="24"/>
                <w:highlight w:val="none"/>
                <w14:textFill>
                  <w14:solidFill>
                    <w14:schemeClr w14:val="tx1"/>
                  </w14:solidFill>
                </w14:textFill>
              </w:rPr>
              <w:t>、NH</w:t>
            </w:r>
            <w:r>
              <w:rPr>
                <w:rFonts w:ascii="Times New Roman" w:hAnsi="Times New Roman" w:eastAsia="宋体"/>
                <w:caps w:val="0"/>
                <w:color w:val="000000" w:themeColor="text1"/>
                <w:sz w:val="24"/>
                <w:highlight w:val="none"/>
                <w:vertAlign w:val="subscript"/>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-N、SS、石油类</w:t>
            </w:r>
            <w:r>
              <w:rPr>
                <w:rFonts w:hint="eastAsia" w:ascii="Times New Roman" w:hAnsi="Times New Roman" w:eastAsia="宋体"/>
                <w:caps w:val="0"/>
                <w:color w:val="000000" w:themeColor="text1"/>
                <w:sz w:val="24"/>
                <w:highlight w:val="none"/>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总磷。</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频次：连续监测2天，每个断面每天采样1次。</w:t>
            </w:r>
          </w:p>
          <w:p>
            <w:pPr>
              <w:spacing w:line="460" w:lineRule="exact"/>
              <w:ind w:firstLine="360" w:firstLineChars="15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（3）监测结果</w:t>
            </w:r>
          </w:p>
          <w:p>
            <w:pPr>
              <w:spacing w:line="50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地表水监测结果见表3-</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w:t>
            </w:r>
          </w:p>
          <w:p>
            <w:pPr>
              <w:pStyle w:val="43"/>
              <w:spacing w:line="500" w:lineRule="exact"/>
              <w:ind w:right="482"/>
              <w:rPr>
                <w:rFonts w:ascii="Times New Roman" w:hAnsi="Times New Roman" w:eastAsia="宋体"/>
                <w:b/>
                <w:caps w:val="0"/>
                <w:color w:val="000000" w:themeColor="text1"/>
                <w:highlight w:val="none"/>
                <w14:textFill>
                  <w14:solidFill>
                    <w14:schemeClr w14:val="tx1"/>
                  </w14:solidFill>
                </w14:textFill>
              </w:rPr>
            </w:pPr>
            <w:r>
              <w:rPr>
                <w:rFonts w:ascii="Times New Roman" w:hAnsi="Times New Roman" w:eastAsia="宋体"/>
                <w:b/>
                <w:caps w:val="0"/>
                <w:color w:val="000000" w:themeColor="text1"/>
                <w:highlight w:val="none"/>
                <w14:textFill>
                  <w14:solidFill>
                    <w14:schemeClr w14:val="tx1"/>
                  </w14:solidFill>
                </w14:textFill>
              </w:rPr>
              <w:t>表3-</w:t>
            </w:r>
            <w:r>
              <w:rPr>
                <w:rFonts w:hint="eastAsia" w:ascii="Times New Roman" w:hAnsi="Times New Roman" w:eastAsia="宋体"/>
                <w:b/>
                <w:caps w:val="0"/>
                <w:color w:val="000000" w:themeColor="text1"/>
                <w:highlight w:val="none"/>
                <w:lang w:val="en-US" w:eastAsia="zh-CN"/>
                <w14:textFill>
                  <w14:solidFill>
                    <w14:schemeClr w14:val="tx1"/>
                  </w14:solidFill>
                </w14:textFill>
              </w:rPr>
              <w:t>3</w:t>
            </w:r>
            <w:r>
              <w:rPr>
                <w:rFonts w:ascii="Times New Roman" w:hAnsi="Times New Roman" w:eastAsia="宋体"/>
                <w:b/>
                <w:caps w:val="0"/>
                <w:color w:val="000000" w:themeColor="text1"/>
                <w:highlight w:val="none"/>
                <w14:textFill>
                  <w14:solidFill>
                    <w14:schemeClr w14:val="tx1"/>
                  </w14:solidFill>
                </w14:textFill>
              </w:rPr>
              <w:t xml:space="preserve"> 地表水环境现状监测结果   单位：mg/L（pH值除外）</w:t>
            </w:r>
          </w:p>
          <w:tbl>
            <w:tblPr>
              <w:tblStyle w:val="3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23"/>
              <w:gridCol w:w="1903"/>
              <w:gridCol w:w="746"/>
              <w:gridCol w:w="987"/>
              <w:gridCol w:w="1135"/>
              <w:gridCol w:w="1278"/>
              <w:gridCol w:w="1135"/>
              <w:gridCol w:w="121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80" w:hRule="atLeast"/>
                <w:jc w:val="center"/>
              </w:trPr>
              <w:tc>
                <w:tcPr>
                  <w:tcW w:w="345" w:type="pct"/>
                  <w:vMerge w:val="restart"/>
                  <w:vAlign w:val="center"/>
                </w:tcPr>
                <w:p>
                  <w:pPr>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监测</w:t>
                  </w:r>
                </w:p>
                <w:p>
                  <w:pPr>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断面</w:t>
                  </w:r>
                </w:p>
              </w:tc>
              <w:tc>
                <w:tcPr>
                  <w:tcW w:w="1054" w:type="pct"/>
                  <w:vMerge w:val="restart"/>
                  <w:vAlign w:val="center"/>
                </w:tcPr>
                <w:p>
                  <w:pPr>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监测</w:t>
                  </w:r>
                </w:p>
                <w:p>
                  <w:pPr>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日期</w:t>
                  </w:r>
                </w:p>
              </w:tc>
              <w:tc>
                <w:tcPr>
                  <w:tcW w:w="3601" w:type="pct"/>
                  <w:gridSpan w:val="6"/>
                  <w:vAlign w:val="center"/>
                </w:tcPr>
                <w:p>
                  <w:pPr>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监测项目（单位：pH 无量纲，其余为 mg/L）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4" w:hRule="atLeast"/>
                <w:jc w:val="center"/>
              </w:trPr>
              <w:tc>
                <w:tcPr>
                  <w:tcW w:w="345" w:type="pct"/>
                  <w:vMerge w:val="continue"/>
                  <w:vAlign w:val="center"/>
                </w:tcPr>
                <w:p>
                  <w:pPr>
                    <w:widowControl/>
                    <w:jc w:val="center"/>
                    <w:rPr>
                      <w:rFonts w:ascii="Times New Roman" w:hAnsi="Times New Roman" w:eastAsia="宋体"/>
                      <w:b/>
                      <w:caps w:val="0"/>
                      <w:color w:val="000000" w:themeColor="text1"/>
                      <w:kern w:val="0"/>
                      <w:sz w:val="21"/>
                      <w:szCs w:val="21"/>
                      <w:highlight w:val="none"/>
                      <w14:textFill>
                        <w14:solidFill>
                          <w14:schemeClr w14:val="tx1"/>
                        </w14:solidFill>
                      </w14:textFill>
                    </w:rPr>
                  </w:pPr>
                </w:p>
              </w:tc>
              <w:tc>
                <w:tcPr>
                  <w:tcW w:w="1054" w:type="pct"/>
                  <w:vMerge w:val="continue"/>
                  <w:vAlign w:val="center"/>
                </w:tcPr>
                <w:p>
                  <w:pPr>
                    <w:widowControl/>
                    <w:jc w:val="center"/>
                    <w:rPr>
                      <w:rFonts w:ascii="Times New Roman" w:hAnsi="Times New Roman" w:eastAsia="宋体"/>
                      <w:b/>
                      <w:caps w:val="0"/>
                      <w:color w:val="000000" w:themeColor="text1"/>
                      <w:kern w:val="0"/>
                      <w:sz w:val="21"/>
                      <w:szCs w:val="21"/>
                      <w:highlight w:val="none"/>
                      <w14:textFill>
                        <w14:solidFill>
                          <w14:schemeClr w14:val="tx1"/>
                        </w14:solidFill>
                      </w14:textFill>
                    </w:rPr>
                  </w:pPr>
                </w:p>
              </w:tc>
              <w:tc>
                <w:tcPr>
                  <w:tcW w:w="413" w:type="pct"/>
                  <w:vAlign w:val="center"/>
                </w:tcPr>
                <w:p>
                  <w:pPr>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pH</w:t>
                  </w:r>
                </w:p>
              </w:tc>
              <w:tc>
                <w:tcPr>
                  <w:tcW w:w="547" w:type="pct"/>
                  <w:vAlign w:val="center"/>
                </w:tcPr>
                <w:p>
                  <w:pPr>
                    <w:jc w:val="center"/>
                    <w:rPr>
                      <w:rFonts w:ascii="Times New Roman" w:hAnsi="Times New Roman" w:eastAsia="宋体"/>
                      <w:b/>
                      <w:caps w:val="0"/>
                      <w:color w:val="000000" w:themeColor="text1"/>
                      <w:spacing w:val="-12"/>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COD</w:t>
                  </w:r>
                </w:p>
              </w:tc>
              <w:tc>
                <w:tcPr>
                  <w:tcW w:w="629" w:type="pct"/>
                  <w:vAlign w:val="center"/>
                </w:tcPr>
                <w:p>
                  <w:pPr>
                    <w:jc w:val="center"/>
                    <w:rPr>
                      <w:rFonts w:ascii="Times New Roman" w:hAnsi="Times New Roman" w:eastAsia="宋体"/>
                      <w:b/>
                      <w:caps w:val="0"/>
                      <w:color w:val="000000" w:themeColor="text1"/>
                      <w:spacing w:val="-12"/>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BOD</w:t>
                  </w:r>
                  <w:r>
                    <w:rPr>
                      <w:rFonts w:ascii="Times New Roman" w:hAnsi="Times New Roman" w:eastAsia="宋体"/>
                      <w:b/>
                      <w:caps w:val="0"/>
                      <w:color w:val="000000" w:themeColor="text1"/>
                      <w:kern w:val="0"/>
                      <w:sz w:val="21"/>
                      <w:szCs w:val="21"/>
                      <w:highlight w:val="none"/>
                      <w:vertAlign w:val="subscript"/>
                      <w14:textFill>
                        <w14:solidFill>
                          <w14:schemeClr w14:val="tx1"/>
                        </w14:solidFill>
                      </w14:textFill>
                    </w:rPr>
                    <w:t>5</w:t>
                  </w:r>
                </w:p>
              </w:tc>
              <w:tc>
                <w:tcPr>
                  <w:tcW w:w="708" w:type="pct"/>
                  <w:vAlign w:val="center"/>
                </w:tcPr>
                <w:p>
                  <w:pPr>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氨氮</w:t>
                  </w:r>
                </w:p>
              </w:tc>
              <w:tc>
                <w:tcPr>
                  <w:tcW w:w="629" w:type="pct"/>
                  <w:vAlign w:val="center"/>
                </w:tcPr>
                <w:p>
                  <w:pPr>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SS</w:t>
                  </w:r>
                </w:p>
              </w:tc>
              <w:tc>
                <w:tcPr>
                  <w:tcW w:w="675" w:type="pct"/>
                  <w:vAlign w:val="center"/>
                </w:tcPr>
                <w:p>
                  <w:pPr>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石油类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05" w:hRule="atLeast"/>
                <w:jc w:val="center"/>
              </w:trPr>
              <w:tc>
                <w:tcPr>
                  <w:tcW w:w="345" w:type="pct"/>
                  <w:vMerge w:val="restart"/>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W1</w:t>
                  </w:r>
                </w:p>
              </w:tc>
              <w:tc>
                <w:tcPr>
                  <w:tcW w:w="1054" w:type="pct"/>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w:t>
                  </w:r>
                  <w:r>
                    <w:rPr>
                      <w:rFonts w:hint="eastAsia" w:ascii="Times New Roman" w:hAnsi="Times New Roman" w:eastAsia="宋体"/>
                      <w:caps w:val="0"/>
                      <w:color w:val="000000" w:themeColor="text1"/>
                      <w:kern w:val="0"/>
                      <w:sz w:val="21"/>
                      <w:szCs w:val="21"/>
                      <w:highlight w:val="none"/>
                      <w14:textFill>
                        <w14:solidFill>
                          <w14:schemeClr w14:val="tx1"/>
                        </w14:solidFill>
                      </w14:textFill>
                    </w:rPr>
                    <w:t>20.07.30</w:t>
                  </w:r>
                </w:p>
              </w:tc>
              <w:tc>
                <w:tcPr>
                  <w:tcW w:w="413"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6.64</w:t>
                  </w:r>
                </w:p>
              </w:tc>
              <w:tc>
                <w:tcPr>
                  <w:tcW w:w="547"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7</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1.8</w:t>
                  </w:r>
                </w:p>
              </w:tc>
              <w:tc>
                <w:tcPr>
                  <w:tcW w:w="708"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0.33</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22</w:t>
                  </w:r>
                </w:p>
              </w:tc>
              <w:tc>
                <w:tcPr>
                  <w:tcW w:w="675"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80" w:hRule="atLeast"/>
                <w:jc w:val="center"/>
              </w:trPr>
              <w:tc>
                <w:tcPr>
                  <w:tcW w:w="345" w:type="pct"/>
                  <w:vMerge w:val="continue"/>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054" w:type="pct"/>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w:t>
                  </w:r>
                  <w:r>
                    <w:rPr>
                      <w:rFonts w:hint="eastAsia" w:ascii="Times New Roman" w:hAnsi="Times New Roman" w:eastAsia="宋体"/>
                      <w:caps w:val="0"/>
                      <w:color w:val="000000" w:themeColor="text1"/>
                      <w:kern w:val="0"/>
                      <w:sz w:val="21"/>
                      <w:szCs w:val="21"/>
                      <w:highlight w:val="none"/>
                      <w14:textFill>
                        <w14:solidFill>
                          <w14:schemeClr w14:val="tx1"/>
                        </w14:solidFill>
                      </w14:textFill>
                    </w:rPr>
                    <w:t>20.07.31</w:t>
                  </w:r>
                </w:p>
              </w:tc>
              <w:tc>
                <w:tcPr>
                  <w:tcW w:w="413"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6.62</w:t>
                  </w:r>
                </w:p>
              </w:tc>
              <w:tc>
                <w:tcPr>
                  <w:tcW w:w="547"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7</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2.0</w:t>
                  </w:r>
                </w:p>
              </w:tc>
              <w:tc>
                <w:tcPr>
                  <w:tcW w:w="708"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0.33</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18</w:t>
                  </w:r>
                </w:p>
              </w:tc>
              <w:tc>
                <w:tcPr>
                  <w:tcW w:w="675"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65" w:hRule="atLeast"/>
                <w:jc w:val="center"/>
              </w:trPr>
              <w:tc>
                <w:tcPr>
                  <w:tcW w:w="345" w:type="pct"/>
                  <w:vMerge w:val="restart"/>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W2</w:t>
                  </w:r>
                </w:p>
              </w:tc>
              <w:tc>
                <w:tcPr>
                  <w:tcW w:w="1054" w:type="pct"/>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w:t>
                  </w:r>
                  <w:r>
                    <w:rPr>
                      <w:rFonts w:hint="eastAsia" w:ascii="Times New Roman" w:hAnsi="Times New Roman" w:eastAsia="宋体"/>
                      <w:caps w:val="0"/>
                      <w:color w:val="000000" w:themeColor="text1"/>
                      <w:kern w:val="0"/>
                      <w:sz w:val="21"/>
                      <w:szCs w:val="21"/>
                      <w:highlight w:val="none"/>
                      <w14:textFill>
                        <w14:solidFill>
                          <w14:schemeClr w14:val="tx1"/>
                        </w14:solidFill>
                      </w14:textFill>
                    </w:rPr>
                    <w:t>20.07.30</w:t>
                  </w:r>
                </w:p>
              </w:tc>
              <w:tc>
                <w:tcPr>
                  <w:tcW w:w="413"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6.62</w:t>
                  </w:r>
                </w:p>
              </w:tc>
              <w:tc>
                <w:tcPr>
                  <w:tcW w:w="547"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18</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3.3</w:t>
                  </w:r>
                </w:p>
              </w:tc>
              <w:tc>
                <w:tcPr>
                  <w:tcW w:w="708"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0.38</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15</w:t>
                  </w:r>
                </w:p>
              </w:tc>
              <w:tc>
                <w:tcPr>
                  <w:tcW w:w="675"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10" w:hRule="atLeast"/>
                <w:jc w:val="center"/>
              </w:trPr>
              <w:tc>
                <w:tcPr>
                  <w:tcW w:w="345" w:type="pct"/>
                  <w:vMerge w:val="continue"/>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054" w:type="pct"/>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w:t>
                  </w:r>
                  <w:r>
                    <w:rPr>
                      <w:rFonts w:hint="eastAsia" w:ascii="Times New Roman" w:hAnsi="Times New Roman" w:eastAsia="宋体"/>
                      <w:caps w:val="0"/>
                      <w:color w:val="000000" w:themeColor="text1"/>
                      <w:kern w:val="0"/>
                      <w:sz w:val="21"/>
                      <w:szCs w:val="21"/>
                      <w:highlight w:val="none"/>
                      <w14:textFill>
                        <w14:solidFill>
                          <w14:schemeClr w14:val="tx1"/>
                        </w14:solidFill>
                      </w14:textFill>
                    </w:rPr>
                    <w:t>20.07.31</w:t>
                  </w:r>
                </w:p>
              </w:tc>
              <w:tc>
                <w:tcPr>
                  <w:tcW w:w="413"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6.63</w:t>
                  </w:r>
                </w:p>
              </w:tc>
              <w:tc>
                <w:tcPr>
                  <w:tcW w:w="547"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17</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3.1</w:t>
                  </w:r>
                </w:p>
              </w:tc>
              <w:tc>
                <w:tcPr>
                  <w:tcW w:w="708"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0.37</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18</w:t>
                  </w:r>
                </w:p>
              </w:tc>
              <w:tc>
                <w:tcPr>
                  <w:tcW w:w="675"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79" w:hRule="atLeast"/>
                <w:jc w:val="center"/>
              </w:trPr>
              <w:tc>
                <w:tcPr>
                  <w:tcW w:w="345" w:type="pct"/>
                  <w:vMerge w:val="restart"/>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W3</w:t>
                  </w:r>
                </w:p>
              </w:tc>
              <w:tc>
                <w:tcPr>
                  <w:tcW w:w="1054" w:type="pct"/>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w:t>
                  </w:r>
                  <w:r>
                    <w:rPr>
                      <w:rFonts w:hint="eastAsia" w:ascii="Times New Roman" w:hAnsi="Times New Roman" w:eastAsia="宋体"/>
                      <w:caps w:val="0"/>
                      <w:color w:val="000000" w:themeColor="text1"/>
                      <w:kern w:val="0"/>
                      <w:sz w:val="21"/>
                      <w:szCs w:val="21"/>
                      <w:highlight w:val="none"/>
                      <w14:textFill>
                        <w14:solidFill>
                          <w14:schemeClr w14:val="tx1"/>
                        </w14:solidFill>
                      </w14:textFill>
                    </w:rPr>
                    <w:t>20.07.30</w:t>
                  </w:r>
                </w:p>
              </w:tc>
              <w:tc>
                <w:tcPr>
                  <w:tcW w:w="413"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6.65</w:t>
                  </w:r>
                </w:p>
              </w:tc>
              <w:tc>
                <w:tcPr>
                  <w:tcW w:w="547"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14</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2.6</w:t>
                  </w:r>
                </w:p>
              </w:tc>
              <w:tc>
                <w:tcPr>
                  <w:tcW w:w="708"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0.36</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18</w:t>
                  </w:r>
                </w:p>
              </w:tc>
              <w:tc>
                <w:tcPr>
                  <w:tcW w:w="675"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38" w:hRule="atLeast"/>
                <w:jc w:val="center"/>
              </w:trPr>
              <w:tc>
                <w:tcPr>
                  <w:tcW w:w="345" w:type="pct"/>
                  <w:vMerge w:val="continue"/>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054" w:type="pct"/>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w:t>
                  </w:r>
                  <w:r>
                    <w:rPr>
                      <w:rFonts w:hint="eastAsia" w:ascii="Times New Roman" w:hAnsi="Times New Roman" w:eastAsia="宋体"/>
                      <w:caps w:val="0"/>
                      <w:color w:val="000000" w:themeColor="text1"/>
                      <w:kern w:val="0"/>
                      <w:sz w:val="21"/>
                      <w:szCs w:val="21"/>
                      <w:highlight w:val="none"/>
                      <w14:textFill>
                        <w14:solidFill>
                          <w14:schemeClr w14:val="tx1"/>
                        </w14:solidFill>
                      </w14:textFill>
                    </w:rPr>
                    <w:t>20.07.31</w:t>
                  </w:r>
                </w:p>
              </w:tc>
              <w:tc>
                <w:tcPr>
                  <w:tcW w:w="413"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6.66</w:t>
                  </w:r>
                </w:p>
              </w:tc>
              <w:tc>
                <w:tcPr>
                  <w:tcW w:w="547"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14</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2.8</w:t>
                  </w:r>
                </w:p>
              </w:tc>
              <w:tc>
                <w:tcPr>
                  <w:tcW w:w="708"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0.36</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19</w:t>
                  </w:r>
                </w:p>
              </w:tc>
              <w:tc>
                <w:tcPr>
                  <w:tcW w:w="675"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38" w:hRule="atLeast"/>
                <w:jc w:val="center"/>
              </w:trPr>
              <w:tc>
                <w:tcPr>
                  <w:tcW w:w="1399" w:type="pct"/>
                  <w:gridSpan w:val="2"/>
                  <w:vAlign w:val="center"/>
                </w:tcPr>
                <w:p>
                  <w:pPr>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《污水综合排放标准》(GB8978-1996)</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三级标准</w:t>
                  </w:r>
                </w:p>
              </w:tc>
              <w:tc>
                <w:tcPr>
                  <w:tcW w:w="413"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6～9</w:t>
                  </w:r>
                </w:p>
              </w:tc>
              <w:tc>
                <w:tcPr>
                  <w:tcW w:w="547"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500</w:t>
                  </w:r>
                </w:p>
              </w:tc>
              <w:tc>
                <w:tcPr>
                  <w:tcW w:w="629"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300</w:t>
                  </w:r>
                </w:p>
              </w:tc>
              <w:tc>
                <w:tcPr>
                  <w:tcW w:w="708" w:type="pct"/>
                  <w:vAlign w:val="center"/>
                </w:tcPr>
                <w:p>
                  <w:pPr>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p>
              </w:tc>
              <w:tc>
                <w:tcPr>
                  <w:tcW w:w="629"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400</w:t>
                  </w:r>
                </w:p>
              </w:tc>
              <w:tc>
                <w:tcPr>
                  <w:tcW w:w="675"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38" w:hRule="atLeast"/>
                <w:jc w:val="center"/>
              </w:trPr>
              <w:tc>
                <w:tcPr>
                  <w:tcW w:w="1399" w:type="pct"/>
                  <w:gridSpan w:val="2"/>
                  <w:vAlign w:val="center"/>
                </w:tcPr>
                <w:p>
                  <w:pPr>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达标情况</w:t>
                  </w:r>
                </w:p>
              </w:tc>
              <w:tc>
                <w:tcPr>
                  <w:tcW w:w="413"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达标</w:t>
                  </w:r>
                </w:p>
              </w:tc>
              <w:tc>
                <w:tcPr>
                  <w:tcW w:w="547"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达标</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达标</w:t>
                  </w:r>
                </w:p>
              </w:tc>
              <w:tc>
                <w:tcPr>
                  <w:tcW w:w="708"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达标</w:t>
                  </w:r>
                </w:p>
              </w:tc>
              <w:tc>
                <w:tcPr>
                  <w:tcW w:w="62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达标</w:t>
                  </w:r>
                </w:p>
              </w:tc>
              <w:tc>
                <w:tcPr>
                  <w:tcW w:w="675"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达标</w:t>
                  </w:r>
                </w:p>
              </w:tc>
            </w:tr>
          </w:tbl>
          <w:p>
            <w:pPr>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由表可知，犁山河各断面处各水质指标均满足《地表水环境质量标准》(GB3838-2002)中Ⅲ类标准要求。</w:t>
            </w:r>
          </w:p>
          <w:p>
            <w:pPr>
              <w:pStyle w:val="12"/>
              <w:spacing w:line="460" w:lineRule="exact"/>
              <w:ind w:right="233" w:firstLine="361" w:firstLineChars="150"/>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3</w:t>
            </w:r>
            <w:r>
              <w:rPr>
                <w:rFonts w:hint="eastAsia" w:ascii="Times New Roman" w:hAnsi="Times New Roman" w:eastAsia="宋体"/>
                <w:b/>
                <w:caps w:val="0"/>
                <w:color w:val="000000" w:themeColor="text1"/>
                <w:sz w:val="24"/>
                <w:szCs w:val="24"/>
                <w:highlight w:val="none"/>
                <w14:textFill>
                  <w14:solidFill>
                    <w14:schemeClr w14:val="tx1"/>
                  </w14:solidFill>
                </w14:textFill>
              </w:rPr>
              <w:t>、声环境质量</w:t>
            </w:r>
            <w:r>
              <w:rPr>
                <w:rFonts w:ascii="Times New Roman" w:hAnsi="Times New Roman" w:eastAsia="宋体"/>
                <w:b/>
                <w:caps w:val="0"/>
                <w:color w:val="000000" w:themeColor="text1"/>
                <w:sz w:val="24"/>
                <w:szCs w:val="24"/>
                <w:highlight w:val="none"/>
                <w14:textFill>
                  <w14:solidFill>
                    <w14:schemeClr w14:val="tx1"/>
                  </w14:solidFill>
                </w14:textFill>
              </w:rPr>
              <w:t xml:space="preserve"> </w:t>
            </w:r>
          </w:p>
          <w:p>
            <w:pPr>
              <w:pStyle w:val="49"/>
              <w:snapToGrid/>
              <w:ind w:firstLine="477" w:firstLineChars="199"/>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highlight w:val="none"/>
                <w14:textFill>
                  <w14:solidFill>
                    <w14:schemeClr w14:val="tx1"/>
                  </w14:solidFill>
                </w14:textFill>
              </w:rPr>
              <w:t>为了解项目声环境质量现状，企业委托</w:t>
            </w:r>
            <w:r>
              <w:rPr>
                <w:rFonts w:hint="eastAsia" w:ascii="Times New Roman" w:hAnsi="Times New Roman" w:eastAsia="宋体"/>
                <w:caps w:val="0"/>
                <w:color w:val="000000" w:themeColor="text1"/>
                <w:sz w:val="24"/>
                <w:highlight w:val="none"/>
                <w14:textFill>
                  <w14:solidFill>
                    <w14:schemeClr w14:val="tx1"/>
                  </w14:solidFill>
                </w14:textFill>
              </w:rPr>
              <w:t>安徽威正测试技术有限公司</w:t>
            </w:r>
            <w:r>
              <w:rPr>
                <w:rFonts w:ascii="Times New Roman" w:hAnsi="Times New Roman" w:eastAsia="宋体"/>
                <w:caps w:val="0"/>
                <w:color w:val="000000" w:themeColor="text1"/>
                <w:highlight w:val="none"/>
                <w14:textFill>
                  <w14:solidFill>
                    <w14:schemeClr w14:val="tx1"/>
                  </w14:solidFill>
                </w14:textFill>
              </w:rPr>
              <w:t>于202</w:t>
            </w:r>
            <w:r>
              <w:rPr>
                <w:rFonts w:hint="eastAsia" w:ascii="Times New Roman" w:hAnsi="Times New Roman" w:eastAsia="宋体"/>
                <w:caps w:val="0"/>
                <w:color w:val="000000" w:themeColor="text1"/>
                <w:highlight w:val="none"/>
                <w:lang w:val="en-US" w:eastAsia="zh-CN"/>
                <w14:textFill>
                  <w14:solidFill>
                    <w14:schemeClr w14:val="tx1"/>
                  </w14:solidFill>
                </w14:textFill>
              </w:rPr>
              <w:t>1</w:t>
            </w:r>
            <w:r>
              <w:rPr>
                <w:rFonts w:ascii="Times New Roman" w:hAnsi="Times New Roman" w:eastAsia="宋体"/>
                <w:caps w:val="0"/>
                <w:color w:val="000000" w:themeColor="text1"/>
                <w:highlight w:val="none"/>
                <w14:textFill>
                  <w14:solidFill>
                    <w14:schemeClr w14:val="tx1"/>
                  </w14:solidFill>
                </w14:textFill>
              </w:rPr>
              <w:t>年</w:t>
            </w:r>
            <w:r>
              <w:rPr>
                <w:rFonts w:hint="eastAsia" w:ascii="Times New Roman" w:hAnsi="Times New Roman" w:eastAsia="宋体"/>
                <w:caps w:val="0"/>
                <w:color w:val="000000" w:themeColor="text1"/>
                <w:highlight w:val="none"/>
                <w:lang w:val="en-US" w:eastAsia="zh-CN"/>
                <w14:textFill>
                  <w14:solidFill>
                    <w14:schemeClr w14:val="tx1"/>
                  </w14:solidFill>
                </w14:textFill>
              </w:rPr>
              <w:t>1</w:t>
            </w:r>
            <w:r>
              <w:rPr>
                <w:rFonts w:ascii="Times New Roman" w:hAnsi="Times New Roman" w:eastAsia="宋体"/>
                <w:caps w:val="0"/>
                <w:color w:val="000000" w:themeColor="text1"/>
                <w:highlight w:val="none"/>
                <w14:textFill>
                  <w14:solidFill>
                    <w14:schemeClr w14:val="tx1"/>
                  </w14:solidFill>
                </w14:textFill>
              </w:rPr>
              <w:t>月</w:t>
            </w:r>
            <w:r>
              <w:rPr>
                <w:rFonts w:hint="eastAsia" w:ascii="Times New Roman" w:hAnsi="Times New Roman" w:eastAsia="宋体"/>
                <w:caps w:val="0"/>
                <w:color w:val="000000" w:themeColor="text1"/>
                <w:highlight w:val="none"/>
                <w:lang w:val="en-US" w:eastAsia="zh-CN"/>
                <w14:textFill>
                  <w14:solidFill>
                    <w14:schemeClr w14:val="tx1"/>
                  </w14:solidFill>
                </w14:textFill>
              </w:rPr>
              <w:t>29</w:t>
            </w:r>
            <w:r>
              <w:rPr>
                <w:rFonts w:ascii="Times New Roman" w:hAnsi="Times New Roman" w:eastAsia="宋体"/>
                <w:caps w:val="0"/>
                <w:color w:val="000000" w:themeColor="text1"/>
                <w:highlight w:val="none"/>
                <w14:textFill>
                  <w14:solidFill>
                    <w14:schemeClr w14:val="tx1"/>
                  </w14:solidFill>
                </w14:textFill>
              </w:rPr>
              <w:t>日~</w:t>
            </w:r>
            <w:r>
              <w:rPr>
                <w:rFonts w:hint="eastAsia" w:ascii="Times New Roman" w:hAnsi="Times New Roman" w:eastAsia="宋体"/>
                <w:caps w:val="0"/>
                <w:color w:val="000000" w:themeColor="text1"/>
                <w:highlight w:val="none"/>
                <w:lang w:val="en-US" w:eastAsia="zh-CN"/>
                <w14:textFill>
                  <w14:solidFill>
                    <w14:schemeClr w14:val="tx1"/>
                  </w14:solidFill>
                </w14:textFill>
              </w:rPr>
              <w:t>30</w:t>
            </w:r>
            <w:r>
              <w:rPr>
                <w:rFonts w:ascii="Times New Roman" w:hAnsi="Times New Roman" w:eastAsia="宋体"/>
                <w:caps w:val="0"/>
                <w:color w:val="000000" w:themeColor="text1"/>
                <w:highlight w:val="none"/>
                <w14:textFill>
                  <w14:solidFill>
                    <w14:schemeClr w14:val="tx1"/>
                  </w14:solidFill>
                </w14:textFill>
              </w:rPr>
              <w:t>日对项目周边进行声环境质量现状监测，声环境质量现状监测结果见表3-</w:t>
            </w:r>
            <w:r>
              <w:rPr>
                <w:rFonts w:hint="eastAsia" w:ascii="Times New Roman" w:hAnsi="Times New Roman" w:eastAsia="宋体"/>
                <w:caps w:val="0"/>
                <w:color w:val="000000" w:themeColor="text1"/>
                <w:highlight w:val="none"/>
                <w:lang w:val="en-US" w:eastAsia="zh-CN"/>
                <w14:textFill>
                  <w14:solidFill>
                    <w14:schemeClr w14:val="tx1"/>
                  </w14:solidFill>
                </w14:textFill>
              </w:rPr>
              <w:t>4</w:t>
            </w:r>
            <w:r>
              <w:rPr>
                <w:rFonts w:ascii="Times New Roman" w:hAnsi="Times New Roman" w:eastAsia="宋体"/>
                <w:caps w:val="0"/>
                <w:color w:val="000000" w:themeColor="text1"/>
                <w:highlight w:val="none"/>
                <w14:textFill>
                  <w14:solidFill>
                    <w14:schemeClr w14:val="tx1"/>
                  </w14:solidFill>
                </w14:textFill>
              </w:rPr>
              <w:t>。</w:t>
            </w:r>
          </w:p>
          <w:p>
            <w:pPr>
              <w:spacing w:line="460" w:lineRule="exact"/>
              <w:jc w:val="center"/>
              <w:rPr>
                <w:rFonts w:ascii="Times New Roman" w:hAnsi="Times New Roman" w:eastAsia="宋体"/>
                <w:caps w:val="0"/>
                <w:color w:val="000000" w:themeColor="text1"/>
                <w:sz w:val="2"/>
                <w:szCs w:val="2"/>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 3-</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4</w:t>
            </w:r>
            <w:r>
              <w:rPr>
                <w:rFonts w:ascii="Times New Roman" w:hAnsi="Times New Roman" w:eastAsia="宋体"/>
                <w:b/>
                <w:caps w:val="0"/>
                <w:color w:val="000000" w:themeColor="text1"/>
                <w:sz w:val="24"/>
                <w:highlight w:val="none"/>
                <w14:textFill>
                  <w14:solidFill>
                    <w14:schemeClr w14:val="tx1"/>
                  </w14:solidFill>
                </w14:textFill>
              </w:rPr>
              <w:tab/>
            </w:r>
            <w:r>
              <w:rPr>
                <w:rFonts w:ascii="Times New Roman" w:hAnsi="Times New Roman" w:eastAsia="宋体"/>
                <w:b/>
                <w:caps w:val="0"/>
                <w:color w:val="000000" w:themeColor="text1"/>
                <w:sz w:val="24"/>
                <w:highlight w:val="none"/>
                <w14:textFill>
                  <w14:solidFill>
                    <w14:schemeClr w14:val="tx1"/>
                  </w14:solidFill>
                </w14:textFill>
              </w:rPr>
              <w:t>声环境质量现状监测结果</w:t>
            </w:r>
            <w:r>
              <w:rPr>
                <w:rFonts w:ascii="Times New Roman" w:hAnsi="Times New Roman" w:eastAsia="宋体"/>
                <w:b/>
                <w:caps w:val="0"/>
                <w:color w:val="000000" w:themeColor="text1"/>
                <w:sz w:val="24"/>
                <w:highlight w:val="none"/>
                <w14:textFill>
                  <w14:solidFill>
                    <w14:schemeClr w14:val="tx1"/>
                  </w14:solidFill>
                </w14:textFill>
              </w:rPr>
              <w:tab/>
            </w:r>
            <w:r>
              <w:rPr>
                <w:rFonts w:ascii="Times New Roman" w:hAnsi="Times New Roman" w:eastAsia="宋体"/>
                <w:b/>
                <w:caps w:val="0"/>
                <w:color w:val="000000" w:themeColor="text1"/>
                <w:sz w:val="24"/>
                <w:highlight w:val="none"/>
                <w14:textFill>
                  <w14:solidFill>
                    <w14:schemeClr w14:val="tx1"/>
                  </w14:solidFill>
                </w14:textFill>
              </w:rPr>
              <w:t>单位：dB(A)</w:t>
            </w:r>
          </w:p>
          <w:tbl>
            <w:tblPr>
              <w:tblStyle w:val="143"/>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868"/>
              <w:gridCol w:w="1941"/>
              <w:gridCol w:w="1793"/>
              <w:gridCol w:w="1833"/>
              <w:gridCol w:w="159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6" w:hRule="exact"/>
                <w:jc w:val="center"/>
              </w:trPr>
              <w:tc>
                <w:tcPr>
                  <w:tcW w:w="1035" w:type="pct"/>
                  <w:vMerge w:val="restart"/>
                  <w:vAlign w:val="center"/>
                </w:tcPr>
                <w:p>
                  <w:pPr>
                    <w:pStyle w:val="86"/>
                    <w:ind w:left="3"/>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b/>
                      <w:bCs/>
                      <w:caps w:val="0"/>
                      <w:color w:val="000000" w:themeColor="text1"/>
                      <w:sz w:val="21"/>
                      <w:szCs w:val="21"/>
                      <w:highlight w:val="none"/>
                      <w:lang w:eastAsia="zh-CN"/>
                      <w14:textFill>
                        <w14:solidFill>
                          <w14:schemeClr w14:val="tx1"/>
                        </w14:solidFill>
                      </w14:textFill>
                    </w:rPr>
                    <w:t>测点编号</w:t>
                  </w:r>
                </w:p>
              </w:tc>
              <w:tc>
                <w:tcPr>
                  <w:tcW w:w="2068" w:type="pct"/>
                  <w:gridSpan w:val="2"/>
                  <w:vAlign w:val="center"/>
                </w:tcPr>
                <w:p>
                  <w:pPr>
                    <w:pStyle w:val="86"/>
                    <w:ind w:left="3"/>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ascii="Times New Roman" w:hAnsi="Times New Roman" w:eastAsia="宋体"/>
                      <w:b/>
                      <w:bCs/>
                      <w:caps w:val="0"/>
                      <w:color w:val="000000" w:themeColor="text1"/>
                      <w:sz w:val="21"/>
                      <w:szCs w:val="21"/>
                      <w:highlight w:val="none"/>
                      <w:lang w:eastAsia="zh-CN"/>
                      <w14:textFill>
                        <w14:solidFill>
                          <w14:schemeClr w14:val="tx1"/>
                        </w14:solidFill>
                      </w14:textFill>
                    </w:rPr>
                    <w:t>202</w:t>
                  </w: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b/>
                      <w:bCs/>
                      <w:caps w:val="0"/>
                      <w:color w:val="000000" w:themeColor="text1"/>
                      <w:sz w:val="21"/>
                      <w:szCs w:val="21"/>
                      <w:highlight w:val="none"/>
                      <w:lang w:eastAsia="zh-CN"/>
                      <w14:textFill>
                        <w14:solidFill>
                          <w14:schemeClr w14:val="tx1"/>
                        </w14:solidFill>
                      </w14:textFill>
                    </w:rPr>
                    <w:t>年</w:t>
                  </w: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b/>
                      <w:bCs/>
                      <w:caps w:val="0"/>
                      <w:color w:val="000000" w:themeColor="text1"/>
                      <w:sz w:val="21"/>
                      <w:szCs w:val="21"/>
                      <w:highlight w:val="none"/>
                      <w:lang w:eastAsia="zh-CN"/>
                      <w14:textFill>
                        <w14:solidFill>
                          <w14:schemeClr w14:val="tx1"/>
                        </w14:solidFill>
                      </w14:textFill>
                    </w:rPr>
                    <w:t>月</w:t>
                  </w: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29</w:t>
                  </w:r>
                  <w:r>
                    <w:rPr>
                      <w:rFonts w:hint="eastAsia" w:ascii="Times New Roman" w:hAnsi="Times New Roman" w:eastAsia="宋体"/>
                      <w:b/>
                      <w:bCs/>
                      <w:caps w:val="0"/>
                      <w:color w:val="000000" w:themeColor="text1"/>
                      <w:sz w:val="21"/>
                      <w:szCs w:val="21"/>
                      <w:highlight w:val="none"/>
                      <w:lang w:eastAsia="zh-CN"/>
                      <w14:textFill>
                        <w14:solidFill>
                          <w14:schemeClr w14:val="tx1"/>
                        </w14:solidFill>
                      </w14:textFill>
                    </w:rPr>
                    <w:t>日</w:t>
                  </w:r>
                </w:p>
              </w:tc>
              <w:tc>
                <w:tcPr>
                  <w:tcW w:w="1896" w:type="pct"/>
                  <w:gridSpan w:val="2"/>
                  <w:vAlign w:val="center"/>
                </w:tcPr>
                <w:p>
                  <w:pPr>
                    <w:pStyle w:val="86"/>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ascii="Times New Roman" w:hAnsi="Times New Roman" w:eastAsia="宋体"/>
                      <w:b/>
                      <w:bCs/>
                      <w:caps w:val="0"/>
                      <w:color w:val="000000" w:themeColor="text1"/>
                      <w:sz w:val="21"/>
                      <w:szCs w:val="21"/>
                      <w:highlight w:val="none"/>
                      <w:lang w:eastAsia="zh-CN"/>
                      <w14:textFill>
                        <w14:solidFill>
                          <w14:schemeClr w14:val="tx1"/>
                        </w14:solidFill>
                      </w14:textFill>
                    </w:rPr>
                    <w:t>202</w:t>
                  </w: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b/>
                      <w:bCs/>
                      <w:caps w:val="0"/>
                      <w:color w:val="000000" w:themeColor="text1"/>
                      <w:sz w:val="21"/>
                      <w:szCs w:val="21"/>
                      <w:highlight w:val="none"/>
                      <w:lang w:eastAsia="zh-CN"/>
                      <w14:textFill>
                        <w14:solidFill>
                          <w14:schemeClr w14:val="tx1"/>
                        </w14:solidFill>
                      </w14:textFill>
                    </w:rPr>
                    <w:t>年</w:t>
                  </w: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b/>
                      <w:bCs/>
                      <w:caps w:val="0"/>
                      <w:color w:val="000000" w:themeColor="text1"/>
                      <w:sz w:val="21"/>
                      <w:szCs w:val="21"/>
                      <w:highlight w:val="none"/>
                      <w:lang w:eastAsia="zh-CN"/>
                      <w14:textFill>
                        <w14:solidFill>
                          <w14:schemeClr w14:val="tx1"/>
                        </w14:solidFill>
                      </w14:textFill>
                    </w:rPr>
                    <w:t>月</w:t>
                  </w:r>
                  <w:r>
                    <w:rPr>
                      <w:rFonts w:hint="eastAsia" w:ascii="Times New Roman" w:hAnsi="Times New Roman" w:eastAsia="宋体"/>
                      <w:b/>
                      <w:bCs/>
                      <w:caps w:val="0"/>
                      <w:color w:val="000000" w:themeColor="text1"/>
                      <w:sz w:val="21"/>
                      <w:szCs w:val="21"/>
                      <w:highlight w:val="none"/>
                      <w:lang w:val="en-US" w:eastAsia="zh-CN"/>
                      <w14:textFill>
                        <w14:solidFill>
                          <w14:schemeClr w14:val="tx1"/>
                        </w14:solidFill>
                      </w14:textFill>
                    </w:rPr>
                    <w:t>30</w:t>
                  </w:r>
                  <w:r>
                    <w:rPr>
                      <w:rFonts w:hint="eastAsia" w:ascii="Times New Roman" w:hAnsi="Times New Roman" w:eastAsia="宋体"/>
                      <w:b/>
                      <w:bCs/>
                      <w:caps w:val="0"/>
                      <w:color w:val="000000" w:themeColor="text1"/>
                      <w:sz w:val="21"/>
                      <w:szCs w:val="21"/>
                      <w:highlight w:val="none"/>
                      <w:lang w:eastAsia="zh-CN"/>
                      <w14:textFill>
                        <w14:solidFill>
                          <w14:schemeClr w14:val="tx1"/>
                        </w14:solidFill>
                      </w14:textFill>
                    </w:rPr>
                    <w:t>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6" w:hRule="exact"/>
                <w:jc w:val="center"/>
              </w:trPr>
              <w:tc>
                <w:tcPr>
                  <w:tcW w:w="1035" w:type="pct"/>
                  <w:vMerge w:val="continue"/>
                  <w:vAlign w:val="center"/>
                </w:tcPr>
                <w:p>
                  <w:pPr>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p>
              </w:tc>
              <w:tc>
                <w:tcPr>
                  <w:tcW w:w="1075" w:type="pct"/>
                  <w:vAlign w:val="center"/>
                </w:tcPr>
                <w:p>
                  <w:pPr>
                    <w:pStyle w:val="86"/>
                    <w:spacing w:line="320" w:lineRule="exact"/>
                    <w:ind w:left="2"/>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昼间</w:t>
                  </w:r>
                </w:p>
              </w:tc>
              <w:tc>
                <w:tcPr>
                  <w:tcW w:w="993" w:type="pct"/>
                  <w:vAlign w:val="center"/>
                </w:tcPr>
                <w:p>
                  <w:pPr>
                    <w:pStyle w:val="86"/>
                    <w:spacing w:line="320" w:lineRule="exact"/>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夜间</w:t>
                  </w:r>
                </w:p>
              </w:tc>
              <w:tc>
                <w:tcPr>
                  <w:tcW w:w="1015" w:type="pct"/>
                  <w:vAlign w:val="center"/>
                </w:tcPr>
                <w:p>
                  <w:pPr>
                    <w:pStyle w:val="86"/>
                    <w:spacing w:line="320" w:lineRule="exact"/>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昼间</w:t>
                  </w:r>
                </w:p>
              </w:tc>
              <w:tc>
                <w:tcPr>
                  <w:tcW w:w="880" w:type="pct"/>
                  <w:vAlign w:val="center"/>
                </w:tcPr>
                <w:p>
                  <w:pPr>
                    <w:pStyle w:val="86"/>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exact"/>
                <w:jc w:val="center"/>
              </w:trPr>
              <w:tc>
                <w:tcPr>
                  <w:tcW w:w="1035" w:type="pct"/>
                  <w:vAlign w:val="center"/>
                </w:tcPr>
                <w:p>
                  <w:pPr>
                    <w:pStyle w:val="86"/>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ascii="Times New Roman" w:hAnsi="Times New Roman" w:eastAsia="宋体"/>
                      <w:caps w:val="0"/>
                      <w:color w:val="000000" w:themeColor="text1"/>
                      <w:sz w:val="21"/>
                      <w:szCs w:val="21"/>
                      <w:highlight w:val="none"/>
                      <w:lang w:eastAsia="zh-CN"/>
                      <w14:textFill>
                        <w14:solidFill>
                          <w14:schemeClr w14:val="tx1"/>
                        </w14:solidFill>
                      </w14:textFill>
                    </w:rPr>
                    <w:t>N1</w:t>
                  </w: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东厂界外</w:t>
                  </w:r>
                  <w:r>
                    <w:rPr>
                      <w:rFonts w:ascii="Times New Roman" w:hAnsi="Times New Roman" w:eastAsia="宋体"/>
                      <w:caps w:val="0"/>
                      <w:color w:val="000000" w:themeColor="text1"/>
                      <w:sz w:val="21"/>
                      <w:szCs w:val="21"/>
                      <w:highlight w:val="none"/>
                      <w:lang w:eastAsia="zh-CN"/>
                      <w14:textFill>
                        <w14:solidFill>
                          <w14:schemeClr w14:val="tx1"/>
                        </w14:solidFill>
                      </w14:textFill>
                    </w:rPr>
                    <w:t>1m</w:t>
                  </w:r>
                </w:p>
              </w:tc>
              <w:tc>
                <w:tcPr>
                  <w:tcW w:w="1075" w:type="pct"/>
                  <w:vAlign w:val="center"/>
                </w:tcPr>
                <w:p>
                  <w:pPr>
                    <w:pStyle w:val="8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52..4</w:t>
                  </w:r>
                </w:p>
              </w:tc>
              <w:tc>
                <w:tcPr>
                  <w:tcW w:w="993"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42.0</w:t>
                  </w:r>
                </w:p>
              </w:tc>
              <w:tc>
                <w:tcPr>
                  <w:tcW w:w="1015"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52.0</w:t>
                  </w:r>
                </w:p>
              </w:tc>
              <w:tc>
                <w:tcPr>
                  <w:tcW w:w="880"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t>41.8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exact"/>
                <w:jc w:val="center"/>
              </w:trPr>
              <w:tc>
                <w:tcPr>
                  <w:tcW w:w="1035" w:type="pct"/>
                  <w:vAlign w:val="center"/>
                </w:tcPr>
                <w:p>
                  <w:pPr>
                    <w:pStyle w:val="86"/>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ascii="Times New Roman" w:hAnsi="Times New Roman" w:eastAsia="宋体"/>
                      <w:caps w:val="0"/>
                      <w:color w:val="000000" w:themeColor="text1"/>
                      <w:sz w:val="21"/>
                      <w:szCs w:val="21"/>
                      <w:highlight w:val="none"/>
                      <w:lang w:eastAsia="zh-CN"/>
                      <w14:textFill>
                        <w14:solidFill>
                          <w14:schemeClr w14:val="tx1"/>
                        </w14:solidFill>
                      </w14:textFill>
                    </w:rPr>
                    <w:t>N2</w:t>
                  </w: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南厂界外</w:t>
                  </w:r>
                  <w:r>
                    <w:rPr>
                      <w:rFonts w:ascii="Times New Roman" w:hAnsi="Times New Roman" w:eastAsia="宋体"/>
                      <w:caps w:val="0"/>
                      <w:color w:val="000000" w:themeColor="text1"/>
                      <w:sz w:val="21"/>
                      <w:szCs w:val="21"/>
                      <w:highlight w:val="none"/>
                      <w:lang w:eastAsia="zh-CN"/>
                      <w14:textFill>
                        <w14:solidFill>
                          <w14:schemeClr w14:val="tx1"/>
                        </w14:solidFill>
                      </w14:textFill>
                    </w:rPr>
                    <w:t>1m</w:t>
                  </w:r>
                </w:p>
              </w:tc>
              <w:tc>
                <w:tcPr>
                  <w:tcW w:w="1075" w:type="pct"/>
                  <w:vAlign w:val="center"/>
                </w:tcPr>
                <w:p>
                  <w:pPr>
                    <w:pStyle w:val="8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53.5</w:t>
                  </w:r>
                </w:p>
              </w:tc>
              <w:tc>
                <w:tcPr>
                  <w:tcW w:w="993"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42.8</w:t>
                  </w:r>
                </w:p>
              </w:tc>
              <w:tc>
                <w:tcPr>
                  <w:tcW w:w="1015"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t>53.4</w:t>
                  </w:r>
                </w:p>
              </w:tc>
              <w:tc>
                <w:tcPr>
                  <w:tcW w:w="880"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t>42.5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5" w:hRule="exact"/>
                <w:jc w:val="center"/>
              </w:trPr>
              <w:tc>
                <w:tcPr>
                  <w:tcW w:w="1035" w:type="pct"/>
                  <w:vAlign w:val="center"/>
                </w:tcPr>
                <w:p>
                  <w:pPr>
                    <w:pStyle w:val="86"/>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ascii="Times New Roman" w:hAnsi="Times New Roman" w:eastAsia="宋体"/>
                      <w:caps w:val="0"/>
                      <w:color w:val="000000" w:themeColor="text1"/>
                      <w:sz w:val="21"/>
                      <w:szCs w:val="21"/>
                      <w:highlight w:val="none"/>
                      <w:lang w:eastAsia="zh-CN"/>
                      <w14:textFill>
                        <w14:solidFill>
                          <w14:schemeClr w14:val="tx1"/>
                        </w14:solidFill>
                      </w14:textFill>
                    </w:rPr>
                    <w:t>N3</w:t>
                  </w: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西厂界外</w:t>
                  </w:r>
                  <w:r>
                    <w:rPr>
                      <w:rFonts w:ascii="Times New Roman" w:hAnsi="Times New Roman" w:eastAsia="宋体"/>
                      <w:caps w:val="0"/>
                      <w:color w:val="000000" w:themeColor="text1"/>
                      <w:sz w:val="21"/>
                      <w:szCs w:val="21"/>
                      <w:highlight w:val="none"/>
                      <w:lang w:eastAsia="zh-CN"/>
                      <w14:textFill>
                        <w14:solidFill>
                          <w14:schemeClr w14:val="tx1"/>
                        </w14:solidFill>
                      </w14:textFill>
                    </w:rPr>
                    <w:t>1m</w:t>
                  </w:r>
                </w:p>
              </w:tc>
              <w:tc>
                <w:tcPr>
                  <w:tcW w:w="1075" w:type="pct"/>
                  <w:vAlign w:val="center"/>
                </w:tcPr>
                <w:p>
                  <w:pPr>
                    <w:pStyle w:val="8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54.0</w:t>
                  </w:r>
                </w:p>
              </w:tc>
              <w:tc>
                <w:tcPr>
                  <w:tcW w:w="993"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43.5</w:t>
                  </w:r>
                </w:p>
              </w:tc>
              <w:tc>
                <w:tcPr>
                  <w:tcW w:w="1015"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t>53.9</w:t>
                  </w:r>
                </w:p>
              </w:tc>
              <w:tc>
                <w:tcPr>
                  <w:tcW w:w="880"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t>43.4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exact"/>
                <w:jc w:val="center"/>
              </w:trPr>
              <w:tc>
                <w:tcPr>
                  <w:tcW w:w="1035" w:type="pct"/>
                  <w:vAlign w:val="center"/>
                </w:tcPr>
                <w:p>
                  <w:pPr>
                    <w:pStyle w:val="86"/>
                    <w:jc w:val="center"/>
                    <w:rPr>
                      <w:rFonts w:ascii="Times New Roman" w:hAnsi="Times New Roman" w:eastAsia="宋体"/>
                      <w:caps w:val="0"/>
                      <w:color w:val="000000" w:themeColor="text1"/>
                      <w:sz w:val="21"/>
                      <w:szCs w:val="21"/>
                      <w:highlight w:val="none"/>
                      <w:lang w:eastAsia="zh-CN"/>
                      <w14:textFill>
                        <w14:solidFill>
                          <w14:schemeClr w14:val="tx1"/>
                        </w14:solidFill>
                      </w14:textFill>
                    </w:rPr>
                  </w:pPr>
                  <w:r>
                    <w:rPr>
                      <w:rFonts w:ascii="Times New Roman" w:hAnsi="Times New Roman" w:eastAsia="宋体"/>
                      <w:caps w:val="0"/>
                      <w:color w:val="000000" w:themeColor="text1"/>
                      <w:sz w:val="21"/>
                      <w:szCs w:val="21"/>
                      <w:highlight w:val="none"/>
                      <w:lang w:eastAsia="zh-CN"/>
                      <w14:textFill>
                        <w14:solidFill>
                          <w14:schemeClr w14:val="tx1"/>
                        </w14:solidFill>
                      </w14:textFill>
                    </w:rPr>
                    <w:t>N4</w:t>
                  </w: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北厂界外</w:t>
                  </w:r>
                  <w:r>
                    <w:rPr>
                      <w:rFonts w:ascii="Times New Roman" w:hAnsi="Times New Roman" w:eastAsia="宋体"/>
                      <w:caps w:val="0"/>
                      <w:color w:val="000000" w:themeColor="text1"/>
                      <w:sz w:val="21"/>
                      <w:szCs w:val="21"/>
                      <w:highlight w:val="none"/>
                      <w:lang w:eastAsia="zh-CN"/>
                      <w14:textFill>
                        <w14:solidFill>
                          <w14:schemeClr w14:val="tx1"/>
                        </w14:solidFill>
                      </w14:textFill>
                    </w:rPr>
                    <w:t>1m</w:t>
                  </w:r>
                </w:p>
              </w:tc>
              <w:tc>
                <w:tcPr>
                  <w:tcW w:w="1075" w:type="pct"/>
                  <w:vAlign w:val="center"/>
                </w:tcPr>
                <w:p>
                  <w:pPr>
                    <w:pStyle w:val="8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54.4</w:t>
                  </w:r>
                </w:p>
              </w:tc>
              <w:tc>
                <w:tcPr>
                  <w:tcW w:w="993"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44.0</w:t>
                  </w:r>
                </w:p>
              </w:tc>
              <w:tc>
                <w:tcPr>
                  <w:tcW w:w="1015"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t>54.2</w:t>
                  </w:r>
                </w:p>
              </w:tc>
              <w:tc>
                <w:tcPr>
                  <w:tcW w:w="880"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t>43.7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0" w:hRule="exact"/>
                <w:jc w:val="center"/>
              </w:trPr>
              <w:tc>
                <w:tcPr>
                  <w:tcW w:w="1035" w:type="pct"/>
                  <w:vAlign w:val="center"/>
                </w:tcPr>
                <w:p>
                  <w:pPr>
                    <w:pStyle w:val="8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z w:val="21"/>
                      <w:szCs w:val="21"/>
                      <w:highlight w:val="none"/>
                      <w:lang w:eastAsia="zh-CN"/>
                      <w14:textFill>
                        <w14:solidFill>
                          <w14:schemeClr w14:val="tx1"/>
                        </w14:solidFill>
                      </w14:textFill>
                    </w:rPr>
                    <w:t>N</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5周边敏感点</w:t>
                  </w:r>
                </w:p>
              </w:tc>
              <w:tc>
                <w:tcPr>
                  <w:tcW w:w="1075" w:type="pct"/>
                  <w:vAlign w:val="center"/>
                </w:tcPr>
                <w:p>
                  <w:pPr>
                    <w:pStyle w:val="86"/>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52.9</w:t>
                  </w:r>
                </w:p>
              </w:tc>
              <w:tc>
                <w:tcPr>
                  <w:tcW w:w="993" w:type="pct"/>
                  <w:vAlign w:val="center"/>
                </w:tcPr>
                <w:p>
                  <w:pPr>
                    <w:pStyle w:val="86"/>
                    <w:ind w:right="2"/>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42.5</w:t>
                  </w:r>
                </w:p>
              </w:tc>
              <w:tc>
                <w:tcPr>
                  <w:tcW w:w="1015" w:type="pct"/>
                  <w:vAlign w:val="center"/>
                </w:tcPr>
                <w:p>
                  <w:pPr>
                    <w:pStyle w:val="86"/>
                    <w:ind w:right="2"/>
                    <w:jc w:val="center"/>
                    <w:rPr>
                      <w:rFonts w:hint="default"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t>53.6</w:t>
                  </w:r>
                </w:p>
              </w:tc>
              <w:tc>
                <w:tcPr>
                  <w:tcW w:w="880" w:type="pct"/>
                  <w:vAlign w:val="center"/>
                </w:tcPr>
                <w:p>
                  <w:pPr>
                    <w:pStyle w:val="86"/>
                    <w:ind w:right="2"/>
                    <w:jc w:val="center"/>
                    <w:rPr>
                      <w:rFonts w:hint="default"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bidi="ar"/>
                      <w14:textFill>
                        <w14:solidFill>
                          <w14:schemeClr w14:val="tx1"/>
                        </w14:solidFill>
                      </w14:textFill>
                    </w:rPr>
                    <w:t>42.2</w:t>
                  </w:r>
                </w:p>
              </w:tc>
            </w:tr>
          </w:tbl>
          <w:p>
            <w:pPr>
              <w:pStyle w:val="49"/>
              <w:snapToGrid/>
              <w:ind w:firstLine="477" w:firstLineChars="199"/>
              <w:rPr>
                <w:rFonts w:hint="eastAsia" w:ascii="Times New Roman" w:hAnsi="Times New Roman" w:eastAsia="宋体"/>
                <w:caps w:val="0"/>
                <w:color w:val="000000" w:themeColor="text1"/>
                <w:highlight w:val="none"/>
                <w:lang w:val="en-US" w:eastAsia="zh-CN"/>
                <w14:textFill>
                  <w14:solidFill>
                    <w14:schemeClr w14:val="tx1"/>
                  </w14:solidFill>
                </w14:textFill>
              </w:rPr>
            </w:pPr>
            <w:r>
              <w:rPr>
                <w:rFonts w:ascii="Times New Roman" w:hAnsi="Times New Roman" w:eastAsia="宋体"/>
                <w:caps w:val="0"/>
                <w:color w:val="000000" w:themeColor="text1"/>
                <w:highlight w:val="none"/>
                <w14:textFill>
                  <w14:solidFill>
                    <w14:schemeClr w14:val="tx1"/>
                  </w14:solidFill>
                </w14:textFill>
              </w:rPr>
              <w:t>根据监测结果，建设项目各厂界的声环境质量现状监测值可满足《声环境质量标准》（GB3096-2008）中的3类标准要求</w:t>
            </w:r>
            <w:r>
              <w:rPr>
                <w:rFonts w:hint="eastAsia" w:ascii="Times New Roman" w:hAnsi="Times New Roman" w:eastAsia="宋体"/>
                <w:caps w:val="0"/>
                <w:color w:val="000000" w:themeColor="text1"/>
                <w:highlight w:val="none"/>
                <w:lang w:eastAsia="zh-CN"/>
                <w14:textFill>
                  <w14:solidFill>
                    <w14:schemeClr w14:val="tx1"/>
                  </w14:solidFill>
                </w14:textFill>
              </w:rPr>
              <w:t>。</w:t>
            </w:r>
          </w:p>
          <w:p>
            <w:pPr>
              <w:pStyle w:val="49"/>
              <w:snapToGrid/>
              <w:ind w:firstLine="479" w:firstLineChars="199"/>
              <w:rPr>
                <w:rFonts w:ascii="Times New Roman" w:hAnsi="Times New Roman" w:eastAsia="宋体"/>
                <w:b/>
                <w:bCs/>
                <w:color w:val="000000" w:themeColor="text1"/>
                <w:highlight w:val="none"/>
                <w14:textFill>
                  <w14:solidFill>
                    <w14:schemeClr w14:val="tx1"/>
                  </w14:solidFill>
                </w14:textFill>
              </w:rPr>
            </w:pPr>
            <w:r>
              <w:rPr>
                <w:rFonts w:ascii="Times New Roman" w:hAnsi="Times New Roman" w:eastAsia="宋体"/>
                <w:b/>
                <w:bCs/>
                <w:color w:val="000000" w:themeColor="text1"/>
                <w:highlight w:val="none"/>
                <w14:textFill>
                  <w14:solidFill>
                    <w14:schemeClr w14:val="tx1"/>
                  </w14:solidFill>
                </w14:textFill>
              </w:rPr>
              <w:t>4</w:t>
            </w:r>
            <w:r>
              <w:rPr>
                <w:rFonts w:hint="eastAsia" w:ascii="Times New Roman" w:hAnsi="Times New Roman" w:eastAsia="宋体"/>
                <w:b/>
                <w:bCs/>
                <w:color w:val="000000" w:themeColor="text1"/>
                <w:highlight w:val="none"/>
                <w14:textFill>
                  <w14:solidFill>
                    <w14:schemeClr w14:val="tx1"/>
                  </w14:solidFill>
                </w14:textFill>
              </w:rPr>
              <w:t>、土壤监测</w:t>
            </w:r>
          </w:p>
          <w:p>
            <w:pPr>
              <w:pStyle w:val="49"/>
              <w:snapToGrid/>
              <w:ind w:firstLine="477" w:firstLineChars="199"/>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（1）监测布点</w:t>
            </w:r>
          </w:p>
          <w:p>
            <w:pPr>
              <w:adjustRightInd w:val="0"/>
              <w:snapToGrid w:val="0"/>
              <w:spacing w:line="360" w:lineRule="auto"/>
              <w:ind w:firstLine="480" w:firstLineChars="200"/>
              <w:rPr>
                <w:rFonts w:ascii="Times New Roman" w:hAnsi="Times New Roman" w:eastAsia="宋体"/>
                <w:bCs/>
                <w:color w:val="000000" w:themeColor="text1"/>
                <w:sz w:val="24"/>
                <w:highlight w:val="none"/>
                <w14:textFill>
                  <w14:solidFill>
                    <w14:schemeClr w14:val="tx1"/>
                  </w14:solidFill>
                </w14:textFill>
              </w:rPr>
            </w:pPr>
            <w:r>
              <w:rPr>
                <w:rFonts w:ascii="Times New Roman" w:hAnsi="Times New Roman" w:eastAsia="宋体"/>
                <w:bCs/>
                <w:color w:val="000000" w:themeColor="text1"/>
                <w:sz w:val="24"/>
                <w:highlight w:val="none"/>
                <w14:textFill>
                  <w14:solidFill>
                    <w14:schemeClr w14:val="tx1"/>
                  </w14:solidFill>
                </w14:textFill>
              </w:rPr>
              <w:t>在项目所在地内布设土壤监测点4个（T1、T2、T3为柱状样点、T4为表层样点），占地范围外200m范围内布设土壤监测点2个（T5、T6表层样点）。</w:t>
            </w:r>
          </w:p>
          <w:p>
            <w:pPr>
              <w:adjustRightInd w:val="0"/>
              <w:snapToGrid w:val="0"/>
              <w:spacing w:line="360" w:lineRule="auto"/>
              <w:ind w:firstLine="480" w:firstLineChars="200"/>
              <w:rPr>
                <w:rFonts w:hint="eastAsia" w:ascii="Times New Roman" w:hAnsi="Times New Roman" w:eastAsia="宋体"/>
                <w:bCs/>
                <w:color w:val="000000" w:themeColor="text1"/>
                <w:sz w:val="24"/>
                <w:highlight w:val="none"/>
                <w14:textFill>
                  <w14:solidFill>
                    <w14:schemeClr w14:val="tx1"/>
                  </w14:solidFill>
                </w14:textFill>
              </w:rPr>
            </w:pPr>
            <w:r>
              <w:rPr>
                <w:rFonts w:hint="eastAsia" w:ascii="Times New Roman" w:hAnsi="Times New Roman" w:eastAsia="宋体"/>
                <w:bCs/>
                <w:color w:val="000000" w:themeColor="text1"/>
                <w:sz w:val="24"/>
                <w:highlight w:val="none"/>
                <w14:textFill>
                  <w14:solidFill>
                    <w14:schemeClr w14:val="tx1"/>
                  </w14:solidFill>
                </w14:textFill>
              </w:rPr>
              <w:t>（2）监测因子</w:t>
            </w:r>
          </w:p>
          <w:p>
            <w:pPr>
              <w:adjustRightInd w:val="0"/>
              <w:snapToGrid w:val="0"/>
              <w:spacing w:line="360" w:lineRule="auto"/>
              <w:ind w:firstLine="480" w:firstLineChars="200"/>
              <w:rPr>
                <w:rFonts w:hint="eastAsia" w:ascii="Times New Roman" w:hAnsi="Times New Roman" w:eastAsia="宋体"/>
                <w:bCs/>
                <w:color w:val="000000" w:themeColor="text1"/>
                <w:sz w:val="24"/>
                <w:highlight w:val="none"/>
                <w14:textFill>
                  <w14:solidFill>
                    <w14:schemeClr w14:val="tx1"/>
                  </w14:solidFill>
                </w14:textFill>
              </w:rPr>
            </w:pPr>
            <w:r>
              <w:rPr>
                <w:rFonts w:hint="eastAsia" w:ascii="Times New Roman" w:hAnsi="Times New Roman" w:eastAsia="宋体"/>
                <w:bCs/>
                <w:color w:val="000000" w:themeColor="text1"/>
                <w:sz w:val="24"/>
                <w:highlight w:val="none"/>
                <w14:textFill>
                  <w14:solidFill>
                    <w14:schemeClr w14:val="tx1"/>
                  </w14:solidFill>
                </w14:textFill>
              </w:rPr>
              <w:t>重金属及无机物：砷、镉、六价铬、铜、铅、汞、镍</w:t>
            </w:r>
          </w:p>
          <w:p>
            <w:pPr>
              <w:adjustRightInd w:val="0"/>
              <w:snapToGrid w:val="0"/>
              <w:spacing w:line="360" w:lineRule="auto"/>
              <w:ind w:firstLine="480" w:firstLineChars="200"/>
              <w:rPr>
                <w:rFonts w:hint="eastAsia" w:ascii="Times New Roman" w:hAnsi="Times New Roman" w:eastAsia="宋体"/>
                <w:bCs/>
                <w:color w:val="000000" w:themeColor="text1"/>
                <w:sz w:val="24"/>
                <w:highlight w:val="none"/>
                <w14:textFill>
                  <w14:solidFill>
                    <w14:schemeClr w14:val="tx1"/>
                  </w14:solidFill>
                </w14:textFill>
              </w:rPr>
            </w:pPr>
            <w:r>
              <w:rPr>
                <w:rFonts w:hint="eastAsia" w:ascii="Times New Roman" w:hAnsi="Times New Roman" w:eastAsia="宋体"/>
                <w:bCs/>
                <w:color w:val="000000" w:themeColor="text1"/>
                <w:sz w:val="24"/>
                <w:highlight w:val="none"/>
                <w14:textFill>
                  <w14:solidFill>
                    <w14:schemeClr w14:val="tx1"/>
                  </w14:solidFill>
                </w14:textFill>
              </w:rPr>
              <w:t>挥发性有机物：四氯化碳、氯仿、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二甲苯。</w:t>
            </w:r>
          </w:p>
          <w:p>
            <w:pPr>
              <w:adjustRightInd w:val="0"/>
              <w:snapToGrid w:val="0"/>
              <w:spacing w:line="360" w:lineRule="auto"/>
              <w:ind w:firstLine="480" w:firstLineChars="200"/>
              <w:rPr>
                <w:rFonts w:ascii="Times New Roman" w:hAnsi="Times New Roman" w:eastAsia="宋体"/>
                <w:bCs/>
                <w:color w:val="000000" w:themeColor="text1"/>
                <w:sz w:val="24"/>
                <w:highlight w:val="none"/>
                <w14:textFill>
                  <w14:solidFill>
                    <w14:schemeClr w14:val="tx1"/>
                  </w14:solidFill>
                </w14:textFill>
              </w:rPr>
            </w:pPr>
            <w:r>
              <w:rPr>
                <w:rFonts w:hint="eastAsia" w:ascii="Times New Roman" w:hAnsi="Times New Roman" w:eastAsia="宋体"/>
                <w:bCs/>
                <w:color w:val="000000" w:themeColor="text1"/>
                <w:sz w:val="24"/>
                <w:highlight w:val="none"/>
                <w14:textFill>
                  <w14:solidFill>
                    <w14:schemeClr w14:val="tx1"/>
                  </w14:solidFill>
                </w14:textFill>
              </w:rPr>
              <w:t>半挥发性有机物：硝基苯、苯胺、2-氯酚、苯并[a]蒽、苯并[a]芘、苯并[b]荧蒽、苯并[k]荧蒽、䓛、二苯并[a，h]蒽、茚并[1，2，3-cd]蒽芘、萘。</w:t>
            </w:r>
          </w:p>
          <w:p>
            <w:pPr>
              <w:adjustRightInd w:val="0"/>
              <w:snapToGrid w:val="0"/>
              <w:spacing w:line="360" w:lineRule="auto"/>
              <w:ind w:firstLine="480" w:firstLineChars="200"/>
              <w:rPr>
                <w:rFonts w:ascii="Times New Roman" w:hAnsi="Times New Roman" w:eastAsia="宋体"/>
                <w:bCs/>
                <w:color w:val="000000" w:themeColor="text1"/>
                <w:sz w:val="24"/>
                <w:highlight w:val="none"/>
                <w14:textFill>
                  <w14:solidFill>
                    <w14:schemeClr w14:val="tx1"/>
                  </w14:solidFill>
                </w14:textFill>
              </w:rPr>
            </w:pPr>
            <w:r>
              <w:rPr>
                <w:rFonts w:ascii="Times New Roman" w:hAnsi="Times New Roman" w:eastAsia="宋体"/>
                <w:bCs/>
                <w:color w:val="000000" w:themeColor="text1"/>
                <w:sz w:val="24"/>
                <w:highlight w:val="none"/>
                <w14:textFill>
                  <w14:solidFill>
                    <w14:schemeClr w14:val="tx1"/>
                  </w14:solidFill>
                </w14:textFill>
              </w:rPr>
              <w:t>（3）监测频次</w:t>
            </w:r>
          </w:p>
          <w:p>
            <w:pPr>
              <w:adjustRightInd w:val="0"/>
              <w:snapToGrid w:val="0"/>
              <w:spacing w:line="360" w:lineRule="auto"/>
              <w:ind w:firstLine="480" w:firstLineChars="200"/>
              <w:rPr>
                <w:rFonts w:ascii="Times New Roman" w:hAnsi="Times New Roman" w:eastAsia="宋体"/>
                <w:bCs/>
                <w:color w:val="000000" w:themeColor="text1"/>
                <w:sz w:val="24"/>
                <w:highlight w:val="none"/>
                <w14:textFill>
                  <w14:solidFill>
                    <w14:schemeClr w14:val="tx1"/>
                  </w14:solidFill>
                </w14:textFill>
              </w:rPr>
            </w:pPr>
            <w:r>
              <w:rPr>
                <w:rFonts w:ascii="Times New Roman" w:hAnsi="Times New Roman" w:eastAsia="宋体"/>
                <w:bCs/>
                <w:color w:val="000000" w:themeColor="text1"/>
                <w:sz w:val="24"/>
                <w:highlight w:val="none"/>
                <w14:textFill>
                  <w14:solidFill>
                    <w14:schemeClr w14:val="tx1"/>
                  </w14:solidFill>
                </w14:textFill>
              </w:rPr>
              <w:t>监测一天，采样一次。</w:t>
            </w:r>
          </w:p>
          <w:p>
            <w:pPr>
              <w:pStyle w:val="49"/>
              <w:snapToGrid/>
              <w:ind w:firstLine="477" w:firstLineChars="199"/>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（4）监测结果</w:t>
            </w:r>
          </w:p>
          <w:p>
            <w:pPr>
              <w:pStyle w:val="49"/>
              <w:snapToGrid/>
              <w:ind w:firstLine="477" w:firstLineChars="199"/>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监测结果如下表所示。</w:t>
            </w:r>
          </w:p>
          <w:p>
            <w:pPr>
              <w:pStyle w:val="49"/>
              <w:snapToGrid/>
              <w:ind w:firstLine="479" w:firstLineChars="199"/>
              <w:jc w:val="center"/>
              <w:rPr>
                <w:rFonts w:ascii="Times New Roman" w:hAnsi="Times New Roman" w:eastAsia="宋体"/>
                <w:b/>
                <w:color w:val="000000" w:themeColor="text1"/>
                <w:highlight w:val="none"/>
                <w14:textFill>
                  <w14:solidFill>
                    <w14:schemeClr w14:val="tx1"/>
                  </w14:solidFill>
                </w14:textFill>
              </w:rPr>
            </w:pPr>
            <w:r>
              <w:rPr>
                <w:rFonts w:hint="eastAsia" w:ascii="Times New Roman" w:hAnsi="Times New Roman" w:eastAsia="宋体"/>
                <w:b/>
                <w:color w:val="000000" w:themeColor="text1"/>
                <w:highlight w:val="none"/>
                <w14:textFill>
                  <w14:solidFill>
                    <w14:schemeClr w14:val="tx1"/>
                  </w14:solidFill>
                </w14:textFill>
              </w:rPr>
              <w:t>表</w:t>
            </w:r>
            <w:r>
              <w:rPr>
                <w:rFonts w:ascii="Times New Roman" w:hAnsi="Times New Roman" w:eastAsia="宋体"/>
                <w:b/>
                <w:color w:val="000000" w:themeColor="text1"/>
                <w:highlight w:val="none"/>
                <w14:textFill>
                  <w14:solidFill>
                    <w14:schemeClr w14:val="tx1"/>
                  </w14:solidFill>
                </w14:textFill>
              </w:rPr>
              <w:t>3-</w:t>
            </w:r>
            <w:r>
              <w:rPr>
                <w:rFonts w:hint="eastAsia" w:ascii="Times New Roman" w:hAnsi="Times New Roman" w:eastAsia="宋体"/>
                <w:b/>
                <w:color w:val="000000" w:themeColor="text1"/>
                <w:highlight w:val="none"/>
                <w:lang w:val="en-US" w:eastAsia="zh-CN"/>
                <w14:textFill>
                  <w14:solidFill>
                    <w14:schemeClr w14:val="tx1"/>
                  </w14:solidFill>
                </w14:textFill>
              </w:rPr>
              <w:t>5</w:t>
            </w:r>
            <w:r>
              <w:rPr>
                <w:rFonts w:ascii="Times New Roman" w:hAnsi="Times New Roman" w:eastAsia="宋体"/>
                <w:b/>
                <w:color w:val="000000" w:themeColor="text1"/>
                <w:highlight w:val="none"/>
                <w14:textFill>
                  <w14:solidFill>
                    <w14:schemeClr w14:val="tx1"/>
                  </w14:solidFill>
                </w14:textFill>
              </w:rPr>
              <w:t xml:space="preserve">  </w:t>
            </w:r>
            <w:r>
              <w:rPr>
                <w:rFonts w:ascii="Times New Roman" w:hAnsi="Times New Roman" w:eastAsia="宋体"/>
                <w:b/>
                <w:bCs/>
                <w:color w:val="000000" w:themeColor="text1"/>
                <w:highlight w:val="none"/>
                <w14:textFill>
                  <w14:solidFill>
                    <w14:schemeClr w14:val="tx1"/>
                  </w14:solidFill>
                </w14:textFill>
              </w:rPr>
              <w:t>T1</w:t>
            </w:r>
            <w:r>
              <w:rPr>
                <w:rFonts w:hint="eastAsia" w:ascii="Times New Roman" w:hAnsi="Times New Roman" w:eastAsia="宋体"/>
                <w:b/>
                <w:bCs/>
                <w:color w:val="000000" w:themeColor="text1"/>
                <w:highlight w:val="none"/>
                <w14:textFill>
                  <w14:solidFill>
                    <w14:schemeClr w14:val="tx1"/>
                  </w14:solidFill>
                </w14:textFill>
              </w:rPr>
              <w:t>监测点位</w:t>
            </w:r>
            <w:r>
              <w:rPr>
                <w:rFonts w:hint="eastAsia" w:ascii="Times New Roman" w:hAnsi="Times New Roman" w:eastAsia="宋体"/>
                <w:b/>
                <w:color w:val="000000" w:themeColor="text1"/>
                <w:highlight w:val="none"/>
                <w14:textFill>
                  <w14:solidFill>
                    <w14:schemeClr w14:val="tx1"/>
                  </w14:solidFill>
                </w14:textFill>
              </w:rPr>
              <w:t>土壤监测结果</w:t>
            </w:r>
          </w:p>
          <w:tbl>
            <w:tblPr>
              <w:tblStyle w:val="32"/>
              <w:tblpPr w:leftFromText="180" w:rightFromText="180" w:vertAnchor="text" w:horzAnchor="margin" w:tblpXSpec="center" w:tblpY="6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2585"/>
              <w:gridCol w:w="1743"/>
              <w:gridCol w:w="1743"/>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95" w:type="pct"/>
                  <w:gridSpan w:val="2"/>
                  <w:vAlign w:val="center"/>
                </w:tcPr>
                <w:p>
                  <w:pPr>
                    <w:jc w:val="center"/>
                    <w:rPr>
                      <w:rFonts w:ascii="Times New Roman" w:hAnsi="Times New Roman" w:eastAsia="宋体" w:cs="宋体"/>
                      <w:b/>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监测点位</w:t>
                  </w:r>
                </w:p>
              </w:tc>
              <w:tc>
                <w:tcPr>
                  <w:tcW w:w="2904" w:type="pct"/>
                  <w:gridSpan w:val="3"/>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厂区内1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095" w:type="pct"/>
                  <w:gridSpan w:val="2"/>
                  <w:vAlign w:val="center"/>
                </w:tcPr>
                <w:p>
                  <w:pPr>
                    <w:jc w:val="center"/>
                    <w:rPr>
                      <w:rFonts w:ascii="Times New Roman" w:hAnsi="Times New Roman" w:eastAsia="宋体" w:cs="宋体"/>
                      <w:b/>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监测深度（m）</w:t>
                  </w:r>
                </w:p>
              </w:tc>
              <w:tc>
                <w:tcPr>
                  <w:tcW w:w="967"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0-0.5</w:t>
                  </w:r>
                </w:p>
              </w:tc>
              <w:tc>
                <w:tcPr>
                  <w:tcW w:w="967"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0.5-1.5</w:t>
                  </w:r>
                </w:p>
              </w:tc>
              <w:tc>
                <w:tcPr>
                  <w:tcW w:w="968"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1.5-3.0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5"/>
                  <w:vAlign w:val="center"/>
                </w:tcPr>
                <w:p>
                  <w:pPr>
                    <w:jc w:val="left"/>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监测日期：</w:t>
                  </w:r>
                  <w:r>
                    <w:rPr>
                      <w:rFonts w:hint="eastAsia" w:ascii="Times New Roman" w:hAnsi="Times New Roman" w:eastAsia="宋体" w:cs="宋体"/>
                      <w:b/>
                      <w:bCs/>
                      <w:color w:val="000000" w:themeColor="text1"/>
                      <w:sz w:val="21"/>
                      <w:szCs w:val="21"/>
                      <w:highlight w:val="none"/>
                      <w14:textFill>
                        <w14:solidFill>
                          <w14:schemeClr w14:val="tx1"/>
                        </w14:solidFill>
                      </w14:textFill>
                    </w:rPr>
                    <w:t>2021年1月14日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restart"/>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分析项目</w:t>
                  </w:r>
                </w:p>
              </w:tc>
              <w:tc>
                <w:tcPr>
                  <w:tcW w:w="1433"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砷（mg/kg）</w:t>
                  </w:r>
                </w:p>
              </w:tc>
              <w:tc>
                <w:tcPr>
                  <w:tcW w:w="96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1.27</w:t>
                  </w:r>
                </w:p>
              </w:tc>
              <w:tc>
                <w:tcPr>
                  <w:tcW w:w="96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1.32</w:t>
                  </w:r>
                </w:p>
              </w:tc>
              <w:tc>
                <w:tcPr>
                  <w:tcW w:w="968"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镉（mg/kg）</w:t>
                  </w:r>
                </w:p>
              </w:tc>
              <w:tc>
                <w:tcPr>
                  <w:tcW w:w="96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1.18</w:t>
                  </w:r>
                </w:p>
              </w:tc>
              <w:tc>
                <w:tcPr>
                  <w:tcW w:w="96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1.25</w:t>
                  </w:r>
                </w:p>
              </w:tc>
              <w:tc>
                <w:tcPr>
                  <w:tcW w:w="968"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铜（mg/kg）</w:t>
                  </w:r>
                </w:p>
              </w:tc>
              <w:tc>
                <w:tcPr>
                  <w:tcW w:w="96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52</w:t>
                  </w:r>
                </w:p>
              </w:tc>
              <w:tc>
                <w:tcPr>
                  <w:tcW w:w="96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55</w:t>
                  </w:r>
                </w:p>
              </w:tc>
              <w:tc>
                <w:tcPr>
                  <w:tcW w:w="968"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铅（mg/kg）</w:t>
                  </w:r>
                </w:p>
              </w:tc>
              <w:tc>
                <w:tcPr>
                  <w:tcW w:w="96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31</w:t>
                  </w:r>
                </w:p>
              </w:tc>
              <w:tc>
                <w:tcPr>
                  <w:tcW w:w="96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36</w:t>
                  </w:r>
                </w:p>
              </w:tc>
              <w:tc>
                <w:tcPr>
                  <w:tcW w:w="968"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汞（mg/kg）</w:t>
                  </w:r>
                </w:p>
              </w:tc>
              <w:tc>
                <w:tcPr>
                  <w:tcW w:w="96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1.11</w:t>
                  </w:r>
                </w:p>
              </w:tc>
              <w:tc>
                <w:tcPr>
                  <w:tcW w:w="96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1.21</w:t>
                  </w:r>
                </w:p>
              </w:tc>
              <w:tc>
                <w:tcPr>
                  <w:tcW w:w="968"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镍（mg/kg）</w:t>
                  </w:r>
                </w:p>
              </w:tc>
              <w:tc>
                <w:tcPr>
                  <w:tcW w:w="96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57</w:t>
                  </w:r>
                </w:p>
              </w:tc>
              <w:tc>
                <w:tcPr>
                  <w:tcW w:w="96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62</w:t>
                  </w:r>
                </w:p>
              </w:tc>
              <w:tc>
                <w:tcPr>
                  <w:tcW w:w="968"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六价铬（mg/kg）</w:t>
                  </w:r>
                </w:p>
              </w:tc>
              <w:tc>
                <w:tcPr>
                  <w:tcW w:w="96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c>
                <w:tcPr>
                  <w:tcW w:w="96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c>
                <w:tcPr>
                  <w:tcW w:w="968"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四氯化碳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氯仿</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氯甲烷 （</w:t>
                  </w:r>
                  <w:r>
                    <w:rPr>
                      <w:rFonts w:hint="eastAsia" w:ascii="Times New Roman" w:hAnsi="Times New Roman" w:eastAsia="宋体" w:cs="宋体"/>
                      <w:color w:val="000000" w:themeColor="text1"/>
                      <w:sz w:val="21"/>
                      <w:szCs w:val="21"/>
                      <w:highlight w:val="none"/>
                      <w14:textFill>
                        <w14:solidFill>
                          <w14:schemeClr w14:val="tx1"/>
                        </w14:solidFill>
                      </w14:textFill>
                    </w:rPr>
                    <w:t>μ</w:t>
                  </w:r>
                  <w:r>
                    <w:rPr>
                      <w:rFonts w:hint="eastAsia" w:ascii="Times New Roman" w:hAnsi="Times New Roman" w:eastAsia="宋体" w:cs="宋体"/>
                      <w:bCs/>
                      <w:color w:val="000000" w:themeColor="text1"/>
                      <w:kern w:val="0"/>
                      <w:sz w:val="21"/>
                      <w:szCs w:val="21"/>
                      <w:highlight w:val="none"/>
                      <w:lang w:bidi="ar"/>
                      <w14:textFill>
                        <w14:solidFill>
                          <w14:schemeClr w14:val="tx1"/>
                        </w14:solidFill>
                      </w14:textFill>
                    </w:rPr>
                    <w:t>g/kg</w:t>
                  </w:r>
                  <w:r>
                    <w:rPr>
                      <w:rFonts w:hint="eastAsia" w:ascii="Times New Roman" w:hAnsi="Times New Roman" w:eastAsia="宋体" w:cs="宋体"/>
                      <w:color w:val="000000" w:themeColor="text1"/>
                      <w:sz w:val="21"/>
                      <w:szCs w:val="21"/>
                      <w:highlight w:val="none"/>
                      <w14:textFill>
                        <w14:solidFill>
                          <w14:schemeClr w14:val="tx1"/>
                        </w14:solidFill>
                      </w14:textFill>
                    </w:rPr>
                    <w:t>）</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1,1-二氯乙烷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1,1-二氯乙烯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顺-1,2-二氯乙烯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反-1,2-二氯乙烯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二氯甲烷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1,1,1,2-四氯乙烷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1,1,2,2-四氯乙烷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四氯乙烯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1,1,1-三氯乙烷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1,1,2-三氯乙烷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三氯乙烯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1,2,3-三氯丙烷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氯苯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1,4-二氯苯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乙苯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间二甲苯+对二甲苯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邻二甲苯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硝基苯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苯胺</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2-氯酚</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苯并[a]蒽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苯并[a]芘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苯并[b]荧蒽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苯并[k]荧蒽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䓛</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二苯并[a, h]蒽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茚并[1,2,3-cd]芘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33"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6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68"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Cs/>
                      <w:color w:val="000000" w:themeColor="text1"/>
                      <w:sz w:val="21"/>
                      <w:szCs w:val="21"/>
                      <w:highlight w:val="none"/>
                      <w14:textFill>
                        <w14:solidFill>
                          <w14:schemeClr w14:val="tx1"/>
                        </w14:solidFill>
                      </w14:textFill>
                    </w:rPr>
                    <w:t>备注</w:t>
                  </w:r>
                </w:p>
              </w:tc>
              <w:tc>
                <w:tcPr>
                  <w:tcW w:w="4338" w:type="pct"/>
                  <w:gridSpan w:val="4"/>
                  <w:vAlign w:val="center"/>
                </w:tcPr>
                <w:p>
                  <w:pPr>
                    <w:widowControl/>
                    <w:jc w:val="left"/>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“L”表示未检出，检测结果低于方法检出限以L或未检出表示</w:t>
                  </w:r>
                </w:p>
              </w:tc>
            </w:tr>
          </w:tbl>
          <w:p>
            <w:pPr>
              <w:pStyle w:val="49"/>
              <w:snapToGrid/>
              <w:ind w:firstLine="479" w:firstLineChars="199"/>
              <w:jc w:val="center"/>
              <w:rPr>
                <w:rFonts w:ascii="Times New Roman" w:hAnsi="Times New Roman" w:eastAsia="宋体"/>
                <w:b/>
                <w:color w:val="000000" w:themeColor="text1"/>
                <w:highlight w:val="none"/>
                <w14:textFill>
                  <w14:solidFill>
                    <w14:schemeClr w14:val="tx1"/>
                  </w14:solidFill>
                </w14:textFill>
              </w:rPr>
            </w:pPr>
            <w:r>
              <w:rPr>
                <w:rFonts w:hint="eastAsia" w:ascii="Times New Roman" w:hAnsi="Times New Roman" w:eastAsia="宋体"/>
                <w:b/>
                <w:color w:val="000000" w:themeColor="text1"/>
                <w:highlight w:val="none"/>
                <w14:textFill>
                  <w14:solidFill>
                    <w14:schemeClr w14:val="tx1"/>
                  </w14:solidFill>
                </w14:textFill>
              </w:rPr>
              <w:t>表</w:t>
            </w:r>
            <w:r>
              <w:rPr>
                <w:rFonts w:ascii="Times New Roman" w:hAnsi="Times New Roman" w:eastAsia="宋体"/>
                <w:b/>
                <w:color w:val="000000" w:themeColor="text1"/>
                <w:highlight w:val="none"/>
                <w14:textFill>
                  <w14:solidFill>
                    <w14:schemeClr w14:val="tx1"/>
                  </w14:solidFill>
                </w14:textFill>
              </w:rPr>
              <w:t>3-</w:t>
            </w:r>
            <w:r>
              <w:rPr>
                <w:rFonts w:hint="eastAsia" w:ascii="Times New Roman" w:hAnsi="Times New Roman" w:eastAsia="宋体"/>
                <w:b/>
                <w:color w:val="000000" w:themeColor="text1"/>
                <w:highlight w:val="none"/>
                <w:lang w:val="en-US" w:eastAsia="zh-CN"/>
                <w14:textFill>
                  <w14:solidFill>
                    <w14:schemeClr w14:val="tx1"/>
                  </w14:solidFill>
                </w14:textFill>
              </w:rPr>
              <w:t>6</w:t>
            </w:r>
            <w:r>
              <w:rPr>
                <w:rFonts w:ascii="Times New Roman" w:hAnsi="Times New Roman" w:eastAsia="宋体"/>
                <w:b/>
                <w:color w:val="000000" w:themeColor="text1"/>
                <w:highlight w:val="none"/>
                <w14:textFill>
                  <w14:solidFill>
                    <w14:schemeClr w14:val="tx1"/>
                  </w14:solidFill>
                </w14:textFill>
              </w:rPr>
              <w:t xml:space="preserve">  </w:t>
            </w:r>
            <w:r>
              <w:rPr>
                <w:rFonts w:ascii="Times New Roman" w:hAnsi="Times New Roman" w:eastAsia="宋体"/>
                <w:b/>
                <w:bCs/>
                <w:color w:val="000000" w:themeColor="text1"/>
                <w:highlight w:val="none"/>
                <w14:textFill>
                  <w14:solidFill>
                    <w14:schemeClr w14:val="tx1"/>
                  </w14:solidFill>
                </w14:textFill>
              </w:rPr>
              <w:t>T</w:t>
            </w:r>
            <w:r>
              <w:rPr>
                <w:rFonts w:hint="eastAsia" w:ascii="Times New Roman" w:hAnsi="Times New Roman" w:eastAsia="宋体"/>
                <w:b/>
                <w:bCs/>
                <w:color w:val="000000" w:themeColor="text1"/>
                <w:highlight w:val="none"/>
                <w:lang w:val="en-US" w:eastAsia="zh-CN"/>
                <w14:textFill>
                  <w14:solidFill>
                    <w14:schemeClr w14:val="tx1"/>
                  </w14:solidFill>
                </w14:textFill>
              </w:rPr>
              <w:t>2</w:t>
            </w:r>
            <w:r>
              <w:rPr>
                <w:rFonts w:hint="eastAsia" w:ascii="Times New Roman" w:hAnsi="Times New Roman" w:eastAsia="宋体"/>
                <w:b/>
                <w:bCs/>
                <w:color w:val="000000" w:themeColor="text1"/>
                <w:highlight w:val="none"/>
                <w14:textFill>
                  <w14:solidFill>
                    <w14:schemeClr w14:val="tx1"/>
                  </w14:solidFill>
                </w14:textFill>
              </w:rPr>
              <w:t>监测点位</w:t>
            </w:r>
            <w:r>
              <w:rPr>
                <w:rFonts w:hint="eastAsia" w:ascii="Times New Roman" w:hAnsi="Times New Roman" w:eastAsia="宋体"/>
                <w:b/>
                <w:color w:val="000000" w:themeColor="text1"/>
                <w:highlight w:val="none"/>
                <w14:textFill>
                  <w14:solidFill>
                    <w14:schemeClr w14:val="tx1"/>
                  </w14:solidFill>
                </w14:textFill>
              </w:rPr>
              <w:t>土壤监测结果</w:t>
            </w:r>
          </w:p>
          <w:tbl>
            <w:tblPr>
              <w:tblStyle w:val="32"/>
              <w:tblpPr w:leftFromText="180" w:rightFromText="180" w:vertAnchor="text" w:horzAnchor="margin" w:tblpXSpec="center" w:tblpY="6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2647"/>
              <w:gridCol w:w="1723"/>
              <w:gridCol w:w="1723"/>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29" w:type="pct"/>
                  <w:gridSpan w:val="2"/>
                  <w:vAlign w:val="center"/>
                </w:tcPr>
                <w:p>
                  <w:pPr>
                    <w:jc w:val="center"/>
                    <w:rPr>
                      <w:rFonts w:ascii="Times New Roman" w:hAnsi="Times New Roman" w:eastAsia="宋体" w:cs="宋体"/>
                      <w:b/>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监测点位</w:t>
                  </w:r>
                </w:p>
              </w:tc>
              <w:tc>
                <w:tcPr>
                  <w:tcW w:w="2870" w:type="pct"/>
                  <w:gridSpan w:val="3"/>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厂区内2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29" w:type="pct"/>
                  <w:gridSpan w:val="2"/>
                  <w:vAlign w:val="center"/>
                </w:tcPr>
                <w:p>
                  <w:pPr>
                    <w:jc w:val="center"/>
                    <w:rPr>
                      <w:rFonts w:ascii="Times New Roman" w:hAnsi="Times New Roman" w:eastAsia="宋体" w:cs="宋体"/>
                      <w:b/>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监测深度（m）</w:t>
                  </w:r>
                </w:p>
              </w:tc>
              <w:tc>
                <w:tcPr>
                  <w:tcW w:w="956"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0-0.5</w:t>
                  </w:r>
                </w:p>
              </w:tc>
              <w:tc>
                <w:tcPr>
                  <w:tcW w:w="956"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0.5-1.5</w:t>
                  </w:r>
                </w:p>
              </w:tc>
              <w:tc>
                <w:tcPr>
                  <w:tcW w:w="957"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1.5-3.0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5"/>
                  <w:vAlign w:val="center"/>
                </w:tcPr>
                <w:p>
                  <w:pPr>
                    <w:jc w:val="left"/>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监测日期：</w:t>
                  </w:r>
                  <w:r>
                    <w:rPr>
                      <w:rFonts w:hint="eastAsia" w:ascii="Times New Roman" w:hAnsi="Times New Roman" w:eastAsia="宋体" w:cs="宋体"/>
                      <w:b/>
                      <w:bCs/>
                      <w:color w:val="000000" w:themeColor="text1"/>
                      <w:sz w:val="21"/>
                      <w:szCs w:val="21"/>
                      <w:highlight w:val="none"/>
                      <w14:textFill>
                        <w14:solidFill>
                          <w14:schemeClr w14:val="tx1"/>
                        </w14:solidFill>
                      </w14:textFill>
                    </w:rPr>
                    <w:t>2021年1月14日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restart"/>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分析项目</w:t>
                  </w: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砷（mg/kg）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1.23</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1.26</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镉（mg/kg）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1.15</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1.20</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铜（mg/kg）</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48</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53</w:t>
                  </w:r>
                </w:p>
              </w:tc>
              <w:tc>
                <w:tcPr>
                  <w:tcW w:w="95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铅（mg/kg）</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33</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39</w:t>
                  </w:r>
                </w:p>
              </w:tc>
              <w:tc>
                <w:tcPr>
                  <w:tcW w:w="95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汞（mg/kg）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0.986</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1.15</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镍（mg/kg）</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55</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63</w:t>
                  </w:r>
                </w:p>
              </w:tc>
              <w:tc>
                <w:tcPr>
                  <w:tcW w:w="95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六价铬（mg/kg）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四氯化碳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氯仿</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氯甲烷 （</w:t>
                  </w:r>
                  <w:r>
                    <w:rPr>
                      <w:rFonts w:hint="eastAsia" w:ascii="Times New Roman" w:hAnsi="Times New Roman" w:eastAsia="宋体" w:cs="宋体"/>
                      <w:color w:val="000000" w:themeColor="text1"/>
                      <w:sz w:val="21"/>
                      <w:szCs w:val="21"/>
                      <w:highlight w:val="none"/>
                      <w14:textFill>
                        <w14:solidFill>
                          <w14:schemeClr w14:val="tx1"/>
                        </w14:solidFill>
                      </w14:textFill>
                    </w:rPr>
                    <w:t>μ</w:t>
                  </w:r>
                  <w:r>
                    <w:rPr>
                      <w:rFonts w:hint="eastAsia" w:ascii="Times New Roman" w:hAnsi="Times New Roman" w:eastAsia="宋体" w:cs="宋体"/>
                      <w:bCs/>
                      <w:color w:val="000000" w:themeColor="text1"/>
                      <w:kern w:val="0"/>
                      <w:sz w:val="21"/>
                      <w:szCs w:val="21"/>
                      <w:highlight w:val="none"/>
                      <w:lang w:bidi="ar"/>
                      <w14:textFill>
                        <w14:solidFill>
                          <w14:schemeClr w14:val="tx1"/>
                        </w14:solidFill>
                      </w14:textFill>
                    </w:rPr>
                    <w:t>g/kg</w:t>
                  </w:r>
                  <w:r>
                    <w:rPr>
                      <w:rFonts w:hint="eastAsia" w:ascii="Times New Roman" w:hAnsi="Times New Roman" w:eastAsia="宋体" w:cs="宋体"/>
                      <w:color w:val="000000" w:themeColor="text1"/>
                      <w:sz w:val="21"/>
                      <w:szCs w:val="21"/>
                      <w:highlight w:val="none"/>
                      <w14:textFill>
                        <w14:solidFill>
                          <w14:schemeClr w14:val="tx1"/>
                        </w14:solidFill>
                      </w14:textFill>
                    </w:rPr>
                    <w:t>）</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1,1-二氯乙烷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1,1-二氯乙烯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顺-1,2-二氯乙烯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反-1,2-二氯乙烯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二氯甲烷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1,1,1,2-四氯乙烷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1,1,2,2-四氯乙烷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四氯乙烯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1,1,1-三氯乙烷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1,1,2-三氯乙烷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三氯乙烯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1,2,3-三氯丙烷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氯苯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1,4-二氯苯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乙苯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间二甲苯+对二甲苯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邻二甲苯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硝基苯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苯胺</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2-氯酚</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苯并[a]蒽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苯并[a]芘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苯并[b]荧蒽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苯并[k]荧蒽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䓛</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二苯并[a, h]蒽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茚并[1,2,3-cd]芘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Cs/>
                      <w:color w:val="000000" w:themeColor="text1"/>
                      <w:sz w:val="21"/>
                      <w:szCs w:val="21"/>
                      <w:highlight w:val="none"/>
                      <w14:textFill>
                        <w14:solidFill>
                          <w14:schemeClr w14:val="tx1"/>
                        </w14:solidFill>
                      </w14:textFill>
                    </w:rPr>
                    <w:t>备注</w:t>
                  </w:r>
                </w:p>
              </w:tc>
              <w:tc>
                <w:tcPr>
                  <w:tcW w:w="4338" w:type="pct"/>
                  <w:gridSpan w:val="4"/>
                  <w:vAlign w:val="center"/>
                </w:tcPr>
                <w:p>
                  <w:pPr>
                    <w:widowControl/>
                    <w:jc w:val="left"/>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“L”表示未检出，检测结果低于方法检出限以L或未检出表示</w:t>
                  </w:r>
                </w:p>
              </w:tc>
            </w:tr>
          </w:tbl>
          <w:p>
            <w:pPr>
              <w:pStyle w:val="49"/>
              <w:snapToGrid/>
              <w:ind w:firstLine="479" w:firstLineChars="199"/>
              <w:jc w:val="center"/>
              <w:rPr>
                <w:rFonts w:ascii="Times New Roman" w:hAnsi="Times New Roman" w:eastAsia="宋体"/>
                <w:b/>
                <w:color w:val="000000" w:themeColor="text1"/>
                <w:highlight w:val="none"/>
                <w14:textFill>
                  <w14:solidFill>
                    <w14:schemeClr w14:val="tx1"/>
                  </w14:solidFill>
                </w14:textFill>
              </w:rPr>
            </w:pPr>
            <w:r>
              <w:rPr>
                <w:rFonts w:hint="eastAsia" w:ascii="Times New Roman" w:hAnsi="Times New Roman" w:eastAsia="宋体"/>
                <w:b/>
                <w:color w:val="000000" w:themeColor="text1"/>
                <w:highlight w:val="none"/>
                <w14:textFill>
                  <w14:solidFill>
                    <w14:schemeClr w14:val="tx1"/>
                  </w14:solidFill>
                </w14:textFill>
              </w:rPr>
              <w:t>表</w:t>
            </w:r>
            <w:r>
              <w:rPr>
                <w:rFonts w:ascii="Times New Roman" w:hAnsi="Times New Roman" w:eastAsia="宋体"/>
                <w:b/>
                <w:color w:val="000000" w:themeColor="text1"/>
                <w:highlight w:val="none"/>
                <w14:textFill>
                  <w14:solidFill>
                    <w14:schemeClr w14:val="tx1"/>
                  </w14:solidFill>
                </w14:textFill>
              </w:rPr>
              <w:t>3-</w:t>
            </w:r>
            <w:r>
              <w:rPr>
                <w:rFonts w:hint="eastAsia" w:ascii="Times New Roman" w:hAnsi="Times New Roman" w:eastAsia="宋体"/>
                <w:b/>
                <w:color w:val="000000" w:themeColor="text1"/>
                <w:highlight w:val="none"/>
                <w:lang w:val="en-US" w:eastAsia="zh-CN"/>
                <w14:textFill>
                  <w14:solidFill>
                    <w14:schemeClr w14:val="tx1"/>
                  </w14:solidFill>
                </w14:textFill>
              </w:rPr>
              <w:t>7</w:t>
            </w:r>
            <w:r>
              <w:rPr>
                <w:rFonts w:ascii="Times New Roman" w:hAnsi="Times New Roman" w:eastAsia="宋体"/>
                <w:b/>
                <w:color w:val="000000" w:themeColor="text1"/>
                <w:highlight w:val="none"/>
                <w14:textFill>
                  <w14:solidFill>
                    <w14:schemeClr w14:val="tx1"/>
                  </w14:solidFill>
                </w14:textFill>
              </w:rPr>
              <w:t xml:space="preserve">  </w:t>
            </w:r>
            <w:r>
              <w:rPr>
                <w:rFonts w:ascii="Times New Roman" w:hAnsi="Times New Roman" w:eastAsia="宋体"/>
                <w:b/>
                <w:bCs/>
                <w:color w:val="000000" w:themeColor="text1"/>
                <w:highlight w:val="none"/>
                <w14:textFill>
                  <w14:solidFill>
                    <w14:schemeClr w14:val="tx1"/>
                  </w14:solidFill>
                </w14:textFill>
              </w:rPr>
              <w:t>T</w:t>
            </w:r>
            <w:r>
              <w:rPr>
                <w:rFonts w:hint="eastAsia" w:ascii="Times New Roman" w:hAnsi="Times New Roman" w:eastAsia="宋体"/>
                <w:b/>
                <w:bCs/>
                <w:color w:val="000000" w:themeColor="text1"/>
                <w:highlight w:val="none"/>
                <w:lang w:val="en-US" w:eastAsia="zh-CN"/>
                <w14:textFill>
                  <w14:solidFill>
                    <w14:schemeClr w14:val="tx1"/>
                  </w14:solidFill>
                </w14:textFill>
              </w:rPr>
              <w:t>3</w:t>
            </w:r>
            <w:r>
              <w:rPr>
                <w:rFonts w:hint="eastAsia" w:ascii="Times New Roman" w:hAnsi="Times New Roman" w:eastAsia="宋体"/>
                <w:b/>
                <w:bCs/>
                <w:color w:val="000000" w:themeColor="text1"/>
                <w:highlight w:val="none"/>
                <w14:textFill>
                  <w14:solidFill>
                    <w14:schemeClr w14:val="tx1"/>
                  </w14:solidFill>
                </w14:textFill>
              </w:rPr>
              <w:t>监测点位</w:t>
            </w:r>
            <w:r>
              <w:rPr>
                <w:rFonts w:hint="eastAsia" w:ascii="Times New Roman" w:hAnsi="Times New Roman" w:eastAsia="宋体"/>
                <w:b/>
                <w:color w:val="000000" w:themeColor="text1"/>
                <w:highlight w:val="none"/>
                <w14:textFill>
                  <w14:solidFill>
                    <w14:schemeClr w14:val="tx1"/>
                  </w14:solidFill>
                </w14:textFill>
              </w:rPr>
              <w:t>土壤监测结果</w:t>
            </w:r>
          </w:p>
          <w:tbl>
            <w:tblPr>
              <w:tblStyle w:val="32"/>
              <w:tblpPr w:leftFromText="180" w:rightFromText="180" w:vertAnchor="text" w:horzAnchor="margin" w:tblpXSpec="center" w:tblpY="6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2647"/>
              <w:gridCol w:w="1723"/>
              <w:gridCol w:w="1723"/>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29" w:type="pct"/>
                  <w:gridSpan w:val="2"/>
                  <w:vAlign w:val="center"/>
                </w:tcPr>
                <w:p>
                  <w:pPr>
                    <w:jc w:val="center"/>
                    <w:rPr>
                      <w:rFonts w:ascii="Times New Roman" w:hAnsi="Times New Roman" w:eastAsia="宋体" w:cs="宋体"/>
                      <w:b/>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监测点位</w:t>
                  </w:r>
                </w:p>
              </w:tc>
              <w:tc>
                <w:tcPr>
                  <w:tcW w:w="2870" w:type="pct"/>
                  <w:gridSpan w:val="3"/>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厂区内3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29" w:type="pct"/>
                  <w:gridSpan w:val="2"/>
                  <w:vAlign w:val="center"/>
                </w:tcPr>
                <w:p>
                  <w:pPr>
                    <w:jc w:val="center"/>
                    <w:rPr>
                      <w:rFonts w:ascii="Times New Roman" w:hAnsi="Times New Roman" w:eastAsia="宋体" w:cs="宋体"/>
                      <w:b/>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监测深度（m）</w:t>
                  </w:r>
                </w:p>
              </w:tc>
              <w:tc>
                <w:tcPr>
                  <w:tcW w:w="956"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0-0.5</w:t>
                  </w:r>
                </w:p>
              </w:tc>
              <w:tc>
                <w:tcPr>
                  <w:tcW w:w="956"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0.5-1.5</w:t>
                  </w:r>
                </w:p>
              </w:tc>
              <w:tc>
                <w:tcPr>
                  <w:tcW w:w="957"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1.5-3.0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5"/>
                  <w:vAlign w:val="center"/>
                </w:tcPr>
                <w:p>
                  <w:pPr>
                    <w:jc w:val="left"/>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监测日期：</w:t>
                  </w:r>
                  <w:r>
                    <w:rPr>
                      <w:rFonts w:hint="eastAsia" w:ascii="Times New Roman" w:hAnsi="Times New Roman" w:eastAsia="宋体" w:cs="宋体"/>
                      <w:b/>
                      <w:bCs/>
                      <w:color w:val="000000" w:themeColor="text1"/>
                      <w:sz w:val="21"/>
                      <w:szCs w:val="21"/>
                      <w:highlight w:val="none"/>
                      <w14:textFill>
                        <w14:solidFill>
                          <w14:schemeClr w14:val="tx1"/>
                        </w14:solidFill>
                      </w14:textFill>
                    </w:rPr>
                    <w:t>2021年1月14日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restart"/>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分析项目</w:t>
                  </w: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砷（mg/kg）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1.21</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1.23</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镉（mg/kg）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1.13</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1.16</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铜（mg/kg）</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43</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49</w:t>
                  </w:r>
                </w:p>
              </w:tc>
              <w:tc>
                <w:tcPr>
                  <w:tcW w:w="95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铅（mg/kg）</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32</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37</w:t>
                  </w:r>
                </w:p>
              </w:tc>
              <w:tc>
                <w:tcPr>
                  <w:tcW w:w="95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汞（mg/kg）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1.13</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1.15</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镍（mg/kg）</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58</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60</w:t>
                  </w:r>
                </w:p>
              </w:tc>
              <w:tc>
                <w:tcPr>
                  <w:tcW w:w="95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六价铬（mg/kg）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四氯化碳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氯仿</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氯甲烷 （</w:t>
                  </w:r>
                  <w:r>
                    <w:rPr>
                      <w:rFonts w:hint="eastAsia" w:ascii="Times New Roman" w:hAnsi="Times New Roman" w:eastAsia="宋体" w:cs="宋体"/>
                      <w:color w:val="000000" w:themeColor="text1"/>
                      <w:sz w:val="21"/>
                      <w:szCs w:val="21"/>
                      <w:highlight w:val="none"/>
                      <w14:textFill>
                        <w14:solidFill>
                          <w14:schemeClr w14:val="tx1"/>
                        </w14:solidFill>
                      </w14:textFill>
                    </w:rPr>
                    <w:t>μ</w:t>
                  </w:r>
                  <w:r>
                    <w:rPr>
                      <w:rFonts w:hint="eastAsia" w:ascii="Times New Roman" w:hAnsi="Times New Roman" w:eastAsia="宋体" w:cs="宋体"/>
                      <w:bCs/>
                      <w:color w:val="000000" w:themeColor="text1"/>
                      <w:kern w:val="0"/>
                      <w:sz w:val="21"/>
                      <w:szCs w:val="21"/>
                      <w:highlight w:val="none"/>
                      <w:lang w:bidi="ar"/>
                      <w14:textFill>
                        <w14:solidFill>
                          <w14:schemeClr w14:val="tx1"/>
                        </w14:solidFill>
                      </w14:textFill>
                    </w:rPr>
                    <w:t>g/kg</w:t>
                  </w:r>
                  <w:r>
                    <w:rPr>
                      <w:rFonts w:hint="eastAsia" w:ascii="Times New Roman" w:hAnsi="Times New Roman" w:eastAsia="宋体" w:cs="宋体"/>
                      <w:color w:val="000000" w:themeColor="text1"/>
                      <w:sz w:val="21"/>
                      <w:szCs w:val="21"/>
                      <w:highlight w:val="none"/>
                      <w14:textFill>
                        <w14:solidFill>
                          <w14:schemeClr w14:val="tx1"/>
                        </w14:solidFill>
                      </w14:textFill>
                    </w:rPr>
                    <w:t>）</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1,1-二氯乙烷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1,1-二氯乙烯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顺-1,2-二氯乙烯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反-1,2-二氯乙烯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二氯甲烷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1,1,1,2-四氯乙烷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1,1,2,2-四氯乙烷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四氯乙烯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1,1,1-三氯乙烷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1,1,2-三氯乙烷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三氯乙烯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1,2,3-三氯丙烷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氯苯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1,4-二氯苯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乙苯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间二甲苯+对二甲苯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邻二甲苯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硝基苯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苯胺</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2-氯酚</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苯并[a]蒽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苯并[a]芘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苯并[b]荧蒽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苯并[k]荧蒽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䓛</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二苯并[a, h]蒽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茚并[1,2,3-cd]芘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Cs/>
                      <w:color w:val="000000" w:themeColor="text1"/>
                      <w:sz w:val="21"/>
                      <w:szCs w:val="21"/>
                      <w:highlight w:val="none"/>
                      <w14:textFill>
                        <w14:solidFill>
                          <w14:schemeClr w14:val="tx1"/>
                        </w14:solidFill>
                      </w14:textFill>
                    </w:rPr>
                    <w:t>备注</w:t>
                  </w:r>
                </w:p>
              </w:tc>
              <w:tc>
                <w:tcPr>
                  <w:tcW w:w="4338" w:type="pct"/>
                  <w:gridSpan w:val="4"/>
                  <w:vAlign w:val="center"/>
                </w:tcPr>
                <w:p>
                  <w:pPr>
                    <w:widowControl/>
                    <w:jc w:val="left"/>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“L”表示未检出，检测结果低于方法检出限以L或未检出表示</w:t>
                  </w:r>
                </w:p>
              </w:tc>
            </w:tr>
          </w:tbl>
          <w:p>
            <w:pPr>
              <w:pStyle w:val="49"/>
              <w:snapToGrid/>
              <w:ind w:firstLine="479" w:firstLineChars="199"/>
              <w:jc w:val="center"/>
              <w:rPr>
                <w:rFonts w:ascii="Times New Roman" w:hAnsi="Times New Roman" w:eastAsia="宋体"/>
                <w:b/>
                <w:color w:val="000000" w:themeColor="text1"/>
                <w:highlight w:val="none"/>
                <w14:textFill>
                  <w14:solidFill>
                    <w14:schemeClr w14:val="tx1"/>
                  </w14:solidFill>
                </w14:textFill>
              </w:rPr>
            </w:pPr>
            <w:r>
              <w:rPr>
                <w:rFonts w:ascii="Times New Roman" w:hAnsi="Times New Roman" w:eastAsia="宋体"/>
                <w:b/>
                <w:color w:val="000000" w:themeColor="text1"/>
                <w:highlight w:val="none"/>
                <w14:textFill>
                  <w14:solidFill>
                    <w14:schemeClr w14:val="tx1"/>
                  </w14:solidFill>
                </w14:textFill>
              </w:rPr>
              <w:t>表3-</w:t>
            </w:r>
            <w:r>
              <w:rPr>
                <w:rFonts w:hint="eastAsia" w:ascii="Times New Roman" w:hAnsi="Times New Roman" w:eastAsia="宋体"/>
                <w:b/>
                <w:color w:val="000000" w:themeColor="text1"/>
                <w:highlight w:val="none"/>
                <w:lang w:val="en-US" w:eastAsia="zh-CN"/>
                <w14:textFill>
                  <w14:solidFill>
                    <w14:schemeClr w14:val="tx1"/>
                  </w14:solidFill>
                </w14:textFill>
              </w:rPr>
              <w:t>8</w:t>
            </w:r>
            <w:r>
              <w:rPr>
                <w:rFonts w:ascii="Times New Roman" w:hAnsi="Times New Roman" w:eastAsia="宋体"/>
                <w:b/>
                <w:color w:val="000000" w:themeColor="text1"/>
                <w:highlight w:val="none"/>
                <w14:textFill>
                  <w14:solidFill>
                    <w14:schemeClr w14:val="tx1"/>
                  </w14:solidFill>
                </w14:textFill>
              </w:rPr>
              <w:t xml:space="preserve">  </w:t>
            </w:r>
            <w:r>
              <w:rPr>
                <w:rFonts w:ascii="Times New Roman" w:hAnsi="Times New Roman" w:eastAsia="宋体"/>
                <w:b/>
                <w:bCs/>
                <w:color w:val="000000" w:themeColor="text1"/>
                <w:highlight w:val="none"/>
                <w14:textFill>
                  <w14:solidFill>
                    <w14:schemeClr w14:val="tx1"/>
                  </w14:solidFill>
                </w14:textFill>
              </w:rPr>
              <w:t>T</w:t>
            </w:r>
            <w:r>
              <w:rPr>
                <w:rFonts w:hint="eastAsia" w:ascii="Times New Roman" w:hAnsi="Times New Roman" w:eastAsia="宋体"/>
                <w:b/>
                <w:bCs/>
                <w:color w:val="000000" w:themeColor="text1"/>
                <w:highlight w:val="none"/>
                <w:lang w:val="en-US" w:eastAsia="zh-CN"/>
                <w14:textFill>
                  <w14:solidFill>
                    <w14:schemeClr w14:val="tx1"/>
                  </w14:solidFill>
                </w14:textFill>
              </w:rPr>
              <w:t>4</w:t>
            </w:r>
            <w:r>
              <w:rPr>
                <w:rFonts w:ascii="Times New Roman" w:hAnsi="Times New Roman" w:eastAsia="宋体"/>
                <w:b/>
                <w:bCs/>
                <w:color w:val="000000" w:themeColor="text1"/>
                <w:highlight w:val="none"/>
                <w14:textFill>
                  <w14:solidFill>
                    <w14:schemeClr w14:val="tx1"/>
                  </w14:solidFill>
                </w14:textFill>
              </w:rPr>
              <w:t>~T6监测点位</w:t>
            </w:r>
            <w:r>
              <w:rPr>
                <w:rFonts w:ascii="Times New Roman" w:hAnsi="Times New Roman" w:eastAsia="宋体"/>
                <w:b/>
                <w:color w:val="000000" w:themeColor="text1"/>
                <w:highlight w:val="none"/>
                <w14:textFill>
                  <w14:solidFill>
                    <w14:schemeClr w14:val="tx1"/>
                  </w14:solidFill>
                </w14:textFill>
              </w:rPr>
              <w:t>土壤监测结果</w:t>
            </w:r>
          </w:p>
          <w:tbl>
            <w:tblPr>
              <w:tblStyle w:val="32"/>
              <w:tblpPr w:leftFromText="180" w:rightFromText="180" w:vertAnchor="text" w:horzAnchor="margin" w:tblpXSpec="center" w:tblpY="6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2647"/>
              <w:gridCol w:w="1723"/>
              <w:gridCol w:w="1723"/>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29" w:type="pct"/>
                  <w:gridSpan w:val="2"/>
                  <w:vAlign w:val="center"/>
                </w:tcPr>
                <w:p>
                  <w:pPr>
                    <w:jc w:val="center"/>
                    <w:rPr>
                      <w:rFonts w:ascii="Times New Roman" w:hAnsi="Times New Roman" w:eastAsia="宋体" w:cs="宋体"/>
                      <w:b/>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监测点位</w:t>
                  </w:r>
                </w:p>
              </w:tc>
              <w:tc>
                <w:tcPr>
                  <w:tcW w:w="956"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厂区内4</w:t>
                  </w:r>
                </w:p>
              </w:tc>
              <w:tc>
                <w:tcPr>
                  <w:tcW w:w="956"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厂区内5</w:t>
                  </w:r>
                </w:p>
              </w:tc>
              <w:tc>
                <w:tcPr>
                  <w:tcW w:w="957"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厂区内6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129" w:type="pct"/>
                  <w:gridSpan w:val="2"/>
                  <w:vAlign w:val="center"/>
                </w:tcPr>
                <w:p>
                  <w:pPr>
                    <w:jc w:val="center"/>
                    <w:rPr>
                      <w:rFonts w:ascii="Times New Roman" w:hAnsi="Times New Roman" w:eastAsia="宋体" w:cs="宋体"/>
                      <w:b/>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监测深度（m）</w:t>
                  </w:r>
                </w:p>
              </w:tc>
              <w:tc>
                <w:tcPr>
                  <w:tcW w:w="956"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0-0.2</w:t>
                  </w:r>
                </w:p>
              </w:tc>
              <w:tc>
                <w:tcPr>
                  <w:tcW w:w="956"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0-0.2</w:t>
                  </w:r>
                </w:p>
              </w:tc>
              <w:tc>
                <w:tcPr>
                  <w:tcW w:w="957" w:type="pct"/>
                  <w:vAlign w:val="center"/>
                </w:tcPr>
                <w:p>
                  <w:pPr>
                    <w:jc w:val="center"/>
                    <w:rPr>
                      <w:rFonts w:ascii="Times New Roman" w:hAnsi="Times New Roman" w:eastAsia="宋体" w:cs="宋体"/>
                      <w:b/>
                      <w:bCs/>
                      <w:color w:val="000000" w:themeColor="text1"/>
                      <w:sz w:val="21"/>
                      <w:szCs w:val="21"/>
                      <w:highlight w:val="none"/>
                      <w14:textFill>
                        <w14:solidFill>
                          <w14:schemeClr w14:val="tx1"/>
                        </w14:solidFill>
                      </w14:textFill>
                    </w:rPr>
                  </w:pPr>
                  <w:r>
                    <w:rPr>
                      <w:rFonts w:hint="eastAsia" w:ascii="Times New Roman" w:hAnsi="Times New Roman" w:eastAsia="宋体" w:cs="宋体"/>
                      <w:b/>
                      <w:bCs/>
                      <w:color w:val="000000" w:themeColor="text1"/>
                      <w:sz w:val="21"/>
                      <w:szCs w:val="21"/>
                      <w:highlight w:val="none"/>
                      <w14:textFill>
                        <w14:solidFill>
                          <w14:schemeClr w14:val="tx1"/>
                        </w14:solidFill>
                      </w14:textFill>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5"/>
                  <w:vAlign w:val="center"/>
                </w:tcPr>
                <w:p>
                  <w:pPr>
                    <w:jc w:val="left"/>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监测日期：</w:t>
                  </w:r>
                  <w:r>
                    <w:rPr>
                      <w:rFonts w:hint="eastAsia" w:ascii="Times New Roman" w:hAnsi="Times New Roman" w:eastAsia="宋体" w:cs="宋体"/>
                      <w:b/>
                      <w:bCs/>
                      <w:color w:val="000000" w:themeColor="text1"/>
                      <w:sz w:val="21"/>
                      <w:szCs w:val="21"/>
                      <w:highlight w:val="none"/>
                      <w14:textFill>
                        <w14:solidFill>
                          <w14:schemeClr w14:val="tx1"/>
                        </w14:solidFill>
                      </w14:textFill>
                    </w:rPr>
                    <w:t>2021年1月14日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restart"/>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
                      <w:color w:val="000000" w:themeColor="text1"/>
                      <w:sz w:val="21"/>
                      <w:szCs w:val="21"/>
                      <w:highlight w:val="none"/>
                      <w14:textFill>
                        <w14:solidFill>
                          <w14:schemeClr w14:val="tx1"/>
                        </w14:solidFill>
                      </w14:textFill>
                    </w:rPr>
                    <w:t>分析项目</w:t>
                  </w: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砷（mg/kg）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1.13</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1.20</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镉（mg/kg）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1.11</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1.15</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铜（mg/kg）</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38</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42</w:t>
                  </w:r>
                </w:p>
              </w:tc>
              <w:tc>
                <w:tcPr>
                  <w:tcW w:w="95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铅（mg/kg）</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31</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33</w:t>
                  </w:r>
                </w:p>
              </w:tc>
              <w:tc>
                <w:tcPr>
                  <w:tcW w:w="95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汞（mg/kg）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0.967</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0.983</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镍（mg/kg）</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53</w:t>
                  </w:r>
                </w:p>
              </w:tc>
              <w:tc>
                <w:tcPr>
                  <w:tcW w:w="956"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57</w:t>
                  </w:r>
                </w:p>
              </w:tc>
              <w:tc>
                <w:tcPr>
                  <w:tcW w:w="957" w:type="pct"/>
                  <w:vAlign w:val="center"/>
                </w:tcPr>
                <w:p>
                  <w:pPr>
                    <w:widowControl/>
                    <w:jc w:val="center"/>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widowControl/>
                    <w:jc w:val="center"/>
                    <w:textAlignment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bCs/>
                      <w:color w:val="000000" w:themeColor="text1"/>
                      <w:kern w:val="0"/>
                      <w:sz w:val="21"/>
                      <w:szCs w:val="21"/>
                      <w:highlight w:val="none"/>
                      <w14:textFill>
                        <w14:solidFill>
                          <w14:schemeClr w14:val="tx1"/>
                        </w14:solidFill>
                      </w14:textFill>
                    </w:rPr>
                    <w:t>六价铬（mg/kg）</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c>
                <w:tcPr>
                  <w:tcW w:w="956"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c>
                <w:tcPr>
                  <w:tcW w:w="957" w:type="pct"/>
                  <w:vAlign w:val="center"/>
                </w:tcPr>
                <w:p>
                  <w:pPr>
                    <w:widowControl/>
                    <w:jc w:val="center"/>
                    <w:textAlignment w:val="bottom"/>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四氯化碳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氯仿</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氯甲烷 （</w:t>
                  </w:r>
                  <w:r>
                    <w:rPr>
                      <w:rFonts w:hint="eastAsia" w:ascii="Times New Roman" w:hAnsi="Times New Roman" w:eastAsia="宋体" w:cs="宋体"/>
                      <w:color w:val="000000" w:themeColor="text1"/>
                      <w:sz w:val="21"/>
                      <w:szCs w:val="21"/>
                      <w:highlight w:val="none"/>
                      <w14:textFill>
                        <w14:solidFill>
                          <w14:schemeClr w14:val="tx1"/>
                        </w14:solidFill>
                      </w14:textFill>
                    </w:rPr>
                    <w:t>μ</w:t>
                  </w:r>
                  <w:r>
                    <w:rPr>
                      <w:rFonts w:hint="eastAsia" w:ascii="Times New Roman" w:hAnsi="Times New Roman" w:eastAsia="宋体" w:cs="宋体"/>
                      <w:bCs/>
                      <w:color w:val="000000" w:themeColor="text1"/>
                      <w:kern w:val="0"/>
                      <w:sz w:val="21"/>
                      <w:szCs w:val="21"/>
                      <w:highlight w:val="none"/>
                      <w:lang w:bidi="ar"/>
                      <w14:textFill>
                        <w14:solidFill>
                          <w14:schemeClr w14:val="tx1"/>
                        </w14:solidFill>
                      </w14:textFill>
                    </w:rPr>
                    <w:t>g/kg</w:t>
                  </w:r>
                  <w:r>
                    <w:rPr>
                      <w:rFonts w:hint="eastAsia" w:ascii="Times New Roman" w:hAnsi="Times New Roman" w:eastAsia="宋体" w:cs="宋体"/>
                      <w:color w:val="000000" w:themeColor="text1"/>
                      <w:sz w:val="21"/>
                      <w:szCs w:val="21"/>
                      <w:highlight w:val="none"/>
                      <w14:textFill>
                        <w14:solidFill>
                          <w14:schemeClr w14:val="tx1"/>
                        </w14:solidFill>
                      </w14:textFill>
                    </w:rPr>
                    <w:t>）</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1,1-二氯乙烷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1,1-二氯乙烯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顺-1,2-二氯乙烯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反-1,2-二氯乙烯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二氯甲烷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1,1,1,2-四氯乙烷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1,1,2,2-四氯乙烷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四氯乙烯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1,1,1-三氯乙烷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1,1,2-三氯乙烷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三氯乙烯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1,2,3-三氯丙烷</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 xml:space="preserve">氯苯 </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1,2-二氯苯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1,4-二氯苯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0.008L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乙苯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苯乙烯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间二甲苯+对二甲苯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邻二甲苯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硝基苯</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苯胺</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2-氯酚</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0.06L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苯并[a]蒽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苯并[a]芘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苯并[b]荧蒽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苯并[k]荧蒽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䓛</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二苯并[a, h]蒽</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茚并[1,2,3-cd]芘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61" w:type="pct"/>
                  <w:vMerge w:val="continue"/>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p>
              </w:tc>
              <w:tc>
                <w:tcPr>
                  <w:tcW w:w="1467" w:type="pct"/>
                  <w:vAlign w:val="center"/>
                </w:tcPr>
                <w:p>
                  <w:pPr>
                    <w:jc w:val="center"/>
                    <w:rPr>
                      <w:rFonts w:ascii="Times New Roman" w:hAnsi="Times New Roman" w:eastAsia="宋体" w:cs="宋体"/>
                      <w:bCs/>
                      <w:color w:val="000000" w:themeColor="text1"/>
                      <w:kern w:val="0"/>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萘</w:t>
                  </w:r>
                  <w:r>
                    <w:rPr>
                      <w:rFonts w:hint="eastAsia" w:ascii="Times New Roman" w:hAnsi="Times New Roman" w:eastAsia="宋体" w:cs="宋体"/>
                      <w:bCs/>
                      <w:color w:val="000000" w:themeColor="text1"/>
                      <w:kern w:val="0"/>
                      <w:sz w:val="21"/>
                      <w:szCs w:val="21"/>
                      <w:highlight w:val="none"/>
                      <w14:textFill>
                        <w14:solidFill>
                          <w14:schemeClr w14:val="tx1"/>
                        </w14:solidFill>
                      </w14:textFill>
                    </w:rPr>
                    <w:t>（mg/kg）</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6"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c>
                <w:tcPr>
                  <w:tcW w:w="957" w:type="pct"/>
                  <w:vAlign w:val="center"/>
                </w:tcPr>
                <w:p>
                  <w:pPr>
                    <w:widowControl/>
                    <w:jc w:val="center"/>
                    <w:textAlignment w:val="center"/>
                    <w:rPr>
                      <w:rFonts w:ascii="Times New Roman" w:hAnsi="Times New Roman" w:eastAsia="宋体" w:cs="宋体"/>
                      <w:color w:val="000000" w:themeColor="text1"/>
                      <w:kern w:val="0"/>
                      <w:sz w:val="21"/>
                      <w:szCs w:val="21"/>
                      <w:highlight w:val="none"/>
                      <w:lang w:bidi="ar"/>
                      <w14:textFill>
                        <w14:solidFill>
                          <w14:schemeClr w14:val="tx1"/>
                        </w14:solidFill>
                      </w14:textFill>
                    </w:rPr>
                  </w:pPr>
                  <w:r>
                    <w:rPr>
                      <w:rFonts w:hint="eastAsia" w:ascii="Times New Roman" w:hAnsi="Times New Roman" w:eastAsia="宋体" w:cs="宋体"/>
                      <w:color w:val="000000" w:themeColor="text1"/>
                      <w:kern w:val="0"/>
                      <w:sz w:val="21"/>
                      <w:szCs w:val="21"/>
                      <w:highlight w:val="none"/>
                      <w:lang w:bidi="ar"/>
                      <w14:textFill>
                        <w14:solidFill>
                          <w14:schemeClr w14:val="tx1"/>
                        </w14:solidFill>
                      </w14:textFill>
                    </w:rPr>
                    <w:t>0.09L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661" w:type="pct"/>
                  <w:vAlign w:val="center"/>
                </w:tcPr>
                <w:p>
                  <w:pPr>
                    <w:jc w:val="center"/>
                    <w:rPr>
                      <w:rFonts w:ascii="Times New Roman" w:hAnsi="Times New Roman" w:eastAsia="宋体" w:cs="宋体"/>
                      <w:bCs/>
                      <w:color w:val="000000" w:themeColor="text1"/>
                      <w:sz w:val="21"/>
                      <w:szCs w:val="21"/>
                      <w:highlight w:val="none"/>
                      <w14:textFill>
                        <w14:solidFill>
                          <w14:schemeClr w14:val="tx1"/>
                        </w14:solidFill>
                      </w14:textFill>
                    </w:rPr>
                  </w:pPr>
                  <w:r>
                    <w:rPr>
                      <w:rFonts w:hint="eastAsia" w:ascii="Times New Roman" w:hAnsi="Times New Roman" w:eastAsia="宋体" w:cs="宋体"/>
                      <w:bCs/>
                      <w:color w:val="000000" w:themeColor="text1"/>
                      <w:sz w:val="21"/>
                      <w:szCs w:val="21"/>
                      <w:highlight w:val="none"/>
                      <w14:textFill>
                        <w14:solidFill>
                          <w14:schemeClr w14:val="tx1"/>
                        </w14:solidFill>
                      </w14:textFill>
                    </w:rPr>
                    <w:t>备注</w:t>
                  </w:r>
                </w:p>
              </w:tc>
              <w:tc>
                <w:tcPr>
                  <w:tcW w:w="4338" w:type="pct"/>
                  <w:gridSpan w:val="4"/>
                  <w:vAlign w:val="center"/>
                </w:tcPr>
                <w:p>
                  <w:pPr>
                    <w:widowControl/>
                    <w:jc w:val="left"/>
                    <w:textAlignment w:val="bottom"/>
                    <w:rPr>
                      <w:rFonts w:ascii="Times New Roman" w:hAnsi="Times New Roman" w:eastAsia="宋体" w:cs="宋体"/>
                      <w:color w:val="000000" w:themeColor="text1"/>
                      <w:sz w:val="21"/>
                      <w:szCs w:val="21"/>
                      <w:highlight w:val="none"/>
                      <w14:textFill>
                        <w14:solidFill>
                          <w14:schemeClr w14:val="tx1"/>
                        </w14:solidFill>
                      </w14:textFill>
                    </w:rPr>
                  </w:pPr>
                  <w:r>
                    <w:rPr>
                      <w:rFonts w:hint="eastAsia" w:ascii="Times New Roman" w:hAnsi="Times New Roman" w:eastAsia="宋体" w:cs="宋体"/>
                      <w:color w:val="000000" w:themeColor="text1"/>
                      <w:sz w:val="21"/>
                      <w:szCs w:val="21"/>
                      <w:highlight w:val="none"/>
                      <w14:textFill>
                        <w14:solidFill>
                          <w14:schemeClr w14:val="tx1"/>
                        </w14:solidFill>
                      </w14:textFill>
                    </w:rPr>
                    <w:t>“L”表示未检出，检测结果低于方法检出限以L或未检出表示</w:t>
                  </w:r>
                </w:p>
              </w:tc>
            </w:tr>
          </w:tbl>
          <w:p>
            <w:pPr>
              <w:pStyle w:val="49"/>
              <w:snapToGrid/>
              <w:ind w:firstLine="477" w:firstLineChars="199"/>
              <w:rPr>
                <w:rFonts w:ascii="Times New Roman" w:hAnsi="Times New Roman" w:eastAsia="宋体"/>
                <w:color w:val="000000" w:themeColor="text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t>从上表可知，项目区土壤环境满足《土壤环境质量 建设用地土壤污染风险管控标准（试行）》（GB36600-2018）中第二类用地筛选值标准。</w:t>
            </w:r>
          </w:p>
          <w:p>
            <w:pPr>
              <w:pStyle w:val="49"/>
              <w:snapToGrid/>
              <w:ind w:firstLine="477" w:firstLineChars="199"/>
              <w:rPr>
                <w:rFonts w:ascii="Times New Roman" w:hAnsi="Times New Roman" w:eastAsia="宋体"/>
                <w:caps w:val="0"/>
                <w:color w:val="000000" w:themeColor="text1"/>
                <w:highlight w:val="none"/>
                <w14:textFill>
                  <w14:solidFill>
                    <w14:schemeClr w14:val="tx1"/>
                  </w14:solidFill>
                </w14:textFill>
              </w:rPr>
            </w:pPr>
          </w:p>
          <w:p>
            <w:pPr>
              <w:pStyle w:val="49"/>
              <w:snapToGrid/>
              <w:ind w:firstLine="0" w:firstLineChars="0"/>
              <w:rPr>
                <w:rFonts w:ascii="Times New Roman" w:hAnsi="Times New Roman" w:eastAsia="宋体"/>
                <w:caps w:val="0"/>
                <w:color w:val="000000" w:themeColor="text1"/>
                <w:highlight w:val="none"/>
                <w14:textFill>
                  <w14:solidFill>
                    <w14:schemeClr w14:val="tx1"/>
                  </w14:solidFill>
                </w14:textFill>
              </w:rPr>
            </w:pPr>
          </w:p>
          <w:p>
            <w:pPr>
              <w:pStyle w:val="49"/>
              <w:snapToGrid/>
              <w:ind w:firstLine="0" w:firstLineChars="0"/>
              <w:rPr>
                <w:rFonts w:ascii="Times New Roman" w:hAnsi="Times New Roman" w:eastAsia="宋体"/>
                <w:caps w:val="0"/>
                <w:color w:val="000000" w:themeColor="text1"/>
                <w:highlight w:val="none"/>
                <w14:textFill>
                  <w14:solidFill>
                    <w14:schemeClr w14:val="tx1"/>
                  </w14:solidFill>
                </w14:textFill>
              </w:rPr>
            </w:pPr>
          </w:p>
          <w:p>
            <w:pPr>
              <w:pStyle w:val="49"/>
              <w:snapToGrid/>
              <w:ind w:firstLine="0" w:firstLineChars="0"/>
              <w:rPr>
                <w:rFonts w:ascii="Times New Roman" w:hAnsi="Times New Roman" w:eastAsia="宋体"/>
                <w:caps w:val="0"/>
                <w:color w:val="000000" w:themeColor="text1"/>
                <w:highlight w:val="none"/>
                <w14:textFill>
                  <w14:solidFill>
                    <w14:schemeClr w14:val="tx1"/>
                  </w14:solidFill>
                </w14:textFill>
              </w:rPr>
            </w:pPr>
          </w:p>
          <w:p>
            <w:pPr>
              <w:pStyle w:val="49"/>
              <w:snapToGrid/>
              <w:ind w:firstLine="0" w:firstLineChars="0"/>
              <w:rPr>
                <w:rFonts w:ascii="Times New Roman" w:hAnsi="Times New Roman" w:eastAsia="宋体"/>
                <w:caps w:val="0"/>
                <w:color w:val="000000" w:themeColor="text1"/>
                <w:highlight w:val="none"/>
                <w14:textFill>
                  <w14:solidFill>
                    <w14:schemeClr w14:val="tx1"/>
                  </w14:solidFill>
                </w14:textFill>
              </w:rPr>
            </w:pPr>
          </w:p>
          <w:p>
            <w:pPr>
              <w:pStyle w:val="49"/>
              <w:snapToGrid/>
              <w:ind w:firstLine="0" w:firstLineChars="0"/>
              <w:rPr>
                <w:rFonts w:ascii="Times New Roman" w:hAnsi="Times New Roman" w:eastAsia="宋体"/>
                <w:caps w:val="0"/>
                <w:color w:val="000000" w:themeColor="text1"/>
                <w:highlight w:val="none"/>
                <w14:textFill>
                  <w14:solidFill>
                    <w14:schemeClr w14:val="tx1"/>
                  </w14:solidFill>
                </w14:textFill>
              </w:rPr>
            </w:pPr>
          </w:p>
          <w:p>
            <w:pPr>
              <w:pStyle w:val="49"/>
              <w:snapToGrid/>
              <w:ind w:firstLine="0" w:firstLineChars="0"/>
              <w:rPr>
                <w:rFonts w:ascii="Times New Roman" w:hAnsi="Times New Roman" w:eastAsia="宋体"/>
                <w:caps w:val="0"/>
                <w:color w:val="000000" w:themeColor="text1"/>
                <w:highlight w:val="none"/>
                <w14:textFill>
                  <w14:solidFill>
                    <w14:schemeClr w14:val="tx1"/>
                  </w14:solidFill>
                </w14:textFill>
              </w:rPr>
            </w:pPr>
          </w:p>
          <w:p>
            <w:pPr>
              <w:pStyle w:val="49"/>
              <w:snapToGrid/>
              <w:ind w:firstLine="0" w:firstLineChars="0"/>
              <w:rPr>
                <w:rFonts w:ascii="Times New Roman" w:hAnsi="Times New Roman" w:eastAsia="宋体"/>
                <w:caps w:val="0"/>
                <w:color w:val="000000" w:themeColor="text1"/>
                <w:highlight w:val="none"/>
                <w14:textFill>
                  <w14:solidFill>
                    <w14:schemeClr w14:val="tx1"/>
                  </w14:solidFill>
                </w14:textFill>
              </w:rPr>
            </w:pPr>
          </w:p>
          <w:p>
            <w:pPr>
              <w:pStyle w:val="49"/>
              <w:snapToGrid/>
              <w:ind w:firstLine="0" w:firstLineChars="0"/>
              <w:rPr>
                <w:rFonts w:ascii="Times New Roman" w:hAnsi="Times New Roman" w:eastAsia="宋体"/>
                <w:caps w:val="0"/>
                <w:color w:val="000000" w:themeColor="text1"/>
                <w:highlight w:val="none"/>
                <w14:textFill>
                  <w14:solidFill>
                    <w14:schemeClr w14:val="tx1"/>
                  </w14:solidFill>
                </w14:textFill>
              </w:rPr>
            </w:pPr>
          </w:p>
          <w:p>
            <w:pPr>
              <w:pStyle w:val="49"/>
              <w:snapToGrid/>
              <w:ind w:firstLine="0" w:firstLineChars="0"/>
              <w:rPr>
                <w:rFonts w:ascii="Times New Roman" w:hAnsi="Times New Roman" w:eastAsia="宋体"/>
                <w:caps w:val="0"/>
                <w:color w:val="000000" w:themeColor="text1"/>
                <w:highlight w:val="none"/>
                <w14:textFill>
                  <w14:solidFill>
                    <w14:schemeClr w14:val="tx1"/>
                  </w14:solidFill>
                </w14:textFill>
              </w:rPr>
            </w:pPr>
          </w:p>
          <w:p>
            <w:pPr>
              <w:pStyle w:val="49"/>
              <w:snapToGrid/>
              <w:ind w:firstLine="0" w:firstLineChars="0"/>
              <w:rPr>
                <w:rFonts w:ascii="Times New Roman" w:hAnsi="Times New Roman" w:eastAsia="宋体"/>
                <w:caps w:val="0"/>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6" w:hRule="atLeast"/>
          <w:jc w:val="center"/>
        </w:trPr>
        <w:tc>
          <w:tcPr>
            <w:tcW w:w="5000" w:type="pct"/>
          </w:tcPr>
          <w:p>
            <w:pPr>
              <w:spacing w:before="156" w:beforeLines="50" w:after="156" w:afterLines="50" w:line="360" w:lineRule="auto"/>
              <w:rPr>
                <w:rFonts w:ascii="Times New Roman" w:hAnsi="Times New Roman" w:eastAsia="宋体"/>
                <w:b/>
                <w:caps w:val="0"/>
                <w:color w:val="000000" w:themeColor="text1"/>
                <w:highlight w:val="none"/>
                <w14:textFill>
                  <w14:solidFill>
                    <w14:schemeClr w14:val="tx1"/>
                  </w14:solidFill>
                </w14:textFill>
              </w:rPr>
            </w:pPr>
            <w:r>
              <w:rPr>
                <w:rFonts w:ascii="Times New Roman" w:hAnsi="Times New Roman" w:eastAsia="宋体"/>
                <w:b/>
                <w:caps w:val="0"/>
                <w:color w:val="000000" w:themeColor="text1"/>
                <w:highlight w:val="none"/>
                <w14:textFill>
                  <w14:solidFill>
                    <w14:schemeClr w14:val="tx1"/>
                  </w14:solidFill>
                </w14:textFill>
              </w:rPr>
              <w:t>主要环境保护目标（列出名单及保护级别）</w:t>
            </w:r>
          </w:p>
          <w:p>
            <w:pPr>
              <w:pStyle w:val="13"/>
              <w:spacing w:after="0" w:line="360" w:lineRule="auto"/>
              <w:ind w:left="0" w:leftChars="0" w:firstLine="480" w:firstLineChars="200"/>
              <w:jc w:val="left"/>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其主要环境保护目标如下：</w:t>
            </w:r>
          </w:p>
          <w:p>
            <w:pPr>
              <w:spacing w:line="480" w:lineRule="exact"/>
              <w:jc w:val="center"/>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表3-</w:t>
            </w: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9</w:t>
            </w:r>
            <w:r>
              <w:rPr>
                <w:rFonts w:ascii="Times New Roman" w:hAnsi="Times New Roman" w:eastAsia="宋体"/>
                <w:b/>
                <w:bCs/>
                <w:caps w:val="0"/>
                <w:color w:val="000000" w:themeColor="text1"/>
                <w:sz w:val="24"/>
                <w:highlight w:val="none"/>
                <w14:textFill>
                  <w14:solidFill>
                    <w14:schemeClr w14:val="tx1"/>
                  </w14:solidFill>
                </w14:textFill>
              </w:rPr>
              <w:t xml:space="preserve">  环境保护目标一览表</w:t>
            </w:r>
          </w:p>
          <w:tbl>
            <w:tblPr>
              <w:tblStyle w:val="32"/>
              <w:tblpPr w:leftFromText="180" w:rightFromText="180" w:vertAnchor="text" w:horzAnchor="page" w:tblpX="163" w:tblpY="22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1"/>
              <w:gridCol w:w="1365"/>
              <w:gridCol w:w="794"/>
              <w:gridCol w:w="1107"/>
              <w:gridCol w:w="1225"/>
              <w:gridCol w:w="3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51"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项目</w:t>
                  </w:r>
                </w:p>
              </w:tc>
              <w:tc>
                <w:tcPr>
                  <w:tcW w:w="136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保护对象</w:t>
                  </w:r>
                </w:p>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名称</w:t>
                  </w:r>
                </w:p>
              </w:tc>
              <w:tc>
                <w:tcPr>
                  <w:tcW w:w="794"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方位</w:t>
                  </w:r>
                </w:p>
              </w:tc>
              <w:tc>
                <w:tcPr>
                  <w:tcW w:w="1107"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与</w:t>
                  </w:r>
                  <w:r>
                    <w:rPr>
                      <w:rFonts w:hint="eastAsia" w:ascii="Times New Roman" w:hAnsi="Times New Roman" w:eastAsia="宋体"/>
                      <w:bCs/>
                      <w:color w:val="000000" w:themeColor="text1"/>
                      <w:sz w:val="21"/>
                      <w:szCs w:val="21"/>
                      <w:highlight w:val="none"/>
                      <w14:textFill>
                        <w14:solidFill>
                          <w14:schemeClr w14:val="tx1"/>
                        </w14:solidFill>
                      </w14:textFill>
                    </w:rPr>
                    <w:t>厂界</w:t>
                  </w:r>
                </w:p>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距离</w:t>
                  </w:r>
                </w:p>
              </w:tc>
              <w:tc>
                <w:tcPr>
                  <w:tcW w:w="122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规模</w:t>
                  </w:r>
                </w:p>
              </w:tc>
              <w:tc>
                <w:tcPr>
                  <w:tcW w:w="346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环境功能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51" w:type="dxa"/>
                  <w:vMerge w:val="restart"/>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大气</w:t>
                  </w:r>
                </w:p>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环境</w:t>
                  </w:r>
                </w:p>
              </w:tc>
              <w:tc>
                <w:tcPr>
                  <w:tcW w:w="136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cs="宋体"/>
                      <w:color w:val="000000" w:themeColor="text1"/>
                      <w:sz w:val="21"/>
                      <w:szCs w:val="21"/>
                      <w:highlight w:val="none"/>
                      <w14:textFill>
                        <w14:solidFill>
                          <w14:schemeClr w14:val="tx1"/>
                        </w14:solidFill>
                      </w14:textFill>
                    </w:rPr>
                    <w:t>梨山湖</w:t>
                  </w:r>
                </w:p>
              </w:tc>
              <w:tc>
                <w:tcPr>
                  <w:tcW w:w="794"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lang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E</w:t>
                  </w:r>
                </w:p>
              </w:tc>
              <w:tc>
                <w:tcPr>
                  <w:tcW w:w="1107"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lang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100m</w:t>
                  </w:r>
                </w:p>
              </w:tc>
              <w:tc>
                <w:tcPr>
                  <w:tcW w:w="122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s="宋体"/>
                      <w:color w:val="000000" w:themeColor="text1"/>
                      <w:sz w:val="21"/>
                      <w:szCs w:val="21"/>
                      <w:highlight w:val="none"/>
                      <w14:textFill>
                        <w14:solidFill>
                          <w14:schemeClr w14:val="tx1"/>
                        </w14:solidFill>
                      </w14:textFill>
                    </w:rPr>
                    <w:t>100 户，350 人</w:t>
                  </w:r>
                </w:p>
              </w:tc>
              <w:tc>
                <w:tcPr>
                  <w:tcW w:w="3465" w:type="dxa"/>
                  <w:vMerge w:val="restart"/>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《环境空气质量标准》</w:t>
                  </w:r>
                  <w:r>
                    <w:rPr>
                      <w:rFonts w:hint="eastAsia" w:ascii="Times New Roman" w:hAnsi="Times New Roman" w:eastAsia="宋体"/>
                      <w:color w:val="000000" w:themeColor="text1"/>
                      <w:sz w:val="21"/>
                      <w:szCs w:val="21"/>
                      <w:highlight w:val="none"/>
                      <w14:textFill>
                        <w14:solidFill>
                          <w14:schemeClr w14:val="tx1"/>
                        </w14:solidFill>
                      </w14:textFill>
                    </w:rPr>
                    <w:t>（</w:t>
                  </w:r>
                  <w:r>
                    <w:rPr>
                      <w:rFonts w:ascii="Times New Roman" w:hAnsi="Times New Roman" w:eastAsia="宋体"/>
                      <w:color w:val="000000" w:themeColor="text1"/>
                      <w:sz w:val="21"/>
                      <w:szCs w:val="21"/>
                      <w:highlight w:val="none"/>
                      <w14:textFill>
                        <w14:solidFill>
                          <w14:schemeClr w14:val="tx1"/>
                        </w14:solidFill>
                      </w14:textFill>
                    </w:rPr>
                    <w:t>GB3095-</w:t>
                  </w:r>
                  <w:r>
                    <w:rPr>
                      <w:rFonts w:hint="eastAsia" w:ascii="Times New Roman" w:hAnsi="Times New Roman" w:eastAsia="宋体"/>
                      <w:color w:val="000000" w:themeColor="text1"/>
                      <w:sz w:val="21"/>
                      <w:szCs w:val="21"/>
                      <w:highlight w:val="none"/>
                      <w14:textFill>
                        <w14:solidFill>
                          <w14:schemeClr w14:val="tx1"/>
                        </w14:solidFill>
                      </w14:textFill>
                    </w:rPr>
                    <w:t>2012）</w:t>
                  </w:r>
                  <w:r>
                    <w:rPr>
                      <w:rFonts w:ascii="Times New Roman" w:hAnsi="Times New Roman" w:eastAsia="宋体"/>
                      <w:color w:val="000000" w:themeColor="text1"/>
                      <w:sz w:val="21"/>
                      <w:szCs w:val="21"/>
                      <w:highlight w:val="none"/>
                      <w14:textFill>
                        <w14:solidFill>
                          <w14:schemeClr w14:val="tx1"/>
                        </w14:solidFill>
                      </w14:textFill>
                    </w:rPr>
                    <w:t>二级</w:t>
                  </w:r>
                  <w:r>
                    <w:rPr>
                      <w:rFonts w:hint="eastAsia" w:ascii="Times New Roman" w:hAnsi="Times New Roman" w:eastAsia="宋体"/>
                      <w:color w:val="000000" w:themeColor="text1"/>
                      <w:sz w:val="21"/>
                      <w:szCs w:val="21"/>
                      <w:highlight w:val="none"/>
                      <w14:textFill>
                        <w14:solidFill>
                          <w14:schemeClr w14:val="tx1"/>
                        </w14:solidFill>
                      </w14:textFill>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51" w:type="dxa"/>
                  <w:vMerge w:val="continue"/>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ascii="Times New Roman" w:hAnsi="Times New Roman" w:eastAsia="宋体"/>
                      <w:bCs/>
                      <w:color w:val="000000" w:themeColor="text1"/>
                      <w:sz w:val="21"/>
                      <w:szCs w:val="21"/>
                      <w:highlight w:val="none"/>
                      <w14:textFill>
                        <w14:solidFill>
                          <w14:schemeClr w14:val="tx1"/>
                        </w14:solidFill>
                      </w14:textFill>
                    </w:rPr>
                  </w:pPr>
                </w:p>
              </w:tc>
              <w:tc>
                <w:tcPr>
                  <w:tcW w:w="136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Cs/>
                      <w:color w:val="000000" w:themeColor="text1"/>
                      <w:sz w:val="21"/>
                      <w:szCs w:val="21"/>
                      <w:highlight w:val="none"/>
                      <w:lang w:val="en-US" w:eastAsia="zh-CN"/>
                      <w14:textFill>
                        <w14:solidFill>
                          <w14:schemeClr w14:val="tx1"/>
                        </w14:solidFill>
                      </w14:textFill>
                    </w:rPr>
                    <w:t>方冲</w:t>
                  </w:r>
                </w:p>
              </w:tc>
              <w:tc>
                <w:tcPr>
                  <w:tcW w:w="794"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SW</w:t>
                  </w:r>
                </w:p>
              </w:tc>
              <w:tc>
                <w:tcPr>
                  <w:tcW w:w="1107"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250m</w:t>
                  </w:r>
                </w:p>
              </w:tc>
              <w:tc>
                <w:tcPr>
                  <w:tcW w:w="122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s="宋体"/>
                      <w:color w:val="000000" w:themeColor="text1"/>
                      <w:sz w:val="21"/>
                      <w:szCs w:val="21"/>
                      <w:highlight w:val="none"/>
                      <w14:textFill>
                        <w14:solidFill>
                          <w14:schemeClr w14:val="tx1"/>
                        </w14:solidFill>
                      </w14:textFill>
                    </w:rPr>
                    <w:t>120 户，420 人</w:t>
                  </w:r>
                </w:p>
              </w:tc>
              <w:tc>
                <w:tcPr>
                  <w:tcW w:w="3465" w:type="dxa"/>
                  <w:vMerge w:val="continue"/>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51" w:type="dxa"/>
                  <w:vMerge w:val="continue"/>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ascii="Times New Roman" w:hAnsi="Times New Roman" w:eastAsia="宋体"/>
                      <w:bCs/>
                      <w:color w:val="000000" w:themeColor="text1"/>
                      <w:sz w:val="21"/>
                      <w:szCs w:val="21"/>
                      <w:highlight w:val="none"/>
                      <w14:textFill>
                        <w14:solidFill>
                          <w14:schemeClr w14:val="tx1"/>
                        </w14:solidFill>
                      </w14:textFill>
                    </w:rPr>
                  </w:pPr>
                </w:p>
              </w:tc>
              <w:tc>
                <w:tcPr>
                  <w:tcW w:w="136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Cs/>
                      <w:color w:val="000000" w:themeColor="text1"/>
                      <w:sz w:val="21"/>
                      <w:szCs w:val="21"/>
                      <w:highlight w:val="none"/>
                      <w:lang w:val="en-US" w:eastAsia="zh-CN"/>
                      <w14:textFill>
                        <w14:solidFill>
                          <w14:schemeClr w14:val="tx1"/>
                        </w14:solidFill>
                      </w14:textFill>
                    </w:rPr>
                    <w:t>上铁</w:t>
                  </w:r>
                </w:p>
              </w:tc>
              <w:tc>
                <w:tcPr>
                  <w:tcW w:w="794"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W</w:t>
                  </w:r>
                </w:p>
              </w:tc>
              <w:tc>
                <w:tcPr>
                  <w:tcW w:w="1107"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250m</w:t>
                  </w:r>
                </w:p>
              </w:tc>
              <w:tc>
                <w:tcPr>
                  <w:tcW w:w="122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ascii="Times New Roman" w:hAnsi="Times New Roman" w:eastAsia="宋体" w:cs="宋体"/>
                      <w:color w:val="000000" w:themeColor="text1"/>
                      <w:sz w:val="21"/>
                      <w:szCs w:val="21"/>
                      <w:highlight w:val="none"/>
                      <w14:textFill>
                        <w14:solidFill>
                          <w14:schemeClr w14:val="tx1"/>
                        </w14:solidFill>
                      </w14:textFill>
                    </w:rPr>
                  </w:pPr>
                  <w:r>
                    <w:rPr>
                      <w:rFonts w:ascii="Times New Roman" w:hAnsi="Times New Roman" w:eastAsia="宋体" w:cs="宋体"/>
                      <w:color w:val="000000" w:themeColor="text1"/>
                      <w:sz w:val="21"/>
                      <w:szCs w:val="21"/>
                      <w:highlight w:val="none"/>
                      <w14:textFill>
                        <w14:solidFill>
                          <w14:schemeClr w14:val="tx1"/>
                        </w14:solidFill>
                      </w14:textFill>
                    </w:rPr>
                    <w:t>25 户，</w:t>
                  </w:r>
                </w:p>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s="宋体"/>
                      <w:color w:val="000000" w:themeColor="text1"/>
                      <w:sz w:val="21"/>
                      <w:szCs w:val="21"/>
                      <w:highlight w:val="none"/>
                      <w14:textFill>
                        <w14:solidFill>
                          <w14:schemeClr w14:val="tx1"/>
                        </w14:solidFill>
                      </w14:textFill>
                    </w:rPr>
                    <w:t>90 人</w:t>
                  </w:r>
                </w:p>
              </w:tc>
              <w:tc>
                <w:tcPr>
                  <w:tcW w:w="3465" w:type="dxa"/>
                  <w:vMerge w:val="continue"/>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51"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声环境</w:t>
                  </w:r>
                </w:p>
              </w:tc>
              <w:tc>
                <w:tcPr>
                  <w:tcW w:w="136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cs="宋体"/>
                      <w:color w:val="000000" w:themeColor="text1"/>
                      <w:sz w:val="21"/>
                      <w:szCs w:val="21"/>
                      <w:highlight w:val="none"/>
                      <w14:textFill>
                        <w14:solidFill>
                          <w14:schemeClr w14:val="tx1"/>
                        </w14:solidFill>
                      </w14:textFill>
                    </w:rPr>
                    <w:t>梨山湖</w:t>
                  </w:r>
                </w:p>
              </w:tc>
              <w:tc>
                <w:tcPr>
                  <w:tcW w:w="794"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lang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E</w:t>
                  </w:r>
                </w:p>
              </w:tc>
              <w:tc>
                <w:tcPr>
                  <w:tcW w:w="1107"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 w:val="21"/>
                      <w:szCs w:val="21"/>
                      <w:highlight w:val="none"/>
                      <w14:textFill>
                        <w14:solidFill>
                          <w14:schemeClr w14:val="tx1"/>
                        </w14:solidFill>
                      </w14:textFill>
                    </w:rPr>
                    <w:t>1</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00</w:t>
                  </w:r>
                  <w:r>
                    <w:rPr>
                      <w:rFonts w:hint="eastAsia" w:ascii="Times New Roman" w:hAnsi="Times New Roman" w:eastAsia="宋体"/>
                      <w:color w:val="000000" w:themeColor="text1"/>
                      <w:sz w:val="21"/>
                      <w:szCs w:val="21"/>
                      <w:highlight w:val="none"/>
                      <w14:textFill>
                        <w14:solidFill>
                          <w14:schemeClr w14:val="tx1"/>
                        </w14:solidFill>
                      </w14:textFill>
                    </w:rPr>
                    <w:t>m</w:t>
                  </w:r>
                </w:p>
              </w:tc>
              <w:tc>
                <w:tcPr>
                  <w:tcW w:w="122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s="宋体"/>
                      <w:color w:val="000000" w:themeColor="text1"/>
                      <w:sz w:val="21"/>
                      <w:szCs w:val="21"/>
                      <w:highlight w:val="none"/>
                      <w14:textFill>
                        <w14:solidFill>
                          <w14:schemeClr w14:val="tx1"/>
                        </w14:solidFill>
                      </w14:textFill>
                    </w:rPr>
                    <w:t>100 户，350 人</w:t>
                  </w:r>
                </w:p>
              </w:tc>
              <w:tc>
                <w:tcPr>
                  <w:tcW w:w="3465"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eastAsia"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w:t>
                  </w:r>
                  <w:r>
                    <w:rPr>
                      <w:rFonts w:hint="eastAsia" w:ascii="Times New Roman" w:hAnsi="Times New Roman" w:eastAsia="宋体"/>
                      <w:color w:val="000000" w:themeColor="text1"/>
                      <w:sz w:val="21"/>
                      <w:szCs w:val="21"/>
                      <w:highlight w:val="none"/>
                      <w14:textFill>
                        <w14:solidFill>
                          <w14:schemeClr w14:val="tx1"/>
                        </w14:solidFill>
                      </w14:textFill>
                    </w:rPr>
                    <w:t>声环境质量标准</w:t>
                  </w:r>
                  <w:r>
                    <w:rPr>
                      <w:rFonts w:ascii="Times New Roman" w:hAnsi="Times New Roman" w:eastAsia="宋体"/>
                      <w:color w:val="000000" w:themeColor="text1"/>
                      <w:sz w:val="21"/>
                      <w:szCs w:val="21"/>
                      <w:highlight w:val="none"/>
                      <w14:textFill>
                        <w14:solidFill>
                          <w14:schemeClr w14:val="tx1"/>
                        </w14:solidFill>
                      </w14:textFill>
                    </w:rPr>
                    <w:t>》</w:t>
                  </w:r>
                  <w:r>
                    <w:rPr>
                      <w:rFonts w:hint="eastAsia" w:ascii="Times New Roman" w:hAnsi="Times New Roman" w:eastAsia="宋体"/>
                      <w:color w:val="000000" w:themeColor="text1"/>
                      <w:sz w:val="21"/>
                      <w:szCs w:val="21"/>
                      <w:highlight w:val="none"/>
                      <w14:textFill>
                        <w14:solidFill>
                          <w14:schemeClr w14:val="tx1"/>
                        </w14:solidFill>
                      </w14:textFill>
                    </w:rPr>
                    <w:t>（</w:t>
                  </w:r>
                  <w:r>
                    <w:rPr>
                      <w:rFonts w:ascii="Times New Roman" w:hAnsi="Times New Roman" w:eastAsia="宋体"/>
                      <w:color w:val="000000" w:themeColor="text1"/>
                      <w:sz w:val="21"/>
                      <w:szCs w:val="21"/>
                      <w:highlight w:val="none"/>
                      <w14:textFill>
                        <w14:solidFill>
                          <w14:schemeClr w14:val="tx1"/>
                        </w14:solidFill>
                      </w14:textFill>
                    </w:rPr>
                    <w:t>GB3096</w:t>
                  </w:r>
                  <w:r>
                    <w:rPr>
                      <w:rFonts w:hint="eastAsia" w:ascii="Times New Roman" w:hAnsi="Times New Roman" w:eastAsia="宋体"/>
                      <w:color w:val="000000" w:themeColor="text1"/>
                      <w:sz w:val="21"/>
                      <w:szCs w:val="21"/>
                      <w:highlight w:val="none"/>
                      <w14:textFill>
                        <w14:solidFill>
                          <w14:schemeClr w14:val="tx1"/>
                        </w14:solidFill>
                      </w14:textFill>
                    </w:rPr>
                    <w:t>-2008</w:t>
                  </w:r>
                  <w:r>
                    <w:rPr>
                      <w:rFonts w:hint="eastAsia" w:ascii="Times New Roman" w:hAnsi="Times New Roman" w:eastAsia="宋体"/>
                      <w:color w:val="000000" w:themeColor="text1"/>
                      <w:sz w:val="21"/>
                      <w:szCs w:val="21"/>
                      <w:highlight w:val="none"/>
                      <w14:textFill>
                        <w14:solidFill>
                          <w14:schemeClr w14:val="tx1"/>
                        </w14:solidFill>
                      </w14:textFill>
                    </w:rPr>
                    <w:t>）</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2</w:t>
                  </w:r>
                  <w:r>
                    <w:rPr>
                      <w:rFonts w:hint="eastAsia" w:ascii="Times New Roman" w:hAnsi="Times New Roman" w:eastAsia="宋体"/>
                      <w:color w:val="000000" w:themeColor="text1"/>
                      <w:sz w:val="21"/>
                      <w:szCs w:val="21"/>
                      <w:highlight w:val="none"/>
                      <w14:textFill>
                        <w14:solidFill>
                          <w14:schemeClr w14:val="tx1"/>
                        </w14:solidFill>
                      </w14:textFill>
                    </w:rPr>
                    <w:t>类区标准</w:t>
                  </w:r>
                </w:p>
              </w:tc>
            </w:tr>
          </w:tbl>
          <w:p>
            <w:pPr>
              <w:pStyle w:val="28"/>
              <w:tabs>
                <w:tab w:val="left" w:pos="839"/>
              </w:tabs>
              <w:snapToGrid w:val="0"/>
              <w:spacing w:after="0" w:line="240" w:lineRule="auto"/>
              <w:rPr>
                <w:rFonts w:ascii="Times New Roman" w:hAnsi="Times New Roman" w:eastAsia="宋体"/>
                <w:b w:val="0"/>
                <w:bCs w:val="0"/>
                <w:caps w:val="0"/>
                <w:color w:val="000000" w:themeColor="text1"/>
                <w:sz w:val="21"/>
                <w:szCs w:val="20"/>
                <w:highlight w:val="none"/>
                <w14:textFill>
                  <w14:solidFill>
                    <w14:schemeClr w14:val="tx1"/>
                  </w14:solidFill>
                </w14:textFill>
              </w:rPr>
            </w:pPr>
            <w:r>
              <w:rPr>
                <w:rFonts w:hint="eastAsia" w:ascii="Times New Roman" w:hAnsi="Times New Roman" w:eastAsia="宋体"/>
                <w:b w:val="0"/>
                <w:bCs w:val="0"/>
                <w:caps w:val="0"/>
                <w:color w:val="000000" w:themeColor="text1"/>
                <w:sz w:val="21"/>
                <w:szCs w:val="20"/>
                <w:highlight w:val="none"/>
                <w14:textFill>
                  <w14:solidFill>
                    <w14:schemeClr w14:val="tx1"/>
                  </w14:solidFill>
                </w14:textFill>
              </w:rPr>
              <w:t>注：本项目大气环境保护目标坐标采用UTM坐标标记位置</w:t>
            </w:r>
          </w:p>
          <w:p>
            <w:pPr>
              <w:spacing w:line="360" w:lineRule="auto"/>
              <w:jc w:val="center"/>
              <w:rPr>
                <w:rFonts w:ascii="Times New Roman" w:hAnsi="Times New Roman" w:eastAsia="宋体"/>
                <w:b/>
                <w:color w:val="000000" w:themeColor="text1"/>
                <w:szCs w:val="21"/>
                <w:highlight w:val="none"/>
                <w14:textFill>
                  <w14:solidFill>
                    <w14:schemeClr w14:val="tx1"/>
                  </w14:solidFill>
                </w14:textFill>
              </w:rPr>
            </w:pPr>
            <w:r>
              <w:rPr>
                <w:rFonts w:ascii="Times New Roman" w:hAnsi="Times New Roman" w:eastAsia="宋体"/>
                <w:b/>
                <w:color w:val="000000" w:themeColor="text1"/>
                <w:sz w:val="24"/>
                <w:highlight w:val="none"/>
                <w14:textFill>
                  <w14:solidFill>
                    <w14:schemeClr w14:val="tx1"/>
                  </w14:solidFill>
                </w14:textFill>
              </w:rPr>
              <w:t>表3-</w:t>
            </w:r>
            <w:r>
              <w:rPr>
                <w:rFonts w:hint="eastAsia" w:ascii="Times New Roman" w:hAnsi="Times New Roman" w:eastAsia="宋体"/>
                <w:b/>
                <w:color w:val="000000" w:themeColor="text1"/>
                <w:sz w:val="24"/>
                <w:highlight w:val="none"/>
                <w:lang w:val="en-US" w:eastAsia="zh-CN"/>
                <w14:textFill>
                  <w14:solidFill>
                    <w14:schemeClr w14:val="tx1"/>
                  </w14:solidFill>
                </w14:textFill>
              </w:rPr>
              <w:t>10</w:t>
            </w:r>
            <w:r>
              <w:rPr>
                <w:rFonts w:ascii="Times New Roman" w:hAnsi="Times New Roman" w:eastAsia="宋体"/>
                <w:b/>
                <w:color w:val="000000" w:themeColor="text1"/>
                <w:sz w:val="24"/>
                <w:highlight w:val="none"/>
                <w14:textFill>
                  <w14:solidFill>
                    <w14:schemeClr w14:val="tx1"/>
                  </w14:solidFill>
                </w14:textFill>
              </w:rPr>
              <w:t xml:space="preserve"> </w:t>
            </w:r>
            <w:r>
              <w:rPr>
                <w:rFonts w:ascii="Times New Roman" w:hAnsi="Times New Roman" w:eastAsia="宋体"/>
                <w:b/>
                <w:color w:val="000000" w:themeColor="text1"/>
                <w:sz w:val="24"/>
                <w:szCs w:val="24"/>
                <w:highlight w:val="none"/>
                <w:lang w:bidi="en-US"/>
                <w14:textFill>
                  <w14:solidFill>
                    <w14:schemeClr w14:val="tx1"/>
                  </w14:solidFill>
                </w14:textFill>
              </w:rPr>
              <w:t>本项目</w:t>
            </w:r>
            <w:r>
              <w:rPr>
                <w:rFonts w:ascii="Times New Roman" w:hAnsi="Times New Roman" w:eastAsia="宋体"/>
                <w:b/>
                <w:color w:val="000000" w:themeColor="text1"/>
                <w:sz w:val="24"/>
                <w:highlight w:val="none"/>
                <w14:textFill>
                  <w14:solidFill>
                    <w14:schemeClr w14:val="tx1"/>
                  </w14:solidFill>
                </w14:textFill>
              </w:rPr>
              <w:t>地表水环境和声环境保护目标一览表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475"/>
              <w:gridCol w:w="1113"/>
              <w:gridCol w:w="1570"/>
              <w:gridCol w:w="1590"/>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36" w:type="dxa"/>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环境</w:t>
                  </w:r>
                </w:p>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要素</w:t>
                  </w:r>
                </w:p>
              </w:tc>
              <w:tc>
                <w:tcPr>
                  <w:tcW w:w="1475" w:type="dxa"/>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名称</w:t>
                  </w:r>
                </w:p>
              </w:tc>
              <w:tc>
                <w:tcPr>
                  <w:tcW w:w="1113" w:type="dxa"/>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相对项</w:t>
                  </w:r>
                </w:p>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目方位</w:t>
                  </w:r>
                </w:p>
              </w:tc>
              <w:tc>
                <w:tcPr>
                  <w:tcW w:w="1570" w:type="dxa"/>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与项目厂界最近距离m</w:t>
                  </w:r>
                </w:p>
              </w:tc>
              <w:tc>
                <w:tcPr>
                  <w:tcW w:w="1590" w:type="dxa"/>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规模</w:t>
                  </w:r>
                </w:p>
              </w:tc>
              <w:tc>
                <w:tcPr>
                  <w:tcW w:w="2260" w:type="dxa"/>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环境保护级别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36" w:type="dxa"/>
                  <w:vMerge w:val="restart"/>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水环境</w:t>
                  </w:r>
                </w:p>
              </w:tc>
              <w:tc>
                <w:tcPr>
                  <w:tcW w:w="1475" w:type="dxa"/>
                  <w:noWrap w:val="0"/>
                  <w:vAlign w:val="center"/>
                </w:tcPr>
                <w:p>
                  <w:pPr>
                    <w:pStyle w:val="86"/>
                    <w:autoSpaceDE w:val="0"/>
                    <w:autoSpaceDN w:val="0"/>
                    <w:spacing w:line="240" w:lineRule="atLeast"/>
                    <w:jc w:val="center"/>
                    <w:rPr>
                      <w:rFonts w:ascii="Times New Roman" w:hAnsi="Times New Roman" w:eastAsia="宋体"/>
                      <w:color w:val="000000" w:themeColor="text1"/>
                      <w:kern w:val="2"/>
                      <w:sz w:val="21"/>
                      <w:szCs w:val="21"/>
                      <w:highlight w:val="none"/>
                      <w14:textFill>
                        <w14:solidFill>
                          <w14:schemeClr w14:val="tx1"/>
                        </w14:solidFill>
                      </w14:textFill>
                    </w:rPr>
                  </w:pPr>
                  <w:r>
                    <w:rPr>
                      <w:rFonts w:ascii="Times New Roman" w:hAnsi="Times New Roman" w:eastAsia="宋体"/>
                      <w:color w:val="000000" w:themeColor="text1"/>
                      <w:kern w:val="2"/>
                      <w:sz w:val="21"/>
                      <w:szCs w:val="21"/>
                      <w:highlight w:val="none"/>
                      <w:lang w:eastAsia="zh-CN"/>
                      <w14:textFill>
                        <w14:solidFill>
                          <w14:schemeClr w14:val="tx1"/>
                        </w14:solidFill>
                      </w14:textFill>
                    </w:rPr>
                    <w:t>长江</w:t>
                  </w:r>
                </w:p>
              </w:tc>
              <w:tc>
                <w:tcPr>
                  <w:tcW w:w="1113" w:type="dxa"/>
                  <w:noWrap w:val="0"/>
                  <w:vAlign w:val="center"/>
                </w:tcPr>
                <w:p>
                  <w:pPr>
                    <w:pStyle w:val="86"/>
                    <w:autoSpaceDE w:val="0"/>
                    <w:autoSpaceDN w:val="0"/>
                    <w:spacing w:line="240" w:lineRule="atLeast"/>
                    <w:jc w:val="center"/>
                    <w:rPr>
                      <w:rFonts w:ascii="Times New Roman" w:hAnsi="Times New Roman" w:eastAsia="宋体"/>
                      <w:color w:val="000000" w:themeColor="text1"/>
                      <w:kern w:val="2"/>
                      <w:sz w:val="21"/>
                      <w:szCs w:val="21"/>
                      <w:highlight w:val="none"/>
                      <w14:textFill>
                        <w14:solidFill>
                          <w14:schemeClr w14:val="tx1"/>
                        </w14:solidFill>
                      </w14:textFill>
                    </w:rPr>
                  </w:pPr>
                  <w:r>
                    <w:rPr>
                      <w:rFonts w:hint="eastAsia" w:ascii="Times New Roman" w:hAnsi="Times New Roman" w:eastAsia="宋体"/>
                      <w:color w:val="000000" w:themeColor="text1"/>
                      <w:kern w:val="2"/>
                      <w:sz w:val="21"/>
                      <w:szCs w:val="21"/>
                      <w:highlight w:val="none"/>
                      <w:lang w:val="en-US" w:eastAsia="zh-CN"/>
                      <w14:textFill>
                        <w14:solidFill>
                          <w14:schemeClr w14:val="tx1"/>
                        </w14:solidFill>
                      </w14:textFill>
                    </w:rPr>
                    <w:t>N</w:t>
                  </w:r>
                  <w:r>
                    <w:rPr>
                      <w:rFonts w:ascii="Times New Roman" w:hAnsi="Times New Roman" w:eastAsia="宋体"/>
                      <w:color w:val="000000" w:themeColor="text1"/>
                      <w:kern w:val="2"/>
                      <w:sz w:val="21"/>
                      <w:szCs w:val="21"/>
                      <w:highlight w:val="none"/>
                      <w:lang w:eastAsia="zh-CN"/>
                      <w14:textFill>
                        <w14:solidFill>
                          <w14:schemeClr w14:val="tx1"/>
                        </w14:solidFill>
                      </w14:textFill>
                    </w:rPr>
                    <w:t>W</w:t>
                  </w:r>
                </w:p>
              </w:tc>
              <w:tc>
                <w:tcPr>
                  <w:tcW w:w="1570" w:type="dxa"/>
                  <w:noWrap w:val="0"/>
                  <w:vAlign w:val="center"/>
                </w:tcPr>
                <w:p>
                  <w:pPr>
                    <w:pStyle w:val="86"/>
                    <w:autoSpaceDE w:val="0"/>
                    <w:autoSpaceDN w:val="0"/>
                    <w:spacing w:line="240" w:lineRule="atLeast"/>
                    <w:jc w:val="center"/>
                    <w:rPr>
                      <w:rFonts w:hint="default" w:ascii="Times New Roman" w:hAnsi="Times New Roman" w:eastAsia="宋体"/>
                      <w:color w:val="000000" w:themeColor="text1"/>
                      <w:kern w:val="2"/>
                      <w:sz w:val="21"/>
                      <w:szCs w:val="21"/>
                      <w:highlight w:val="none"/>
                      <w:lang w:val="en-US"/>
                      <w14:textFill>
                        <w14:solidFill>
                          <w14:schemeClr w14:val="tx1"/>
                        </w14:solidFill>
                      </w14:textFill>
                    </w:rPr>
                  </w:pPr>
                  <w:r>
                    <w:rPr>
                      <w:rFonts w:hint="eastAsia" w:ascii="Times New Roman" w:hAnsi="Times New Roman" w:eastAsia="宋体"/>
                      <w:color w:val="000000" w:themeColor="text1"/>
                      <w:kern w:val="2"/>
                      <w:sz w:val="21"/>
                      <w:szCs w:val="21"/>
                      <w:highlight w:val="none"/>
                      <w:lang w:val="en-US" w:eastAsia="zh-CN"/>
                      <w14:textFill>
                        <w14:solidFill>
                          <w14:schemeClr w14:val="tx1"/>
                        </w14:solidFill>
                      </w14:textFill>
                    </w:rPr>
                    <w:t>11200</w:t>
                  </w:r>
                </w:p>
              </w:tc>
              <w:tc>
                <w:tcPr>
                  <w:tcW w:w="1590" w:type="dxa"/>
                  <w:noWrap w:val="0"/>
                  <w:vAlign w:val="center"/>
                </w:tcPr>
                <w:p>
                  <w:pPr>
                    <w:pStyle w:val="86"/>
                    <w:autoSpaceDE w:val="0"/>
                    <w:autoSpaceDN w:val="0"/>
                    <w:spacing w:line="240" w:lineRule="atLeast"/>
                    <w:jc w:val="center"/>
                    <w:rPr>
                      <w:rFonts w:ascii="Times New Roman" w:hAnsi="Times New Roman" w:eastAsia="宋体"/>
                      <w:color w:val="000000" w:themeColor="text1"/>
                      <w:kern w:val="2"/>
                      <w:sz w:val="21"/>
                      <w:szCs w:val="21"/>
                      <w:highlight w:val="none"/>
                      <w14:textFill>
                        <w14:solidFill>
                          <w14:schemeClr w14:val="tx1"/>
                        </w14:solidFill>
                      </w14:textFill>
                    </w:rPr>
                  </w:pPr>
                  <w:r>
                    <w:rPr>
                      <w:rFonts w:ascii="Times New Roman" w:hAnsi="Times New Roman" w:eastAsia="宋体"/>
                      <w:color w:val="000000" w:themeColor="text1"/>
                      <w:kern w:val="2"/>
                      <w:sz w:val="21"/>
                      <w:szCs w:val="21"/>
                      <w:highlight w:val="none"/>
                      <w:lang w:eastAsia="zh-CN"/>
                      <w14:textFill>
                        <w14:solidFill>
                          <w14:schemeClr w14:val="tx1"/>
                        </w14:solidFill>
                      </w14:textFill>
                    </w:rPr>
                    <w:t>大型河流</w:t>
                  </w:r>
                </w:p>
              </w:tc>
              <w:tc>
                <w:tcPr>
                  <w:tcW w:w="2260" w:type="dxa"/>
                  <w:vMerge w:val="restart"/>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《地表水环境质量标准》（GB3838-2002）中Ⅲ类标准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36" w:type="dxa"/>
                  <w:vMerge w:val="continue"/>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p>
              </w:tc>
              <w:tc>
                <w:tcPr>
                  <w:tcW w:w="1475" w:type="dxa"/>
                  <w:noWrap w:val="0"/>
                  <w:vAlign w:val="center"/>
                </w:tcPr>
                <w:p>
                  <w:pPr>
                    <w:keepNext w:val="0"/>
                    <w:keepLines w:val="0"/>
                    <w:pageBreakBefore w:val="0"/>
                    <w:widowControl w:val="0"/>
                    <w:tabs>
                      <w:tab w:val="left" w:pos="1418"/>
                    </w:tabs>
                    <w:kinsoku/>
                    <w:wordWrap/>
                    <w:overflowPunct/>
                    <w:topLinePunct w:val="0"/>
                    <w:autoSpaceDE/>
                    <w:autoSpaceDN/>
                    <w:bidi w:val="0"/>
                    <w:adjustRightInd w:val="0"/>
                    <w:snapToGrid w:val="0"/>
                    <w:spacing w:line="340" w:lineRule="exact"/>
                    <w:ind w:left="0" w:leftChars="0" w:right="0" w:rightChars="0" w:firstLine="0" w:firstLineChars="0"/>
                    <w:jc w:val="center"/>
                    <w:textAlignment w:val="baseline"/>
                    <w:outlineLvl w:val="9"/>
                    <w:rPr>
                      <w:rFonts w:ascii="Times New Roman" w:hAnsi="Times New Roman" w:eastAsia="宋体"/>
                      <w:color w:val="000000" w:themeColor="text1"/>
                      <w:kern w:val="2"/>
                      <w:sz w:val="21"/>
                      <w:szCs w:val="21"/>
                      <w:highlight w:val="none"/>
                      <w:lang w:eastAsia="zh-CN"/>
                      <w14:textFill>
                        <w14:solidFill>
                          <w14:schemeClr w14:val="tx1"/>
                        </w14:solidFill>
                      </w14:textFill>
                    </w:rPr>
                  </w:pPr>
                  <w:r>
                    <w:rPr>
                      <w:rFonts w:hint="eastAsia" w:ascii="Times New Roman" w:hAnsi="Times New Roman" w:eastAsia="宋体"/>
                      <w:color w:val="000000" w:themeColor="text1"/>
                      <w:sz w:val="21"/>
                      <w:szCs w:val="21"/>
                      <w:highlight w:val="none"/>
                      <w14:textFill>
                        <w14:solidFill>
                          <w14:schemeClr w14:val="tx1"/>
                        </w14:solidFill>
                      </w14:textFill>
                    </w:rPr>
                    <w:t>梨山河</w:t>
                  </w:r>
                </w:p>
              </w:tc>
              <w:tc>
                <w:tcPr>
                  <w:tcW w:w="1113"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default" w:ascii="Times New Roman" w:hAnsi="Times New Roman" w:eastAsia="宋体"/>
                      <w:color w:val="000000" w:themeColor="text1"/>
                      <w:kern w:val="2"/>
                      <w:sz w:val="21"/>
                      <w:szCs w:val="21"/>
                      <w:highlight w:val="none"/>
                      <w:lang w:val="en-US" w:eastAsia="zh-CN"/>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S</w:t>
                  </w:r>
                </w:p>
              </w:tc>
              <w:tc>
                <w:tcPr>
                  <w:tcW w:w="1570" w:type="dxa"/>
                  <w:noWrap w:val="0"/>
                  <w:vAlign w:val="center"/>
                </w:tcPr>
                <w:p>
                  <w:pPr>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outlineLvl w:val="9"/>
                    <w:rPr>
                      <w:rFonts w:hint="default" w:ascii="Times New Roman" w:hAnsi="Times New Roman" w:eastAsia="宋体"/>
                      <w:color w:val="000000" w:themeColor="text1"/>
                      <w:kern w:val="2"/>
                      <w:sz w:val="21"/>
                      <w:szCs w:val="21"/>
                      <w:highlight w:val="none"/>
                      <w:lang w:val="en-US" w:eastAsia="zh-CN"/>
                      <w14:textFill>
                        <w14:solidFill>
                          <w14:schemeClr w14:val="tx1"/>
                        </w14:solidFill>
                      </w14:textFill>
                    </w:rPr>
                  </w:pPr>
                  <w:r>
                    <w:rPr>
                      <w:rFonts w:hint="eastAsia" w:ascii="Times New Roman" w:hAnsi="Times New Roman" w:eastAsia="宋体"/>
                      <w:bCs/>
                      <w:color w:val="000000" w:themeColor="text1"/>
                      <w:sz w:val="21"/>
                      <w:szCs w:val="21"/>
                      <w:highlight w:val="none"/>
                      <w:lang w:val="en-US" w:eastAsia="zh-CN"/>
                      <w14:textFill>
                        <w14:solidFill>
                          <w14:schemeClr w14:val="tx1"/>
                        </w14:solidFill>
                      </w14:textFill>
                    </w:rPr>
                    <w:t>390</w:t>
                  </w:r>
                  <w:r>
                    <w:rPr>
                      <w:rFonts w:hint="eastAsia" w:ascii="Times New Roman" w:hAnsi="Times New Roman" w:eastAsia="宋体"/>
                      <w:bCs/>
                      <w:color w:val="000000" w:themeColor="text1"/>
                      <w:sz w:val="21"/>
                      <w:szCs w:val="21"/>
                      <w:highlight w:val="none"/>
                      <w14:textFill>
                        <w14:solidFill>
                          <w14:schemeClr w14:val="tx1"/>
                        </w14:solidFill>
                      </w14:textFill>
                    </w:rPr>
                    <w:t>m</w:t>
                  </w:r>
                </w:p>
              </w:tc>
              <w:tc>
                <w:tcPr>
                  <w:tcW w:w="1590" w:type="dxa"/>
                  <w:noWrap w:val="0"/>
                  <w:vAlign w:val="center"/>
                </w:tcPr>
                <w:p>
                  <w:pPr>
                    <w:pStyle w:val="86"/>
                    <w:autoSpaceDE w:val="0"/>
                    <w:autoSpaceDN w:val="0"/>
                    <w:spacing w:line="240" w:lineRule="atLeast"/>
                    <w:jc w:val="center"/>
                    <w:rPr>
                      <w:rFonts w:hint="default" w:ascii="Times New Roman" w:hAnsi="Times New Roman" w:eastAsia="宋体"/>
                      <w:color w:val="000000" w:themeColor="text1"/>
                      <w:kern w:val="2"/>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kern w:val="2"/>
                      <w:sz w:val="21"/>
                      <w:szCs w:val="21"/>
                      <w:highlight w:val="none"/>
                      <w:lang w:val="en-US" w:eastAsia="zh-CN"/>
                      <w14:textFill>
                        <w14:solidFill>
                          <w14:schemeClr w14:val="tx1"/>
                        </w14:solidFill>
                      </w14:textFill>
                    </w:rPr>
                    <w:t>小型河流</w:t>
                  </w:r>
                </w:p>
              </w:tc>
              <w:tc>
                <w:tcPr>
                  <w:tcW w:w="2260" w:type="dxa"/>
                  <w:vMerge w:val="continue"/>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6" w:type="dxa"/>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声环境</w:t>
                  </w:r>
                </w:p>
              </w:tc>
              <w:tc>
                <w:tcPr>
                  <w:tcW w:w="1475" w:type="dxa"/>
                  <w:noWrap w:val="0"/>
                  <w:vAlign w:val="center"/>
                </w:tcPr>
                <w:p>
                  <w:pPr>
                    <w:pStyle w:val="86"/>
                    <w:autoSpaceDE w:val="0"/>
                    <w:autoSpaceDN w:val="0"/>
                    <w:spacing w:line="240" w:lineRule="atLeast"/>
                    <w:jc w:val="center"/>
                    <w:rPr>
                      <w:rFonts w:ascii="Times New Roman" w:hAnsi="Times New Roman" w:eastAsia="宋体"/>
                      <w:color w:val="000000" w:themeColor="text1"/>
                      <w:kern w:val="2"/>
                      <w:sz w:val="21"/>
                      <w:szCs w:val="21"/>
                      <w:highlight w:val="none"/>
                      <w14:textFill>
                        <w14:solidFill>
                          <w14:schemeClr w14:val="tx1"/>
                        </w14:solidFill>
                      </w14:textFill>
                    </w:rPr>
                  </w:pPr>
                  <w:r>
                    <w:rPr>
                      <w:rFonts w:ascii="Times New Roman" w:hAnsi="Times New Roman" w:eastAsia="宋体"/>
                      <w:color w:val="000000" w:themeColor="text1"/>
                      <w:kern w:val="2"/>
                      <w:sz w:val="21"/>
                      <w:szCs w:val="21"/>
                      <w:highlight w:val="none"/>
                      <w:lang w:eastAsia="zh-CN"/>
                      <w14:textFill>
                        <w14:solidFill>
                          <w14:schemeClr w14:val="tx1"/>
                        </w14:solidFill>
                      </w14:textFill>
                    </w:rPr>
                    <w:t>厂界四周</w:t>
                  </w:r>
                </w:p>
              </w:tc>
              <w:tc>
                <w:tcPr>
                  <w:tcW w:w="1113" w:type="dxa"/>
                  <w:noWrap w:val="0"/>
                  <w:vAlign w:val="center"/>
                </w:tcPr>
                <w:p>
                  <w:pPr>
                    <w:pStyle w:val="86"/>
                    <w:autoSpaceDE w:val="0"/>
                    <w:autoSpaceDN w:val="0"/>
                    <w:spacing w:line="240" w:lineRule="atLeast"/>
                    <w:jc w:val="center"/>
                    <w:rPr>
                      <w:rFonts w:ascii="Times New Roman" w:hAnsi="Times New Roman" w:eastAsia="宋体"/>
                      <w:color w:val="000000" w:themeColor="text1"/>
                      <w:kern w:val="2"/>
                      <w:sz w:val="21"/>
                      <w:szCs w:val="21"/>
                      <w:highlight w:val="none"/>
                      <w14:textFill>
                        <w14:solidFill>
                          <w14:schemeClr w14:val="tx1"/>
                        </w14:solidFill>
                      </w14:textFill>
                    </w:rPr>
                  </w:pPr>
                  <w:r>
                    <w:rPr>
                      <w:rFonts w:ascii="Times New Roman" w:hAnsi="Times New Roman" w:eastAsia="宋体"/>
                      <w:color w:val="000000" w:themeColor="text1"/>
                      <w:kern w:val="2"/>
                      <w:sz w:val="21"/>
                      <w:szCs w:val="21"/>
                      <w:highlight w:val="none"/>
                      <w:lang w:eastAsia="zh-CN"/>
                      <w14:textFill>
                        <w14:solidFill>
                          <w14:schemeClr w14:val="tx1"/>
                        </w14:solidFill>
                      </w14:textFill>
                    </w:rPr>
                    <w:t>/</w:t>
                  </w:r>
                </w:p>
              </w:tc>
              <w:tc>
                <w:tcPr>
                  <w:tcW w:w="1570" w:type="dxa"/>
                  <w:noWrap w:val="0"/>
                  <w:vAlign w:val="center"/>
                </w:tcPr>
                <w:p>
                  <w:pPr>
                    <w:pStyle w:val="86"/>
                    <w:autoSpaceDE w:val="0"/>
                    <w:autoSpaceDN w:val="0"/>
                    <w:spacing w:line="240" w:lineRule="atLeast"/>
                    <w:jc w:val="center"/>
                    <w:rPr>
                      <w:rFonts w:ascii="Times New Roman" w:hAnsi="Times New Roman" w:eastAsia="宋体"/>
                      <w:color w:val="000000" w:themeColor="text1"/>
                      <w:kern w:val="2"/>
                      <w:sz w:val="21"/>
                      <w:szCs w:val="21"/>
                      <w:highlight w:val="none"/>
                      <w14:textFill>
                        <w14:solidFill>
                          <w14:schemeClr w14:val="tx1"/>
                        </w14:solidFill>
                      </w14:textFill>
                    </w:rPr>
                  </w:pPr>
                  <w:r>
                    <w:rPr>
                      <w:rFonts w:ascii="Times New Roman" w:hAnsi="Times New Roman" w:eastAsia="宋体"/>
                      <w:color w:val="000000" w:themeColor="text1"/>
                      <w:kern w:val="2"/>
                      <w:sz w:val="21"/>
                      <w:szCs w:val="21"/>
                      <w:highlight w:val="none"/>
                      <w:lang w:eastAsia="zh-CN"/>
                      <w14:textFill>
                        <w14:solidFill>
                          <w14:schemeClr w14:val="tx1"/>
                        </w14:solidFill>
                      </w14:textFill>
                    </w:rPr>
                    <w:t>/</w:t>
                  </w:r>
                </w:p>
              </w:tc>
              <w:tc>
                <w:tcPr>
                  <w:tcW w:w="1590" w:type="dxa"/>
                  <w:noWrap w:val="0"/>
                  <w:vAlign w:val="center"/>
                </w:tcPr>
                <w:p>
                  <w:pPr>
                    <w:pStyle w:val="86"/>
                    <w:autoSpaceDE w:val="0"/>
                    <w:autoSpaceDN w:val="0"/>
                    <w:spacing w:line="240" w:lineRule="atLeast"/>
                    <w:jc w:val="center"/>
                    <w:rPr>
                      <w:rFonts w:ascii="Times New Roman" w:hAnsi="Times New Roman" w:eastAsia="宋体"/>
                      <w:color w:val="000000" w:themeColor="text1"/>
                      <w:kern w:val="2"/>
                      <w:sz w:val="21"/>
                      <w:szCs w:val="21"/>
                      <w:highlight w:val="none"/>
                      <w14:textFill>
                        <w14:solidFill>
                          <w14:schemeClr w14:val="tx1"/>
                        </w14:solidFill>
                      </w14:textFill>
                    </w:rPr>
                  </w:pPr>
                  <w:r>
                    <w:rPr>
                      <w:rFonts w:ascii="Times New Roman" w:hAnsi="Times New Roman" w:eastAsia="宋体"/>
                      <w:color w:val="000000" w:themeColor="text1"/>
                      <w:kern w:val="2"/>
                      <w:sz w:val="21"/>
                      <w:szCs w:val="21"/>
                      <w:highlight w:val="none"/>
                      <w:lang w:eastAsia="zh-CN"/>
                      <w14:textFill>
                        <w14:solidFill>
                          <w14:schemeClr w14:val="tx1"/>
                        </w14:solidFill>
                      </w14:textFill>
                    </w:rPr>
                    <w:t>/</w:t>
                  </w:r>
                </w:p>
              </w:tc>
              <w:tc>
                <w:tcPr>
                  <w:tcW w:w="2260" w:type="dxa"/>
                  <w:noWrap w:val="0"/>
                  <w:vAlign w:val="center"/>
                </w:tcPr>
                <w:p>
                  <w:pPr>
                    <w:spacing w:line="240" w:lineRule="atLeast"/>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《声环境质量标准》（3096-2008）中3类区标准要求</w:t>
                  </w:r>
                </w:p>
              </w:tc>
            </w:tr>
          </w:tbl>
          <w:p>
            <w:pPr>
              <w:pStyle w:val="28"/>
              <w:tabs>
                <w:tab w:val="left" w:pos="839"/>
              </w:tabs>
              <w:snapToGrid w:val="0"/>
              <w:spacing w:after="0" w:line="240" w:lineRule="auto"/>
              <w:rPr>
                <w:rFonts w:ascii="Times New Roman" w:hAnsi="Times New Roman" w:eastAsia="宋体"/>
                <w:b/>
                <w:bCs/>
                <w:caps w:val="0"/>
                <w:color w:val="000000" w:themeColor="text1"/>
                <w:highlight w:val="none"/>
                <w14:textFill>
                  <w14:solidFill>
                    <w14:schemeClr w14:val="tx1"/>
                  </w14:solidFill>
                </w14:textFill>
              </w:rPr>
            </w:pPr>
          </w:p>
        </w:tc>
      </w:tr>
    </w:tbl>
    <w:p>
      <w:pPr>
        <w:rPr>
          <w:rFonts w:ascii="Times New Roman" w:hAnsi="Times New Roman" w:eastAsia="宋体"/>
          <w:b/>
          <w:bCs/>
          <w:caps w:val="0"/>
          <w:color w:val="000000" w:themeColor="text1"/>
          <w:sz w:val="30"/>
          <w:szCs w:val="30"/>
          <w:highlight w:val="none"/>
          <w14:textFill>
            <w14:solidFill>
              <w14:schemeClr w14:val="tx1"/>
            </w14:solidFill>
          </w14:textFill>
        </w:rPr>
      </w:pPr>
      <w:r>
        <w:rPr>
          <w:rFonts w:ascii="Times New Roman" w:hAnsi="Times New Roman" w:eastAsia="宋体"/>
          <w:b/>
          <w:bCs/>
          <w:caps w:val="0"/>
          <w:color w:val="000000" w:themeColor="text1"/>
          <w:sz w:val="30"/>
          <w:szCs w:val="30"/>
          <w:highlight w:val="none"/>
          <w14:textFill>
            <w14:solidFill>
              <w14:schemeClr w14:val="tx1"/>
            </w14:solidFill>
          </w14:textFill>
        </w:rPr>
        <w:br w:type="page"/>
      </w:r>
    </w:p>
    <w:p>
      <w:pPr>
        <w:pStyle w:val="3"/>
        <w:spacing w:before="120" w:after="120" w:line="360" w:lineRule="auto"/>
        <w:rPr>
          <w:rFonts w:ascii="Times New Roman" w:hAnsi="Times New Roman" w:eastAsia="宋体"/>
          <w:caps w:val="0"/>
          <w:color w:val="000000" w:themeColor="text1"/>
          <w:sz w:val="28"/>
          <w:szCs w:val="28"/>
          <w:highlight w:val="none"/>
          <w14:textFill>
            <w14:solidFill>
              <w14:schemeClr w14:val="tx1"/>
            </w14:solidFill>
          </w14:textFill>
        </w:rPr>
      </w:pPr>
      <w:r>
        <w:rPr>
          <w:rFonts w:ascii="Times New Roman" w:hAnsi="Times New Roman" w:eastAsia="宋体"/>
          <w:caps w:val="0"/>
          <w:color w:val="000000" w:themeColor="text1"/>
          <w:sz w:val="28"/>
          <w:szCs w:val="28"/>
          <w:highlight w:val="none"/>
          <w14:textFill>
            <w14:solidFill>
              <w14:schemeClr w14:val="tx1"/>
            </w14:solidFill>
          </w14:textFill>
        </w:rPr>
        <w:t>评价适用标准</w:t>
      </w:r>
    </w:p>
    <w:tbl>
      <w:tblPr>
        <w:tblStyle w:val="32"/>
        <w:tblW w:w="499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95"/>
        <w:gridCol w:w="864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065" w:hRule="atLeast"/>
          <w:jc w:val="center"/>
        </w:trPr>
        <w:tc>
          <w:tcPr>
            <w:tcW w:w="322"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环</w:t>
            </w:r>
          </w:p>
          <w:p>
            <w:pPr>
              <w:spacing w:line="360" w:lineRule="auto"/>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境</w:t>
            </w:r>
          </w:p>
          <w:p>
            <w:pPr>
              <w:spacing w:line="360" w:lineRule="auto"/>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质</w:t>
            </w:r>
          </w:p>
          <w:p>
            <w:pPr>
              <w:spacing w:line="360" w:lineRule="auto"/>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量</w:t>
            </w:r>
          </w:p>
          <w:p>
            <w:pPr>
              <w:spacing w:line="360" w:lineRule="auto"/>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标</w:t>
            </w:r>
          </w:p>
          <w:p>
            <w:pPr>
              <w:spacing w:line="360" w:lineRule="auto"/>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准</w:t>
            </w:r>
          </w:p>
        </w:tc>
        <w:tc>
          <w:tcPr>
            <w:tcW w:w="4677" w:type="pct"/>
            <w:tcBorders>
              <w:top w:val="single" w:color="auto" w:sz="6" w:space="0"/>
              <w:left w:val="single" w:color="auto" w:sz="6" w:space="0"/>
              <w:bottom w:val="single" w:color="auto" w:sz="6" w:space="0"/>
              <w:right w:val="single" w:color="auto" w:sz="6" w:space="0"/>
            </w:tcBorders>
          </w:tcPr>
          <w:p>
            <w:pPr>
              <w:autoSpaceDE w:val="0"/>
              <w:autoSpaceDN w:val="0"/>
              <w:adjustRightInd w:val="0"/>
              <w:spacing w:line="460" w:lineRule="exact"/>
              <w:ind w:firstLine="472" w:firstLineChars="196"/>
              <w:rPr>
                <w:rFonts w:ascii="Times New Roman" w:hAnsi="Times New Roman" w:eastAsia="宋体"/>
                <w:b/>
                <w:caps w:val="0"/>
                <w:color w:val="000000" w:themeColor="text1"/>
                <w:sz w:val="24"/>
                <w:highlight w:val="none"/>
                <w:lang w:val="zh-CN"/>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1、</w:t>
            </w:r>
            <w:r>
              <w:rPr>
                <w:rFonts w:ascii="Times New Roman" w:hAnsi="Times New Roman" w:eastAsia="宋体"/>
                <w:b/>
                <w:caps w:val="0"/>
                <w:color w:val="000000" w:themeColor="text1"/>
                <w:sz w:val="24"/>
                <w:highlight w:val="none"/>
                <w:lang w:val="zh-CN"/>
                <w14:textFill>
                  <w14:solidFill>
                    <w14:schemeClr w14:val="tx1"/>
                  </w14:solidFill>
                </w14:textFill>
              </w:rPr>
              <w:t>环境空气质量</w:t>
            </w:r>
          </w:p>
          <w:p>
            <w:pPr>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项目所在区域为环境空气质量二类区，环境空气执行《环境空气质量标准》（GB3095-2012）中的二级标准及其修改单；非甲烷总烃执行《大气污染物综合排放标准》</w:t>
            </w:r>
            <w:r>
              <w:rPr>
                <w:rFonts w:ascii="Times New Roman" w:hAnsi="Times New Roman" w:eastAsia="宋体"/>
                <w:caps w:val="0"/>
                <w:color w:val="000000" w:themeColor="text1"/>
                <w:kern w:val="0"/>
                <w:sz w:val="24"/>
                <w:highlight w:val="none"/>
                <w14:textFill>
                  <w14:solidFill>
                    <w14:schemeClr w14:val="tx1"/>
                  </w14:solidFill>
                </w14:textFill>
              </w:rPr>
              <w:t>详解推荐值相关要求</w:t>
            </w:r>
            <w:r>
              <w:rPr>
                <w:rFonts w:ascii="Times New Roman" w:hAnsi="Times New Roman" w:eastAsia="宋体"/>
                <w:caps w:val="0"/>
                <w:color w:val="000000" w:themeColor="text1"/>
                <w:sz w:val="24"/>
                <w:highlight w:val="none"/>
                <w14:textFill>
                  <w14:solidFill>
                    <w14:schemeClr w14:val="tx1"/>
                  </w14:solidFill>
                </w14:textFill>
              </w:rPr>
              <w:t>，具体标准值详见表4-1。</w:t>
            </w:r>
          </w:p>
          <w:p>
            <w:pPr>
              <w:widowControl/>
              <w:spacing w:line="460" w:lineRule="exact"/>
              <w:jc w:val="center"/>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表4-1  环境空气质量标准</w:t>
            </w:r>
          </w:p>
          <w:tbl>
            <w:tblPr>
              <w:tblStyle w:val="3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41"/>
              <w:gridCol w:w="2059"/>
              <w:gridCol w:w="1122"/>
              <w:gridCol w:w="881"/>
              <w:gridCol w:w="30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tcBorders>
                    <w:tl2br w:val="nil"/>
                    <w:tr2bl w:val="nil"/>
                  </w:tcBorders>
                  <w:vAlign w:val="center"/>
                </w:tcPr>
                <w:p>
                  <w:pPr>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污染物名称</w:t>
                  </w:r>
                </w:p>
              </w:tc>
              <w:tc>
                <w:tcPr>
                  <w:tcW w:w="1222" w:type="pct"/>
                  <w:tcBorders>
                    <w:tl2br w:val="nil"/>
                    <w:tr2bl w:val="nil"/>
                  </w:tcBorders>
                  <w:vAlign w:val="center"/>
                </w:tcPr>
                <w:p>
                  <w:pPr>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取值时间</w:t>
                  </w:r>
                </w:p>
              </w:tc>
              <w:tc>
                <w:tcPr>
                  <w:tcW w:w="666"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浓度限值</w:t>
                  </w:r>
                </w:p>
              </w:tc>
              <w:tc>
                <w:tcPr>
                  <w:tcW w:w="523" w:type="pct"/>
                  <w:tcBorders>
                    <w:tl2br w:val="nil"/>
                    <w:tr2bl w:val="nil"/>
                  </w:tcBorders>
                  <w:vAlign w:val="center"/>
                </w:tcPr>
                <w:p>
                  <w:pPr>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单位</w:t>
                  </w:r>
                </w:p>
              </w:tc>
              <w:tc>
                <w:tcPr>
                  <w:tcW w:w="1793" w:type="pct"/>
                  <w:tcBorders>
                    <w:tl2br w:val="nil"/>
                    <w:tr2bl w:val="nil"/>
                  </w:tcBorders>
                  <w:vAlign w:val="center"/>
                </w:tcPr>
                <w:p>
                  <w:pPr>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SO</w:t>
                  </w:r>
                  <w:r>
                    <w:rPr>
                      <w:rFonts w:ascii="Times New Roman" w:hAnsi="Times New Roman" w:eastAsia="宋体"/>
                      <w:caps w:val="0"/>
                      <w:color w:val="000000" w:themeColor="text1"/>
                      <w:kern w:val="0"/>
                      <w:sz w:val="21"/>
                      <w:szCs w:val="21"/>
                      <w:highlight w:val="none"/>
                      <w:vertAlign w:val="subscript"/>
                      <w14:textFill>
                        <w14:solidFill>
                          <w14:schemeClr w14:val="tx1"/>
                        </w14:solidFill>
                      </w14:textFill>
                    </w:rPr>
                    <w:t>2</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年平均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60</w:t>
                  </w:r>
                </w:p>
              </w:tc>
              <w:tc>
                <w:tcPr>
                  <w:tcW w:w="523"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μ</w:t>
                  </w:r>
                  <w:r>
                    <w:rPr>
                      <w:rFonts w:ascii="Times New Roman" w:hAnsi="Times New Roman" w:eastAsia="宋体"/>
                      <w:caps w:val="0"/>
                      <w:color w:val="000000" w:themeColor="text1"/>
                      <w:sz w:val="21"/>
                      <w:szCs w:val="21"/>
                      <w:highlight w:val="none"/>
                      <w:lang w:bidi="ar"/>
                      <w14:textFill>
                        <w14:solidFill>
                          <w14:schemeClr w14:val="tx1"/>
                        </w14:solidFill>
                      </w14:textFill>
                    </w:rPr>
                    <w:t>g/m³</w:t>
                  </w:r>
                </w:p>
              </w:tc>
              <w:tc>
                <w:tcPr>
                  <w:tcW w:w="1793"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w:t>
                  </w:r>
                  <w:r>
                    <w:rPr>
                      <w:rFonts w:ascii="Times New Roman" w:hAnsi="Times New Roman" w:eastAsia="宋体"/>
                      <w:caps w:val="0"/>
                      <w:color w:val="000000" w:themeColor="text1"/>
                      <w:sz w:val="21"/>
                      <w:szCs w:val="21"/>
                      <w:highlight w:val="none"/>
                      <w14:textFill>
                        <w14:solidFill>
                          <w14:schemeClr w14:val="tx1"/>
                        </w14:solidFill>
                      </w14:textFill>
                    </w:rPr>
                    <w:t>环境空气质量标准》（GB3095-2012</w:t>
                  </w:r>
                  <w:r>
                    <w:rPr>
                      <w:rFonts w:ascii="Times New Roman" w:hAnsi="Times New Roman" w:eastAsia="宋体"/>
                      <w:caps w:val="0"/>
                      <w:color w:val="000000" w:themeColor="text1"/>
                      <w:kern w:val="0"/>
                      <w:sz w:val="21"/>
                      <w:szCs w:val="21"/>
                      <w:highlight w:val="none"/>
                      <w14:textFill>
                        <w14:solidFill>
                          <w14:schemeClr w14:val="tx1"/>
                        </w14:solidFill>
                      </w14:textFill>
                    </w:rPr>
                    <w:t>）中的二级标准及其修改单</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24小时平均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150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1小时平均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500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NO</w:t>
                  </w:r>
                  <w:r>
                    <w:rPr>
                      <w:rFonts w:ascii="Times New Roman" w:hAnsi="Times New Roman" w:eastAsia="宋体"/>
                      <w:caps w:val="0"/>
                      <w:color w:val="000000" w:themeColor="text1"/>
                      <w:kern w:val="0"/>
                      <w:sz w:val="21"/>
                      <w:szCs w:val="21"/>
                      <w:highlight w:val="none"/>
                      <w:vertAlign w:val="subscript"/>
                      <w14:textFill>
                        <w14:solidFill>
                          <w14:schemeClr w14:val="tx1"/>
                        </w14:solidFill>
                      </w14:textFill>
                    </w:rPr>
                    <w:t>2</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年平均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40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24小时平均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80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1小时平均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vertAlign w:val="subscript"/>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PM</w:t>
                  </w:r>
                  <w:r>
                    <w:rPr>
                      <w:rFonts w:ascii="Times New Roman" w:hAnsi="Times New Roman" w:eastAsia="宋体"/>
                      <w:caps w:val="0"/>
                      <w:color w:val="000000" w:themeColor="text1"/>
                      <w:sz w:val="21"/>
                      <w:szCs w:val="21"/>
                      <w:highlight w:val="none"/>
                      <w:vertAlign w:val="subscript"/>
                      <w14:textFill>
                        <w14:solidFill>
                          <w14:schemeClr w14:val="tx1"/>
                        </w14:solidFill>
                      </w14:textFill>
                    </w:rPr>
                    <w:t>10</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年平均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70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24小时平均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150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PM</w:t>
                  </w:r>
                  <w:r>
                    <w:rPr>
                      <w:rFonts w:ascii="Times New Roman" w:hAnsi="Times New Roman" w:eastAsia="宋体"/>
                      <w:caps w:val="0"/>
                      <w:color w:val="000000" w:themeColor="text1"/>
                      <w:sz w:val="21"/>
                      <w:szCs w:val="21"/>
                      <w:highlight w:val="none"/>
                      <w:vertAlign w:val="subscript"/>
                      <w14:textFill>
                        <w14:solidFill>
                          <w14:schemeClr w14:val="tx1"/>
                        </w14:solidFill>
                      </w14:textFill>
                    </w:rPr>
                    <w:t>2.5</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年平均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35</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24小时平均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75</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TSP</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年平均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24</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300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CO</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24小时平均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4</w:t>
                  </w:r>
                </w:p>
              </w:tc>
              <w:tc>
                <w:tcPr>
                  <w:tcW w:w="523"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m</w:t>
                  </w:r>
                  <w:r>
                    <w:rPr>
                      <w:rFonts w:ascii="Times New Roman" w:hAnsi="Times New Roman" w:eastAsia="宋体"/>
                      <w:caps w:val="0"/>
                      <w:color w:val="000000" w:themeColor="text1"/>
                      <w:sz w:val="21"/>
                      <w:szCs w:val="21"/>
                      <w:highlight w:val="none"/>
                      <w:lang w:bidi="ar"/>
                      <w14:textFill>
                        <w14:solidFill>
                          <w14:schemeClr w14:val="tx1"/>
                        </w14:solidFill>
                      </w14:textFill>
                    </w:rPr>
                    <w:t>g/m³</w:t>
                  </w: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1小时平均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10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vertAlign w:val="subscript"/>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O</w:t>
                  </w:r>
                  <w:r>
                    <w:rPr>
                      <w:rFonts w:ascii="Times New Roman" w:hAnsi="Times New Roman" w:eastAsia="宋体"/>
                      <w:caps w:val="0"/>
                      <w:color w:val="000000" w:themeColor="text1"/>
                      <w:sz w:val="21"/>
                      <w:szCs w:val="21"/>
                      <w:highlight w:val="none"/>
                      <w:vertAlign w:val="subscript"/>
                      <w14:textFill>
                        <w14:solidFill>
                          <w14:schemeClr w14:val="tx1"/>
                        </w14:solidFill>
                      </w14:textFill>
                    </w:rPr>
                    <w:t>3</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日最大8小时平均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160</w:t>
                  </w:r>
                </w:p>
              </w:tc>
              <w:tc>
                <w:tcPr>
                  <w:tcW w:w="523" w:type="pct"/>
                  <w:vMerge w:val="restar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μ</w:t>
                  </w:r>
                  <w:r>
                    <w:rPr>
                      <w:rFonts w:ascii="Times New Roman" w:hAnsi="Times New Roman" w:eastAsia="宋体"/>
                      <w:caps w:val="0"/>
                      <w:color w:val="000000" w:themeColor="text1"/>
                      <w:sz w:val="21"/>
                      <w:szCs w:val="21"/>
                      <w:highlight w:val="none"/>
                      <w:lang w:bidi="ar"/>
                      <w14:textFill>
                        <w14:solidFill>
                          <w14:schemeClr w14:val="tx1"/>
                        </w14:solidFill>
                      </w14:textFill>
                    </w:rPr>
                    <w:t>g/m³</w:t>
                  </w: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96"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1小时平均</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200</w:t>
                  </w:r>
                </w:p>
              </w:tc>
              <w:tc>
                <w:tcPr>
                  <w:tcW w:w="52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1793" w:type="pct"/>
                  <w:vMerge w:val="continue"/>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非甲烷总烃</w:t>
                  </w:r>
                </w:p>
              </w:tc>
              <w:tc>
                <w:tcPr>
                  <w:tcW w:w="1222"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最高允许浓度一次</w:t>
                  </w:r>
                </w:p>
              </w:tc>
              <w:tc>
                <w:tcPr>
                  <w:tcW w:w="666"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w:t>
                  </w:r>
                </w:p>
              </w:tc>
              <w:tc>
                <w:tcPr>
                  <w:tcW w:w="523"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mg/m³</w:t>
                  </w:r>
                </w:p>
              </w:tc>
              <w:tc>
                <w:tcPr>
                  <w:tcW w:w="1793" w:type="pct"/>
                  <w:tcBorders>
                    <w:tl2br w:val="nil"/>
                    <w:tr2bl w:val="nil"/>
                  </w:tcBorders>
                  <w:vAlign w:val="center"/>
                </w:tcPr>
                <w:p>
                  <w:pPr>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《大气污染物综合排放标准》（GB16297-1996）详解推荐值</w:t>
                  </w:r>
                </w:p>
              </w:tc>
            </w:tr>
          </w:tbl>
          <w:p>
            <w:pPr>
              <w:tabs>
                <w:tab w:val="left" w:pos="5670"/>
              </w:tabs>
              <w:spacing w:line="360" w:lineRule="auto"/>
              <w:ind w:firstLine="472" w:firstLineChars="196"/>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2、地表水环境质量</w:t>
            </w:r>
            <w:r>
              <w:rPr>
                <w:rFonts w:ascii="Times New Roman" w:hAnsi="Times New Roman" w:eastAsia="宋体"/>
                <w:b/>
                <w:caps w:val="0"/>
                <w:color w:val="000000" w:themeColor="text1"/>
                <w:sz w:val="24"/>
                <w:highlight w:val="none"/>
                <w14:textFill>
                  <w14:solidFill>
                    <w14:schemeClr w14:val="tx1"/>
                  </w14:solidFill>
                </w14:textFill>
              </w:rPr>
              <w:tab/>
            </w:r>
          </w:p>
          <w:p>
            <w:pPr>
              <w:adjustRightInd w:val="0"/>
              <w:snapToGrid w:val="0"/>
              <w:spacing w:line="360" w:lineRule="auto"/>
              <w:ind w:firstLine="48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犁山河水质执行《地表水环境质量标准》（GB3838</w:t>
            </w:r>
            <w:r>
              <w:rPr>
                <w:rFonts w:hint="eastAsia" w:ascii="Times New Roman" w:hAnsi="Times New Roman" w:eastAsia="宋体"/>
                <w:caps w:val="0"/>
                <w:color w:val="000000" w:themeColor="text1"/>
                <w:sz w:val="24"/>
                <w:highlight w:val="none"/>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2002）中的Ⅲ类标准，其中SS执行《地表水水资源质量标准》（SL63-94）三级标准，标准限值见表4-2。</w:t>
            </w: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pStyle w:val="40"/>
              <w:rPr>
                <w:rFonts w:ascii="Times New Roman" w:hAnsi="Times New Roman" w:eastAsia="宋体"/>
                <w:caps w:val="0"/>
                <w:color w:val="000000" w:themeColor="text1"/>
                <w:highlight w:val="none"/>
                <w14:textFill>
                  <w14:solidFill>
                    <w14:schemeClr w14:val="tx1"/>
                  </w14:solidFill>
                </w14:textFill>
              </w:rPr>
            </w:pPr>
          </w:p>
          <w:p>
            <w:pPr>
              <w:adjustRightInd w:val="0"/>
              <w:snapToGrid w:val="0"/>
              <w:jc w:val="left"/>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highlight w:val="none"/>
                <w14:textFill>
                  <w14:solidFill>
                    <w14:schemeClr w14:val="tx1"/>
                  </w14:solidFill>
                </w14:textFill>
              </w:rPr>
              <w:t xml:space="preserve">        </w:t>
            </w:r>
            <w:r>
              <w:rPr>
                <w:rFonts w:ascii="Times New Roman" w:hAnsi="Times New Roman" w:eastAsia="宋体"/>
                <w:b/>
                <w:bCs/>
                <w:caps w:val="0"/>
                <w:color w:val="000000" w:themeColor="text1"/>
                <w:sz w:val="24"/>
                <w:highlight w:val="none"/>
                <w14:textFill>
                  <w14:solidFill>
                    <w14:schemeClr w14:val="tx1"/>
                  </w14:solidFill>
                </w14:textFill>
              </w:rPr>
              <w:t xml:space="preserve">  表4-2  地表水环境质量标准  单位：mg/L，pH 无量纲</w:t>
            </w:r>
          </w:p>
          <w:tbl>
            <w:tblPr>
              <w:tblStyle w:val="32"/>
              <w:tblW w:w="5000"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274"/>
              <w:gridCol w:w="1913"/>
              <w:gridCol w:w="1962"/>
              <w:gridCol w:w="3280"/>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序号</w:t>
                  </w:r>
                </w:p>
              </w:tc>
              <w:tc>
                <w:tcPr>
                  <w:tcW w:w="1135" w:type="pct"/>
                  <w:tcBorders>
                    <w:tl2br w:val="nil"/>
                    <w:tr2bl w:val="nil"/>
                  </w:tcBorders>
                  <w:vAlign w:val="center"/>
                </w:tcPr>
                <w:p>
                  <w:pPr>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项目</w:t>
                  </w:r>
                </w:p>
              </w:tc>
              <w:tc>
                <w:tcPr>
                  <w:tcW w:w="1164" w:type="pct"/>
                  <w:tcBorders>
                    <w:tl2br w:val="nil"/>
                    <w:tr2bl w:val="nil"/>
                  </w:tcBorders>
                  <w:vAlign w:val="center"/>
                </w:tcPr>
                <w:p>
                  <w:pPr>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标准值（mg/L）</w:t>
                  </w:r>
                </w:p>
              </w:tc>
              <w:tc>
                <w:tcPr>
                  <w:tcW w:w="1945" w:type="pct"/>
                  <w:tcBorders>
                    <w:tl2br w:val="nil"/>
                    <w:tr2bl w:val="nil"/>
                  </w:tcBorders>
                  <w:vAlign w:val="center"/>
                </w:tcPr>
                <w:p>
                  <w:pPr>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标准来源</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pH</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6～9</w:t>
                  </w:r>
                </w:p>
              </w:tc>
              <w:tc>
                <w:tcPr>
                  <w:tcW w:w="1945" w:type="pct"/>
                  <w:vMerge w:val="restar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《地表水环境质量标准》（GB3838-2002）中Ⅲ类水质标准</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COD</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≤20</w:t>
                  </w:r>
                </w:p>
              </w:tc>
              <w:tc>
                <w:tcPr>
                  <w:tcW w:w="1945" w:type="pct"/>
                  <w:vMerge w:val="continue"/>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BOD</w:t>
                  </w:r>
                  <w:r>
                    <w:rPr>
                      <w:rFonts w:ascii="Times New Roman" w:hAnsi="Times New Roman" w:eastAsia="宋体"/>
                      <w:caps w:val="0"/>
                      <w:color w:val="000000" w:themeColor="text1"/>
                      <w:sz w:val="21"/>
                      <w:highlight w:val="none"/>
                      <w:vertAlign w:val="subscript"/>
                      <w14:textFill>
                        <w14:solidFill>
                          <w14:schemeClr w14:val="tx1"/>
                        </w14:solidFill>
                      </w14:textFill>
                    </w:rPr>
                    <w:t>5</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≤4</w:t>
                  </w:r>
                </w:p>
              </w:tc>
              <w:tc>
                <w:tcPr>
                  <w:tcW w:w="1945" w:type="pct"/>
                  <w:vMerge w:val="continue"/>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4</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NH</w:t>
                  </w:r>
                  <w:r>
                    <w:rPr>
                      <w:rFonts w:ascii="Times New Roman" w:hAnsi="Times New Roman" w:eastAsia="宋体"/>
                      <w:caps w:val="0"/>
                      <w:color w:val="000000" w:themeColor="text1"/>
                      <w:sz w:val="21"/>
                      <w:szCs w:val="21"/>
                      <w:highlight w:val="none"/>
                      <w:vertAlign w:val="subscript"/>
                      <w14:textFill>
                        <w14:solidFill>
                          <w14:schemeClr w14:val="tx1"/>
                        </w14:solidFill>
                      </w14:textFill>
                    </w:rPr>
                    <w:t>3</w:t>
                  </w:r>
                  <w:r>
                    <w:rPr>
                      <w:rFonts w:ascii="Times New Roman" w:hAnsi="Times New Roman" w:eastAsia="宋体"/>
                      <w:caps w:val="0"/>
                      <w:color w:val="000000" w:themeColor="text1"/>
                      <w:sz w:val="21"/>
                      <w:szCs w:val="21"/>
                      <w:highlight w:val="none"/>
                      <w14:textFill>
                        <w14:solidFill>
                          <w14:schemeClr w14:val="tx1"/>
                        </w14:solidFill>
                      </w14:textFill>
                    </w:rPr>
                    <w:t>-N</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≤1.0</w:t>
                  </w:r>
                </w:p>
              </w:tc>
              <w:tc>
                <w:tcPr>
                  <w:tcW w:w="1945" w:type="pct"/>
                  <w:vMerge w:val="continue"/>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403"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5</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TP</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≤0.2</w:t>
                  </w:r>
                </w:p>
              </w:tc>
              <w:tc>
                <w:tcPr>
                  <w:tcW w:w="1945" w:type="pct"/>
                  <w:vMerge w:val="continue"/>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454"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6</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石油类</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highlight w:val="none"/>
                      <w14:textFill>
                        <w14:solidFill>
                          <w14:schemeClr w14:val="tx1"/>
                        </w14:solidFill>
                      </w14:textFill>
                    </w:rPr>
                    <w:t>≤0.05</w:t>
                  </w:r>
                </w:p>
              </w:tc>
              <w:tc>
                <w:tcPr>
                  <w:tcW w:w="1945" w:type="pct"/>
                  <w:vMerge w:val="continue"/>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697" w:hRule="exact"/>
                <w:jc w:val="center"/>
              </w:trPr>
              <w:tc>
                <w:tcPr>
                  <w:tcW w:w="756"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7</w:t>
                  </w:r>
                </w:p>
              </w:tc>
              <w:tc>
                <w:tcPr>
                  <w:tcW w:w="113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SS</w:t>
                  </w:r>
                </w:p>
              </w:tc>
              <w:tc>
                <w:tcPr>
                  <w:tcW w:w="1164"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≤30</w:t>
                  </w:r>
                </w:p>
              </w:tc>
              <w:tc>
                <w:tcPr>
                  <w:tcW w:w="1945" w:type="pct"/>
                  <w:tcBorders>
                    <w:tl2br w:val="nil"/>
                    <w:tr2bl w:val="nil"/>
                  </w:tcBorders>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《地表水资源质量标准》（SL63-94）三级标准</w:t>
                  </w:r>
                </w:p>
              </w:tc>
            </w:tr>
          </w:tbl>
          <w:p>
            <w:pPr>
              <w:spacing w:line="460" w:lineRule="exact"/>
              <w:ind w:firstLine="472" w:firstLineChars="196"/>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3、声环境质量标准</w:t>
            </w:r>
          </w:p>
          <w:p>
            <w:pPr>
              <w:spacing w:line="460" w:lineRule="exact"/>
              <w:ind w:firstLine="480" w:firstLineChars="200"/>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区域声环境执行《声环境质量标准》（GB3096-2008）3类标准，敏感点执行《声环境质量标准》（GB3096-2008）2类标准，详见表4-3。</w:t>
            </w:r>
          </w:p>
          <w:p>
            <w:pPr>
              <w:widowControl/>
              <w:spacing w:line="460" w:lineRule="exact"/>
              <w:jc w:val="center"/>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 xml:space="preserve">表4-3   环境噪声标准限值    </w:t>
            </w:r>
            <w:r>
              <w:rPr>
                <w:rFonts w:ascii="Times New Roman" w:hAnsi="Times New Roman" w:eastAsia="宋体"/>
                <w:caps w:val="0"/>
                <w:color w:val="000000" w:themeColor="text1"/>
                <w:kern w:val="0"/>
                <w:sz w:val="24"/>
                <w:highlight w:val="none"/>
                <w14:textFill>
                  <w14:solidFill>
                    <w14:schemeClr w14:val="tx1"/>
                  </w14:solidFill>
                </w14:textFill>
              </w:rPr>
              <w:t>单位：dB（A）</w:t>
            </w:r>
          </w:p>
          <w:tbl>
            <w:tblPr>
              <w:tblStyle w:val="3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49"/>
              <w:gridCol w:w="1711"/>
              <w:gridCol w:w="1725"/>
              <w:gridCol w:w="344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19" w:type="pct"/>
                  <w:vMerge w:val="restart"/>
                  <w:tcBorders>
                    <w:tl2br w:val="nil"/>
                    <w:tr2bl w:val="nil"/>
                  </w:tcBorders>
                  <w:vAlign w:val="center"/>
                </w:tcPr>
                <w:p>
                  <w:pPr>
                    <w:adjustRightInd w:val="0"/>
                    <w:snapToGrid w:val="0"/>
                    <w:spacing w:line="320" w:lineRule="exact"/>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标准级（类）别</w:t>
                  </w:r>
                </w:p>
              </w:tc>
              <w:tc>
                <w:tcPr>
                  <w:tcW w:w="2038" w:type="pct"/>
                  <w:gridSpan w:val="2"/>
                  <w:tcBorders>
                    <w:tl2br w:val="nil"/>
                    <w:tr2bl w:val="nil"/>
                  </w:tcBorders>
                  <w:vAlign w:val="center"/>
                </w:tcPr>
                <w:p>
                  <w:pPr>
                    <w:pStyle w:val="77"/>
                    <w:adjustRightInd w:val="0"/>
                    <w:snapToGrid w:val="0"/>
                    <w:ind w:firstLine="128"/>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标准限值</w:t>
                  </w:r>
                </w:p>
              </w:tc>
              <w:tc>
                <w:tcPr>
                  <w:tcW w:w="2041" w:type="pct"/>
                  <w:vMerge w:val="restart"/>
                  <w:tcBorders>
                    <w:tl2br w:val="nil"/>
                    <w:tr2bl w:val="nil"/>
                  </w:tcBorders>
                  <w:vAlign w:val="center"/>
                </w:tcPr>
                <w:p>
                  <w:pPr>
                    <w:adjustRightInd w:val="0"/>
                    <w:snapToGri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19" w:type="pct"/>
                  <w:vMerge w:val="continue"/>
                  <w:tcBorders>
                    <w:tl2br w:val="nil"/>
                    <w:tr2bl w:val="nil"/>
                  </w:tcBorders>
                  <w:vAlign w:val="center"/>
                </w:tcPr>
                <w:p>
                  <w:pPr>
                    <w:adjustRightInd w:val="0"/>
                    <w:snapToGrid w:val="0"/>
                    <w:spacing w:line="320" w:lineRule="exact"/>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1015" w:type="pct"/>
                  <w:tcBorders>
                    <w:tl2br w:val="nil"/>
                    <w:tr2bl w:val="nil"/>
                  </w:tcBorders>
                  <w:vAlign w:val="center"/>
                </w:tcPr>
                <w:p>
                  <w:pPr>
                    <w:pStyle w:val="77"/>
                    <w:adjustRightInd w:val="0"/>
                    <w:snapToGrid w:val="0"/>
                    <w:ind w:firstLine="128"/>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昼间</w:t>
                  </w:r>
                </w:p>
              </w:tc>
              <w:tc>
                <w:tcPr>
                  <w:tcW w:w="1023" w:type="pct"/>
                  <w:tcBorders>
                    <w:tl2br w:val="nil"/>
                    <w:tr2bl w:val="nil"/>
                  </w:tcBorders>
                  <w:vAlign w:val="center"/>
                </w:tcPr>
                <w:p>
                  <w:pPr>
                    <w:pStyle w:val="77"/>
                    <w:adjustRightInd w:val="0"/>
                    <w:snapToGrid w:val="0"/>
                    <w:ind w:firstLine="128"/>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Cs w:val="21"/>
                      <w:highlight w:val="none"/>
                      <w14:textFill>
                        <w14:solidFill>
                          <w14:schemeClr w14:val="tx1"/>
                        </w14:solidFill>
                      </w14:textFill>
                    </w:rPr>
                    <w:t>夜间</w:t>
                  </w:r>
                </w:p>
              </w:tc>
              <w:tc>
                <w:tcPr>
                  <w:tcW w:w="2041" w:type="pct"/>
                  <w:vMerge w:val="continue"/>
                  <w:tcBorders>
                    <w:tl2br w:val="nil"/>
                    <w:tr2bl w:val="nil"/>
                  </w:tcBorders>
                  <w:vAlign w:val="center"/>
                </w:tcPr>
                <w:p>
                  <w:pPr>
                    <w:pStyle w:val="77"/>
                    <w:adjustRightInd w:val="0"/>
                    <w:snapToGrid w:val="0"/>
                    <w:ind w:firstLine="128"/>
                    <w:rPr>
                      <w:rFonts w:ascii="Times New Roman" w:hAnsi="Times New Roman" w:eastAsia="宋体"/>
                      <w:caps w:val="0"/>
                      <w:color w:val="000000" w:themeColor="text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19" w:type="pct"/>
                  <w:tcBorders>
                    <w:tl2br w:val="nil"/>
                    <w:tr2bl w:val="nil"/>
                  </w:tcBorders>
                  <w:vAlign w:val="center"/>
                </w:tcPr>
                <w:p>
                  <w:pPr>
                    <w:adjustRightInd w:val="0"/>
                    <w:snapToGri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3类</w:t>
                  </w:r>
                </w:p>
              </w:tc>
              <w:tc>
                <w:tcPr>
                  <w:tcW w:w="1015" w:type="pct"/>
                  <w:tcBorders>
                    <w:tl2br w:val="nil"/>
                    <w:tr2bl w:val="nil"/>
                  </w:tcBorders>
                  <w:vAlign w:val="center"/>
                </w:tcPr>
                <w:p>
                  <w:pPr>
                    <w:pStyle w:val="77"/>
                    <w:adjustRightInd w:val="0"/>
                    <w:snapToGrid w:val="0"/>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65</w:t>
                  </w:r>
                </w:p>
              </w:tc>
              <w:tc>
                <w:tcPr>
                  <w:tcW w:w="1023" w:type="pct"/>
                  <w:tcBorders>
                    <w:tl2br w:val="nil"/>
                    <w:tr2bl w:val="nil"/>
                  </w:tcBorders>
                  <w:vAlign w:val="center"/>
                </w:tcPr>
                <w:p>
                  <w:pPr>
                    <w:pStyle w:val="77"/>
                    <w:adjustRightInd w:val="0"/>
                    <w:snapToGrid w:val="0"/>
                    <w:rPr>
                      <w:rFonts w:ascii="Times New Roman" w:hAnsi="Times New Roman" w:eastAsia="宋体"/>
                      <w:caps w:val="0"/>
                      <w:color w:val="000000" w:themeColor="text1"/>
                      <w:szCs w:val="21"/>
                      <w:highlight w:val="none"/>
                      <w14:textFill>
                        <w14:solidFill>
                          <w14:schemeClr w14:val="tx1"/>
                        </w14:solidFill>
                      </w14:textFill>
                    </w:rPr>
                  </w:pPr>
                  <w:r>
                    <w:rPr>
                      <w:rFonts w:ascii="Times New Roman" w:hAnsi="Times New Roman" w:eastAsia="宋体"/>
                      <w:caps w:val="0"/>
                      <w:color w:val="000000" w:themeColor="text1"/>
                      <w:szCs w:val="21"/>
                      <w:highlight w:val="none"/>
                      <w14:textFill>
                        <w14:solidFill>
                          <w14:schemeClr w14:val="tx1"/>
                        </w14:solidFill>
                      </w14:textFill>
                    </w:rPr>
                    <w:t>55</w:t>
                  </w:r>
                </w:p>
              </w:tc>
              <w:tc>
                <w:tcPr>
                  <w:tcW w:w="2041" w:type="pct"/>
                  <w:vMerge w:val="restart"/>
                  <w:tcBorders>
                    <w:tl2br w:val="nil"/>
                    <w:tr2bl w:val="nil"/>
                  </w:tcBorders>
                  <w:vAlign w:val="center"/>
                </w:tcPr>
                <w:p>
                  <w:pPr>
                    <w:adjustRightInd w:val="0"/>
                    <w:snapToGri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《声环境质量标准》GB3096-2008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19" w:type="pct"/>
                  <w:tcBorders>
                    <w:tl2br w:val="nil"/>
                    <w:tr2bl w:val="nil"/>
                  </w:tcBorders>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2类</w:t>
                  </w:r>
                </w:p>
              </w:tc>
              <w:tc>
                <w:tcPr>
                  <w:tcW w:w="1015" w:type="pct"/>
                  <w:tcBorders>
                    <w:tl2br w:val="nil"/>
                    <w:tr2bl w:val="nil"/>
                  </w:tcBorders>
                  <w:vAlign w:val="center"/>
                </w:tcPr>
                <w:p>
                  <w:pPr>
                    <w:pStyle w:val="77"/>
                    <w:adjustRightInd w:val="0"/>
                    <w:snapToGrid w:val="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60</w:t>
                  </w:r>
                </w:p>
              </w:tc>
              <w:tc>
                <w:tcPr>
                  <w:tcW w:w="1023" w:type="pct"/>
                  <w:tcBorders>
                    <w:tl2br w:val="nil"/>
                    <w:tr2bl w:val="nil"/>
                  </w:tcBorders>
                  <w:vAlign w:val="center"/>
                </w:tcPr>
                <w:p>
                  <w:pPr>
                    <w:pStyle w:val="77"/>
                    <w:adjustRightInd w:val="0"/>
                    <w:snapToGrid w:val="0"/>
                    <w:jc w:val="center"/>
                    <w:rPr>
                      <w:rFonts w:hint="default" w:ascii="Times New Roman" w:hAnsi="Times New Roman" w:eastAsia="宋体"/>
                      <w:caps w:val="0"/>
                      <w:color w:val="000000" w:themeColor="text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Cs w:val="21"/>
                      <w:highlight w:val="none"/>
                      <w:lang w:val="en-US" w:eastAsia="zh-CN"/>
                      <w14:textFill>
                        <w14:solidFill>
                          <w14:schemeClr w14:val="tx1"/>
                        </w14:solidFill>
                      </w14:textFill>
                    </w:rPr>
                    <w:t>50</w:t>
                  </w:r>
                </w:p>
              </w:tc>
              <w:tc>
                <w:tcPr>
                  <w:tcW w:w="2041" w:type="pct"/>
                  <w:vMerge w:val="continue"/>
                  <w:tcBorders>
                    <w:tl2br w:val="nil"/>
                    <w:tr2bl w:val="nil"/>
                  </w:tcBorders>
                  <w:vAlign w:val="center"/>
                </w:tcPr>
                <w:p>
                  <w:pPr>
                    <w:adjustRightInd w:val="0"/>
                    <w:snapToGri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r>
          </w:tbl>
          <w:p>
            <w:pPr>
              <w:spacing w:line="460" w:lineRule="exact"/>
              <w:ind w:firstLine="472" w:firstLineChars="196"/>
              <w:rPr>
                <w:rFonts w:ascii="Times New Roman" w:hAnsi="Times New Roman" w:eastAsia="宋体"/>
                <w:b/>
                <w:color w:val="000000" w:themeColor="text1"/>
                <w:sz w:val="24"/>
                <w:highlight w:val="none"/>
                <w14:textFill>
                  <w14:solidFill>
                    <w14:schemeClr w14:val="tx1"/>
                  </w14:solidFill>
                </w14:textFill>
              </w:rPr>
            </w:pPr>
            <w:r>
              <w:rPr>
                <w:rFonts w:ascii="Times New Roman" w:hAnsi="Times New Roman" w:eastAsia="宋体"/>
                <w:b/>
                <w:color w:val="000000" w:themeColor="text1"/>
                <w:sz w:val="24"/>
                <w:highlight w:val="none"/>
                <w14:textFill>
                  <w14:solidFill>
                    <w14:schemeClr w14:val="tx1"/>
                  </w14:solidFill>
                </w14:textFill>
              </w:rPr>
              <w:t>4、土壤环境质量标准</w:t>
            </w:r>
          </w:p>
          <w:p>
            <w:pPr>
              <w:spacing w:line="460" w:lineRule="exact"/>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项目地土壤环境执行《土壤环境质量建设用地土壤污染风险管控标准（试行）》（GB36600-2018）筛选值的第二类用地，具体见表4-4。</w:t>
            </w:r>
          </w:p>
          <w:p>
            <w:pPr>
              <w:widowControl/>
              <w:spacing w:line="460" w:lineRule="exact"/>
              <w:jc w:val="center"/>
              <w:rPr>
                <w:rFonts w:ascii="Times New Roman" w:hAnsi="Times New Roman" w:eastAsia="宋体"/>
                <w:b/>
                <w:color w:val="000000" w:themeColor="text1"/>
                <w:kern w:val="0"/>
                <w:sz w:val="24"/>
                <w:highlight w:val="none"/>
                <w14:textFill>
                  <w14:solidFill>
                    <w14:schemeClr w14:val="tx1"/>
                  </w14:solidFill>
                </w14:textFill>
              </w:rPr>
            </w:pPr>
            <w:r>
              <w:rPr>
                <w:rFonts w:ascii="Times New Roman" w:hAnsi="Times New Roman" w:eastAsia="宋体"/>
                <w:b/>
                <w:color w:val="000000" w:themeColor="text1"/>
                <w:kern w:val="0"/>
                <w:sz w:val="24"/>
                <w:highlight w:val="none"/>
                <w14:textFill>
                  <w14:solidFill>
                    <w14:schemeClr w14:val="tx1"/>
                  </w14:solidFill>
                </w14:textFill>
              </w:rPr>
              <w:t>表4-4 建设用地土壤污染风险筛选值（单位：mg/kg)</w:t>
            </w:r>
          </w:p>
          <w:tbl>
            <w:tblPr>
              <w:tblStyle w:val="32"/>
              <w:tblW w:w="4855"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354"/>
              <w:gridCol w:w="2235"/>
              <w:gridCol w:w="1559"/>
              <w:gridCol w:w="303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827" w:type="pct"/>
                  <w:vAlign w:val="center"/>
                </w:tcPr>
                <w:p>
                  <w:pPr>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序号</w:t>
                  </w:r>
                </w:p>
              </w:tc>
              <w:tc>
                <w:tcPr>
                  <w:tcW w:w="1365" w:type="pct"/>
                  <w:vAlign w:val="center"/>
                </w:tcPr>
                <w:p>
                  <w:pPr>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项目</w:t>
                  </w:r>
                </w:p>
              </w:tc>
              <w:tc>
                <w:tcPr>
                  <w:tcW w:w="952" w:type="pct"/>
                  <w:vAlign w:val="center"/>
                </w:tcPr>
                <w:p>
                  <w:pPr>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标准值（mg/kg）</w:t>
                  </w:r>
                </w:p>
              </w:tc>
              <w:tc>
                <w:tcPr>
                  <w:tcW w:w="1854" w:type="pct"/>
                  <w:vAlign w:val="center"/>
                </w:tcPr>
                <w:p>
                  <w:pPr>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4"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60</w:t>
                  </w:r>
                </w:p>
              </w:tc>
              <w:tc>
                <w:tcPr>
                  <w:tcW w:w="1854" w:type="pct"/>
                  <w:vMerge w:val="restar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《土壤环境质量 建设用地土壤污染风险管控标准（试行）（GB36600-2018）》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镉</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65</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铬（六价）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5.7</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4</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铜</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18000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5</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铅</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800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6</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汞</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38</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7</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镍</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900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5"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8</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四氯化碳</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2.8</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9</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氯仿</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0.9</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10</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氯甲烷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37</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11</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1,1-二氯乙烷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9</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12</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1,2-二氯乙烷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5</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13</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1,1-二氯乙烯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66</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14</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顺-1,2-二氯乙烯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596</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15</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反-1,2-二氯乙烯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54</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16</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二氯甲烷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616</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17</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1,2-二氯丙烷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5</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18</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1,1,1,2-四氯乙烷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19</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1,1,2,2-四氯乙烷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6.8</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20</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四氯乙烯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53</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21</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1,1,1-三氯乙烷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840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22</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1,1,2-三氯乙烷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2.8</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23</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三氯乙烯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2.8</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24</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1,2,3-三氯丙烷</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0.5</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25</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氯乙烯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0.43</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26</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4</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27</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氯苯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270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28</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1,2-二氯苯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560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29</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1,4-二氯苯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30</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乙苯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28</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31</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苯乙烯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1290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32</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甲苯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w:t>
                  </w:r>
                  <w:r>
                    <w:rPr>
                      <w:rFonts w:hint="eastAsia" w:ascii="Times New Roman" w:hAnsi="Times New Roman" w:eastAsia="宋体"/>
                      <w:color w:val="000000" w:themeColor="text1"/>
                      <w:sz w:val="21"/>
                      <w:szCs w:val="21"/>
                      <w:highlight w:val="none"/>
                      <w14:textFill>
                        <w14:solidFill>
                          <w14:schemeClr w14:val="tx1"/>
                        </w14:solidFill>
                      </w14:textFill>
                    </w:rPr>
                    <w:t>20</w:t>
                  </w:r>
                  <w:r>
                    <w:rPr>
                      <w:rFonts w:ascii="Times New Roman" w:hAnsi="Times New Roman" w:eastAsia="宋体"/>
                      <w:color w:val="000000" w:themeColor="text1"/>
                      <w:sz w:val="21"/>
                      <w:szCs w:val="21"/>
                      <w:highlight w:val="none"/>
                      <w14:textFill>
                        <w14:solidFill>
                          <w14:schemeClr w14:val="tx1"/>
                        </w14:solidFill>
                      </w14:textFill>
                    </w:rPr>
                    <w:t>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33</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间二甲苯+对二甲苯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570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34</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邻二甲苯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640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35</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硝基苯</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76</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36</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sz w:val="21"/>
                      <w:szCs w:val="21"/>
                      <w:highlight w:val="none"/>
                      <w14:textFill>
                        <w14:solidFill>
                          <w14:schemeClr w14:val="tx1"/>
                        </w14:solidFill>
                      </w14:textFill>
                    </w:rPr>
                    <w:t>苯胺</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260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37</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2-氯酚</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2256</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38</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苯并（α）蒽</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15</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39</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苯并（α）芘</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1.5</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40</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苯并（b）荧蒽</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15</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41</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苯并（k）荧蒽</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151</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42</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䓛</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1293</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43</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二苯并（a,h）蒽</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1.5</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44</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highlight w:val="none"/>
                      <w14:textFill>
                        <w14:solidFill>
                          <w14:schemeClr w14:val="tx1"/>
                        </w14:solidFill>
                      </w14:textFill>
                    </w:rPr>
                    <w:fldChar w:fldCharType="begin"/>
                  </w:r>
                  <w:r>
                    <w:rPr>
                      <w:rFonts w:ascii="Times New Roman" w:hAnsi="Times New Roman" w:eastAsia="宋体"/>
                      <w:color w:val="000000" w:themeColor="text1"/>
                      <w:highlight w:val="none"/>
                      <w14:textFill>
                        <w14:solidFill>
                          <w14:schemeClr w14:val="tx1"/>
                        </w14:solidFill>
                      </w14:textFill>
                    </w:rPr>
                    <w:instrText xml:space="preserve"> HYPERLINK "http://www.baidu.com/link?url=uC4U4LJ_XAuVhDSl-U9G0IwKRdTzr8QREzKEcWSO_wiiquxUxJCAteqctBiYG9dwAIemjrT9VvO_IFkfJbQnjcyyaFUWEOkONHmjAHr5UCxnOdfk4zY9hSG0AgF7UaF-Ltb-vanGapm4q6rSCdV1v_" \t "_blank" </w:instrText>
                  </w:r>
                  <w:r>
                    <w:rPr>
                      <w:rFonts w:ascii="Times New Roman" w:hAnsi="Times New Roman" w:eastAsia="宋体"/>
                      <w:color w:val="000000" w:themeColor="text1"/>
                      <w:highlight w:val="none"/>
                      <w14:textFill>
                        <w14:solidFill>
                          <w14:schemeClr w14:val="tx1"/>
                        </w14:solidFill>
                      </w14:textFill>
                    </w:rPr>
                    <w:fldChar w:fldCharType="separate"/>
                  </w:r>
                  <w:r>
                    <w:rPr>
                      <w:rFonts w:ascii="Times New Roman" w:hAnsi="Times New Roman" w:eastAsia="宋体"/>
                      <w:color w:val="000000" w:themeColor="text1"/>
                      <w:sz w:val="21"/>
                      <w:szCs w:val="21"/>
                      <w:highlight w:val="none"/>
                      <w14:textFill>
                        <w14:solidFill>
                          <w14:schemeClr w14:val="tx1"/>
                        </w14:solidFill>
                      </w14:textFill>
                    </w:rPr>
                    <w:t>茚</w:t>
                  </w:r>
                  <w:r>
                    <w:rPr>
                      <w:rFonts w:ascii="Times New Roman" w:hAnsi="Times New Roman" w:eastAsia="宋体"/>
                      <w:color w:val="000000" w:themeColor="text1"/>
                      <w:sz w:val="21"/>
                      <w:szCs w:val="21"/>
                      <w:highlight w:val="none"/>
                      <w14:textFill>
                        <w14:solidFill>
                          <w14:schemeClr w14:val="tx1"/>
                        </w14:solidFill>
                      </w14:textFill>
                    </w:rPr>
                    <w:fldChar w:fldCharType="end"/>
                  </w:r>
                  <w:r>
                    <w:rPr>
                      <w:rFonts w:ascii="Times New Roman" w:hAnsi="Times New Roman" w:eastAsia="宋体"/>
                      <w:color w:val="000000" w:themeColor="text1"/>
                      <w:sz w:val="21"/>
                      <w:szCs w:val="21"/>
                      <w:highlight w:val="none"/>
                      <w14:textFill>
                        <w14:solidFill>
                          <w14:schemeClr w14:val="tx1"/>
                        </w14:solidFill>
                      </w14:textFill>
                    </w:rPr>
                    <w:t>并（1,2,3-cd）芘</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15</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6" w:hRule="atLeast"/>
                <w:jc w:val="center"/>
              </w:trPr>
              <w:tc>
                <w:tcPr>
                  <w:tcW w:w="827"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45</w:t>
                  </w:r>
                </w:p>
              </w:tc>
              <w:tc>
                <w:tcPr>
                  <w:tcW w:w="1365"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萘</w:t>
                  </w:r>
                </w:p>
              </w:tc>
              <w:tc>
                <w:tcPr>
                  <w:tcW w:w="952" w:type="pct"/>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70</w:t>
                  </w:r>
                </w:p>
              </w:tc>
              <w:tc>
                <w:tcPr>
                  <w:tcW w:w="1854" w:type="pct"/>
                  <w:vMerge w:val="continue"/>
                  <w:vAlign w:val="center"/>
                </w:tcPr>
                <w:p>
                  <w:pPr>
                    <w:jc w:val="center"/>
                    <w:rPr>
                      <w:rFonts w:ascii="Times New Roman" w:hAnsi="Times New Roman" w:eastAsia="宋体"/>
                      <w:color w:val="000000" w:themeColor="text1"/>
                      <w:sz w:val="21"/>
                      <w:szCs w:val="21"/>
                      <w:highlight w:val="none"/>
                      <w14:textFill>
                        <w14:solidFill>
                          <w14:schemeClr w14:val="tx1"/>
                        </w14:solidFill>
                      </w14:textFill>
                    </w:rPr>
                  </w:pPr>
                </w:p>
              </w:tc>
            </w:tr>
          </w:tbl>
          <w:p>
            <w:pPr>
              <w:pStyle w:val="40"/>
              <w:rPr>
                <w:rFonts w:ascii="Times New Roman" w:hAnsi="Times New Roman" w:eastAsia="宋体" w:cs="Times New Roman"/>
                <w:caps w:val="0"/>
                <w:color w:val="000000" w:themeColor="text1"/>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64" w:hRule="atLeast"/>
          <w:jc w:val="center"/>
        </w:trPr>
        <w:tc>
          <w:tcPr>
            <w:tcW w:w="322" w:type="pct"/>
            <w:tcBorders>
              <w:top w:val="single" w:color="auto" w:sz="6" w:space="0"/>
              <w:left w:val="single" w:color="auto" w:sz="6" w:space="0"/>
              <w:bottom w:val="single" w:color="auto" w:sz="6" w:space="0"/>
              <w:right w:val="single" w:color="auto" w:sz="6" w:space="0"/>
            </w:tcBorders>
            <w:vAlign w:val="center"/>
          </w:tcPr>
          <w:p>
            <w:pPr>
              <w:spacing w:line="46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污</w:t>
            </w:r>
          </w:p>
          <w:p>
            <w:pPr>
              <w:spacing w:line="46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染</w:t>
            </w:r>
          </w:p>
          <w:p>
            <w:pPr>
              <w:spacing w:line="46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物</w:t>
            </w:r>
          </w:p>
          <w:p>
            <w:pPr>
              <w:spacing w:line="46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排</w:t>
            </w:r>
          </w:p>
          <w:p>
            <w:pPr>
              <w:spacing w:line="46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放</w:t>
            </w:r>
          </w:p>
          <w:p>
            <w:pPr>
              <w:spacing w:line="460" w:lineRule="exact"/>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标</w:t>
            </w:r>
          </w:p>
          <w:p>
            <w:pPr>
              <w:spacing w:line="360" w:lineRule="auto"/>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准</w:t>
            </w:r>
          </w:p>
        </w:tc>
        <w:tc>
          <w:tcPr>
            <w:tcW w:w="4677" w:type="pct"/>
            <w:tcBorders>
              <w:top w:val="single" w:color="auto" w:sz="6" w:space="0"/>
              <w:left w:val="single" w:color="auto" w:sz="6" w:space="0"/>
              <w:bottom w:val="single" w:color="auto" w:sz="6" w:space="0"/>
              <w:right w:val="single" w:color="auto" w:sz="6" w:space="0"/>
            </w:tcBorders>
          </w:tcPr>
          <w:p>
            <w:pPr>
              <w:spacing w:line="480" w:lineRule="exact"/>
              <w:ind w:firstLine="472" w:firstLineChars="196"/>
              <w:rPr>
                <w:rFonts w:ascii="Times New Roman" w:hAnsi="Times New Roman" w:eastAsia="宋体"/>
                <w:b/>
                <w:bCs/>
                <w:caps w:val="0"/>
                <w:snapToGrid w:val="0"/>
                <w:color w:val="000000" w:themeColor="text1"/>
                <w:kern w:val="0"/>
                <w:sz w:val="24"/>
                <w:highlight w:val="none"/>
                <w14:textFill>
                  <w14:solidFill>
                    <w14:schemeClr w14:val="tx1"/>
                  </w14:solidFill>
                </w14:textFill>
              </w:rPr>
            </w:pPr>
            <w:r>
              <w:rPr>
                <w:rFonts w:ascii="Times New Roman" w:hAnsi="Times New Roman" w:eastAsia="宋体"/>
                <w:b/>
                <w:bCs/>
                <w:caps w:val="0"/>
                <w:snapToGrid w:val="0"/>
                <w:color w:val="000000" w:themeColor="text1"/>
                <w:kern w:val="0"/>
                <w:sz w:val="24"/>
                <w:highlight w:val="none"/>
                <w14:textFill>
                  <w14:solidFill>
                    <w14:schemeClr w14:val="tx1"/>
                  </w14:solidFill>
                </w14:textFill>
              </w:rPr>
              <w:t>1、废气</w:t>
            </w:r>
          </w:p>
          <w:p>
            <w:pPr>
              <w:adjustRightInd w:val="0"/>
              <w:snapToGrid w:val="0"/>
              <w:spacing w:line="360" w:lineRule="auto"/>
              <w:ind w:firstLine="480" w:firstLineChars="200"/>
              <w:rPr>
                <w:rFonts w:ascii="Times New Roman" w:hAnsi="Times New Roman" w:eastAsia="宋体"/>
                <w:caps w:val="0"/>
                <w:color w:val="000000" w:themeColor="text1"/>
                <w:sz w:val="24"/>
                <w:szCs w:val="22"/>
                <w:highlight w:val="none"/>
                <w14:textFill>
                  <w14:solidFill>
                    <w14:schemeClr w14:val="tx1"/>
                  </w14:solidFill>
                </w14:textFill>
              </w:rPr>
            </w:pPr>
            <w:r>
              <w:rPr>
                <w:rFonts w:ascii="Times New Roman" w:hAnsi="Times New Roman" w:eastAsia="宋体"/>
                <w:bCs/>
                <w:caps w:val="0"/>
                <w:color w:val="000000" w:themeColor="text1"/>
                <w:sz w:val="24"/>
                <w:szCs w:val="20"/>
                <w:highlight w:val="none"/>
                <w14:textFill>
                  <w14:solidFill>
                    <w14:schemeClr w14:val="tx1"/>
                  </w14:solidFill>
                </w14:textFill>
              </w:rPr>
              <w:t>本项目</w:t>
            </w:r>
            <w:r>
              <w:rPr>
                <w:rFonts w:hint="eastAsia" w:ascii="Times New Roman" w:hAnsi="Times New Roman" w:eastAsia="宋体"/>
                <w:bCs/>
                <w:caps w:val="0"/>
                <w:color w:val="000000" w:themeColor="text1"/>
                <w:sz w:val="24"/>
                <w:szCs w:val="20"/>
                <w:highlight w:val="none"/>
                <w:lang w:val="en-US" w:eastAsia="zh-CN"/>
                <w14:textFill>
                  <w14:solidFill>
                    <w14:schemeClr w14:val="tx1"/>
                  </w14:solidFill>
                </w14:textFill>
              </w:rPr>
              <w:t>各工序产生的</w:t>
            </w:r>
            <w:r>
              <w:rPr>
                <w:rFonts w:ascii="Times New Roman" w:hAnsi="Times New Roman" w:eastAsia="宋体"/>
                <w:bCs/>
                <w:caps w:val="0"/>
                <w:color w:val="000000" w:themeColor="text1"/>
                <w:sz w:val="24"/>
                <w:szCs w:val="20"/>
                <w:highlight w:val="none"/>
                <w14:textFill>
                  <w14:solidFill>
                    <w14:schemeClr w14:val="tx1"/>
                  </w14:solidFill>
                </w14:textFill>
              </w:rPr>
              <w:t>颗粒物</w:t>
            </w:r>
            <w:r>
              <w:rPr>
                <w:rFonts w:hint="eastAsia" w:ascii="Times New Roman" w:hAnsi="Times New Roman" w:eastAsia="宋体"/>
                <w:bCs/>
                <w:caps w:val="0"/>
                <w:color w:val="000000" w:themeColor="text1"/>
                <w:sz w:val="24"/>
                <w:szCs w:val="20"/>
                <w:highlight w:val="none"/>
                <w:lang w:eastAsia="zh-CN"/>
                <w14:textFill>
                  <w14:solidFill>
                    <w14:schemeClr w14:val="tx1"/>
                  </w14:solidFill>
                </w14:textFill>
              </w:rPr>
              <w:t>、</w:t>
            </w:r>
            <w:r>
              <w:rPr>
                <w:rFonts w:hint="eastAsia" w:ascii="Times New Roman" w:hAnsi="Times New Roman" w:eastAsia="宋体"/>
                <w:bCs/>
                <w:caps w:val="0"/>
                <w:color w:val="000000" w:themeColor="text1"/>
                <w:sz w:val="24"/>
                <w:szCs w:val="20"/>
                <w:highlight w:val="none"/>
                <w:lang w:val="en-US" w:eastAsia="zh-CN"/>
                <w14:textFill>
                  <w14:solidFill>
                    <w14:schemeClr w14:val="tx1"/>
                  </w14:solidFill>
                </w14:textFill>
              </w:rPr>
              <w:t>非甲烷总烃</w:t>
            </w:r>
            <w:r>
              <w:rPr>
                <w:rFonts w:ascii="Times New Roman" w:hAnsi="Times New Roman" w:eastAsia="宋体"/>
                <w:bCs/>
                <w:caps w:val="0"/>
                <w:color w:val="000000" w:themeColor="text1"/>
                <w:sz w:val="24"/>
                <w:szCs w:val="20"/>
                <w:highlight w:val="none"/>
                <w14:textFill>
                  <w14:solidFill>
                    <w14:schemeClr w14:val="tx1"/>
                  </w14:solidFill>
                </w14:textFill>
              </w:rPr>
              <w:t>排放参照执行上海市《大气污染物综合排放标准》（DB 31/933-2015）表1大气污染物项目排放限值及表3厂界大气污染物监控点浓度限值，具体标准值见下表</w:t>
            </w:r>
            <w:r>
              <w:rPr>
                <w:rFonts w:ascii="Times New Roman" w:hAnsi="Times New Roman" w:eastAsia="宋体"/>
                <w:caps w:val="0"/>
                <w:color w:val="000000" w:themeColor="text1"/>
                <w:sz w:val="24"/>
                <w:szCs w:val="22"/>
                <w:highlight w:val="none"/>
                <w14:textFill>
                  <w14:solidFill>
                    <w14:schemeClr w14:val="tx1"/>
                  </w14:solidFill>
                </w14:textFill>
              </w:rPr>
              <w:t>。</w:t>
            </w:r>
          </w:p>
          <w:p>
            <w:pPr>
              <w:spacing w:line="48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表4-</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5</w:t>
            </w:r>
            <w:r>
              <w:rPr>
                <w:rFonts w:ascii="Times New Roman" w:hAnsi="Times New Roman" w:eastAsia="宋体"/>
                <w:b/>
                <w:caps w:val="0"/>
                <w:color w:val="000000" w:themeColor="text1"/>
                <w:sz w:val="24"/>
                <w:highlight w:val="none"/>
                <w14:textFill>
                  <w14:solidFill>
                    <w14:schemeClr w14:val="tx1"/>
                  </w14:solidFill>
                </w14:textFill>
              </w:rPr>
              <w:t xml:space="preserve"> 大气污染物综合排放标准 </w:t>
            </w:r>
          </w:p>
          <w:tbl>
            <w:tblPr>
              <w:tblStyle w:val="32"/>
              <w:tblW w:w="4998"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1254"/>
              <w:gridCol w:w="1367"/>
              <w:gridCol w:w="1687"/>
              <w:gridCol w:w="1150"/>
              <w:gridCol w:w="1680"/>
            </w:tblGrid>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540" w:hRule="atLeast"/>
                <w:jc w:val="center"/>
              </w:trPr>
              <w:tc>
                <w:tcPr>
                  <w:tcW w:w="764" w:type="pct"/>
                  <w:tcBorders>
                    <w:tl2br w:val="nil"/>
                    <w:tr2bl w:val="nil"/>
                  </w:tcBorders>
                  <w:vAlign w:val="center"/>
                </w:tcPr>
                <w:p>
                  <w:pPr>
                    <w:jc w:val="center"/>
                    <w:rPr>
                      <w:rFonts w:hint="default" w:ascii="Times New Roman" w:hAnsi="Times New Roman" w:eastAsia="宋体"/>
                      <w:b/>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
                      <w:caps w:val="0"/>
                      <w:color w:val="000000" w:themeColor="text1"/>
                      <w:sz w:val="21"/>
                      <w:szCs w:val="21"/>
                      <w:highlight w:val="none"/>
                      <w:lang w:val="en-US" w:eastAsia="zh-CN"/>
                      <w14:textFill>
                        <w14:solidFill>
                          <w14:schemeClr w14:val="tx1"/>
                        </w14:solidFill>
                      </w14:textFill>
                    </w:rPr>
                    <w:t>污染物项目</w:t>
                  </w:r>
                </w:p>
              </w:tc>
              <w:tc>
                <w:tcPr>
                  <w:tcW w:w="744" w:type="pct"/>
                  <w:tcBorders>
                    <w:tl2br w:val="nil"/>
                    <w:tr2bl w:val="nil"/>
                  </w:tcBorders>
                  <w:vAlign w:val="center"/>
                </w:tcPr>
                <w:p>
                  <w:pPr>
                    <w:jc w:val="center"/>
                    <w:rPr>
                      <w:rFonts w:hint="default" w:ascii="Times New Roman" w:hAnsi="Times New Roman" w:eastAsia="宋体"/>
                      <w:b/>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
                      <w:caps w:val="0"/>
                      <w:color w:val="000000" w:themeColor="text1"/>
                      <w:sz w:val="21"/>
                      <w:szCs w:val="21"/>
                      <w:highlight w:val="none"/>
                      <w:lang w:val="en-US" w:eastAsia="zh-CN"/>
                      <w14:textFill>
                        <w14:solidFill>
                          <w14:schemeClr w14:val="tx1"/>
                        </w14:solidFill>
                      </w14:textFill>
                    </w:rPr>
                    <w:t>适用范围</w:t>
                  </w:r>
                </w:p>
              </w:tc>
              <w:tc>
                <w:tcPr>
                  <w:tcW w:w="811" w:type="pct"/>
                  <w:tcBorders>
                    <w:tl2br w:val="nil"/>
                    <w:tr2bl w:val="nil"/>
                  </w:tcBorders>
                  <w:vAlign w:val="center"/>
                </w:tcPr>
                <w:p>
                  <w:pPr>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最高允许排放浓度（mg/m</w:t>
                  </w:r>
                  <w:r>
                    <w:rPr>
                      <w:rFonts w:ascii="Times New Roman" w:hAnsi="Times New Roman" w:eastAsia="宋体"/>
                      <w:b/>
                      <w:caps w:val="0"/>
                      <w:color w:val="000000" w:themeColor="text1"/>
                      <w:sz w:val="21"/>
                      <w:szCs w:val="21"/>
                      <w:highlight w:val="none"/>
                      <w:vertAlign w:val="superscript"/>
                      <w14:textFill>
                        <w14:solidFill>
                          <w14:schemeClr w14:val="tx1"/>
                        </w14:solidFill>
                      </w14:textFill>
                    </w:rPr>
                    <w:t>3</w:t>
                  </w:r>
                  <w:r>
                    <w:rPr>
                      <w:rFonts w:ascii="Times New Roman" w:hAnsi="Times New Roman" w:eastAsia="宋体"/>
                      <w:b/>
                      <w:caps w:val="0"/>
                      <w:color w:val="000000" w:themeColor="text1"/>
                      <w:sz w:val="21"/>
                      <w:szCs w:val="21"/>
                      <w:highlight w:val="none"/>
                      <w14:textFill>
                        <w14:solidFill>
                          <w14:schemeClr w14:val="tx1"/>
                        </w14:solidFill>
                      </w14:textFill>
                    </w:rPr>
                    <w:t>）</w:t>
                  </w:r>
                </w:p>
              </w:tc>
              <w:tc>
                <w:tcPr>
                  <w:tcW w:w="1001" w:type="pct"/>
                  <w:tcBorders>
                    <w:tl2br w:val="nil"/>
                    <w:tr2bl w:val="nil"/>
                  </w:tcBorders>
                  <w:vAlign w:val="center"/>
                </w:tcPr>
                <w:p>
                  <w:pPr>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最高允许排放速率（kg/h）</w:t>
                  </w:r>
                </w:p>
              </w:tc>
              <w:tc>
                <w:tcPr>
                  <w:tcW w:w="682" w:type="pct"/>
                  <w:tcBorders>
                    <w:tl2br w:val="nil"/>
                    <w:tr2bl w:val="nil"/>
                  </w:tcBorders>
                  <w:vAlign w:val="center"/>
                </w:tcPr>
                <w:p>
                  <w:pPr>
                    <w:ind w:left="-84" w:leftChars="-30" w:right="-84" w:rightChars="-3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hint="eastAsia" w:ascii="Times New Roman" w:hAnsi="Times New Roman" w:eastAsia="宋体"/>
                      <w:b/>
                      <w:caps w:val="0"/>
                      <w:color w:val="000000" w:themeColor="text1"/>
                      <w:sz w:val="21"/>
                      <w:szCs w:val="21"/>
                      <w:highlight w:val="none"/>
                      <w14:textFill>
                        <w14:solidFill>
                          <w14:schemeClr w14:val="tx1"/>
                        </w14:solidFill>
                      </w14:textFill>
                    </w:rPr>
                    <w:t>厂界大气污染物监控点浓度限值</w:t>
                  </w:r>
                  <w:r>
                    <w:rPr>
                      <w:rFonts w:ascii="Times New Roman" w:hAnsi="Times New Roman" w:eastAsia="宋体"/>
                      <w:b/>
                      <w:caps w:val="0"/>
                      <w:color w:val="000000" w:themeColor="text1"/>
                      <w:sz w:val="21"/>
                      <w:szCs w:val="21"/>
                      <w:highlight w:val="none"/>
                      <w14:textFill>
                        <w14:solidFill>
                          <w14:schemeClr w14:val="tx1"/>
                        </w14:solidFill>
                      </w14:textFill>
                    </w:rPr>
                    <w:t>(mg/m</w:t>
                  </w:r>
                  <w:r>
                    <w:rPr>
                      <w:rFonts w:ascii="Times New Roman" w:hAnsi="Times New Roman" w:eastAsia="宋体"/>
                      <w:b/>
                      <w:caps w:val="0"/>
                      <w:color w:val="000000" w:themeColor="text1"/>
                      <w:sz w:val="21"/>
                      <w:szCs w:val="21"/>
                      <w:highlight w:val="none"/>
                      <w:vertAlign w:val="superscript"/>
                      <w14:textFill>
                        <w14:solidFill>
                          <w14:schemeClr w14:val="tx1"/>
                        </w14:solidFill>
                      </w14:textFill>
                    </w:rPr>
                    <w:t>3</w:t>
                  </w:r>
                  <w:r>
                    <w:rPr>
                      <w:rFonts w:ascii="Times New Roman" w:hAnsi="Times New Roman" w:eastAsia="宋体"/>
                      <w:b/>
                      <w:caps w:val="0"/>
                      <w:color w:val="000000" w:themeColor="text1"/>
                      <w:sz w:val="21"/>
                      <w:szCs w:val="21"/>
                      <w:highlight w:val="none"/>
                      <w14:textFill>
                        <w14:solidFill>
                          <w14:schemeClr w14:val="tx1"/>
                        </w14:solidFill>
                      </w14:textFill>
                    </w:rPr>
                    <w:t>)</w:t>
                  </w:r>
                </w:p>
              </w:tc>
              <w:tc>
                <w:tcPr>
                  <w:tcW w:w="996" w:type="pct"/>
                  <w:tcBorders>
                    <w:tl2br w:val="nil"/>
                    <w:tr2bl w:val="nil"/>
                  </w:tcBorders>
                  <w:vAlign w:val="center"/>
                </w:tcPr>
                <w:p>
                  <w:pPr>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依据</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764" w:type="pct"/>
                  <w:tcBorders>
                    <w:tl2br w:val="nil"/>
                    <w:tr2bl w:val="nil"/>
                  </w:tcBorders>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颗粒物</w:t>
                  </w:r>
                </w:p>
              </w:tc>
              <w:tc>
                <w:tcPr>
                  <w:tcW w:w="744" w:type="pct"/>
                  <w:tcBorders>
                    <w:tl2br w:val="nil"/>
                    <w:tr2bl w:val="nil"/>
                  </w:tcBorders>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其他颗粒物</w:t>
                  </w:r>
                </w:p>
              </w:tc>
              <w:tc>
                <w:tcPr>
                  <w:tcW w:w="811" w:type="pct"/>
                  <w:tcBorders>
                    <w:tl2br w:val="nil"/>
                    <w:tr2bl w:val="nil"/>
                  </w:tcBorders>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30</w:t>
                  </w:r>
                </w:p>
              </w:tc>
              <w:tc>
                <w:tcPr>
                  <w:tcW w:w="1001" w:type="pct"/>
                  <w:tcBorders>
                    <w:tl2br w:val="nil"/>
                    <w:tr2bl w:val="nil"/>
                  </w:tcBorders>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w:t>
                  </w:r>
                  <w:r>
                    <w:rPr>
                      <w:rFonts w:ascii="Times New Roman" w:hAnsi="Times New Roman" w:eastAsia="宋体"/>
                      <w:caps w:val="0"/>
                      <w:color w:val="000000" w:themeColor="text1"/>
                      <w:sz w:val="21"/>
                      <w:szCs w:val="21"/>
                      <w:highlight w:val="none"/>
                      <w14:textFill>
                        <w14:solidFill>
                          <w14:schemeClr w14:val="tx1"/>
                        </w14:solidFill>
                      </w14:textFill>
                    </w:rPr>
                    <w:t>.5</w:t>
                  </w:r>
                </w:p>
              </w:tc>
              <w:tc>
                <w:tcPr>
                  <w:tcW w:w="682" w:type="pct"/>
                  <w:tcBorders>
                    <w:tl2br w:val="nil"/>
                    <w:tr2bl w:val="nil"/>
                  </w:tcBorders>
                  <w:vAlign w:val="center"/>
                </w:tcPr>
                <w:p>
                  <w:pPr>
                    <w:ind w:left="-84" w:leftChars="-30" w:right="-84" w:rightChars="-3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0.5</w:t>
                  </w:r>
                </w:p>
              </w:tc>
              <w:tc>
                <w:tcPr>
                  <w:tcW w:w="996" w:type="pct"/>
                  <w:vMerge w:val="restart"/>
                  <w:tcBorders>
                    <w:tl2br w:val="nil"/>
                    <w:tr2bl w:val="nil"/>
                  </w:tcBorders>
                  <w:vAlign w:val="center"/>
                </w:tcPr>
                <w:p>
                  <w:pPr>
                    <w:ind w:left="-140" w:leftChars="-50" w:right="-140"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（DB 31/933-2015）表</w:t>
                  </w:r>
                  <w:r>
                    <w:rPr>
                      <w:rFonts w:hint="eastAsia" w:ascii="Times New Roman" w:hAnsi="Times New Roman" w:eastAsia="宋体"/>
                      <w:caps w:val="0"/>
                      <w:color w:val="000000" w:themeColor="text1"/>
                      <w:sz w:val="21"/>
                      <w:szCs w:val="21"/>
                      <w:highlight w:val="none"/>
                      <w14:textFill>
                        <w14:solidFill>
                          <w14:schemeClr w14:val="tx1"/>
                        </w14:solidFill>
                      </w14:textFill>
                    </w:rPr>
                    <w:t>1、表3</w:t>
                  </w:r>
                  <w:r>
                    <w:rPr>
                      <w:rFonts w:ascii="Times New Roman" w:hAnsi="Times New Roman" w:eastAsia="宋体"/>
                      <w:caps w:val="0"/>
                      <w:color w:val="000000" w:themeColor="text1"/>
                      <w:sz w:val="21"/>
                      <w:szCs w:val="21"/>
                      <w:highlight w:val="none"/>
                      <w14:textFill>
                        <w14:solidFill>
                          <w14:schemeClr w14:val="tx1"/>
                        </w14:solidFill>
                      </w14:textFill>
                    </w:rPr>
                    <w:t>标准</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1508" w:type="pct"/>
                  <w:gridSpan w:val="2"/>
                  <w:tcBorders>
                    <w:tl2br w:val="nil"/>
                    <w:tr2bl w:val="nil"/>
                  </w:tcBorders>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非甲烷总烃（NMHC，以碳计）</w:t>
                  </w:r>
                </w:p>
              </w:tc>
              <w:tc>
                <w:tcPr>
                  <w:tcW w:w="811" w:type="pct"/>
                  <w:tcBorders>
                    <w:tl2br w:val="nil"/>
                    <w:tr2bl w:val="nil"/>
                  </w:tcBorders>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70</w:t>
                  </w:r>
                </w:p>
              </w:tc>
              <w:tc>
                <w:tcPr>
                  <w:tcW w:w="1001" w:type="pct"/>
                  <w:tcBorders>
                    <w:tl2br w:val="nil"/>
                    <w:tr2bl w:val="nil"/>
                  </w:tcBorders>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30</w:t>
                  </w:r>
                </w:p>
              </w:tc>
              <w:tc>
                <w:tcPr>
                  <w:tcW w:w="682" w:type="pct"/>
                  <w:tcBorders>
                    <w:tl2br w:val="nil"/>
                    <w:tr2bl w:val="nil"/>
                  </w:tcBorders>
                  <w:vAlign w:val="center"/>
                </w:tcPr>
                <w:p>
                  <w:pPr>
                    <w:ind w:left="-84" w:leftChars="-30" w:right="-84" w:rightChars="-3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4.0</w:t>
                  </w:r>
                </w:p>
              </w:tc>
              <w:tc>
                <w:tcPr>
                  <w:tcW w:w="996" w:type="pct"/>
                  <w:vMerge w:val="continue"/>
                  <w:tcBorders>
                    <w:tl2br w:val="nil"/>
                    <w:tr2bl w:val="nil"/>
                  </w:tcBorders>
                  <w:vAlign w:val="center"/>
                </w:tcPr>
                <w:p>
                  <w:pPr>
                    <w:ind w:left="-140" w:leftChars="-50" w:right="-140" w:rightChars="-5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1508" w:type="pct"/>
                  <w:gridSpan w:val="2"/>
                  <w:tcBorders>
                    <w:tl2br w:val="nil"/>
                    <w:tr2bl w:val="nil"/>
                  </w:tcBorders>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二甲苯</w:t>
                  </w:r>
                </w:p>
              </w:tc>
              <w:tc>
                <w:tcPr>
                  <w:tcW w:w="811" w:type="pct"/>
                  <w:tcBorders>
                    <w:tl2br w:val="nil"/>
                    <w:tr2bl w:val="nil"/>
                  </w:tcBorders>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20</w:t>
                  </w:r>
                </w:p>
              </w:tc>
              <w:tc>
                <w:tcPr>
                  <w:tcW w:w="1001" w:type="pct"/>
                  <w:tcBorders>
                    <w:tl2br w:val="nil"/>
                    <w:tr2bl w:val="nil"/>
                  </w:tcBorders>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0.8</w:t>
                  </w:r>
                </w:p>
              </w:tc>
              <w:tc>
                <w:tcPr>
                  <w:tcW w:w="682" w:type="pct"/>
                  <w:tcBorders>
                    <w:tl2br w:val="nil"/>
                    <w:tr2bl w:val="nil"/>
                  </w:tcBorders>
                  <w:vAlign w:val="center"/>
                </w:tcPr>
                <w:p>
                  <w:pPr>
                    <w:ind w:left="-84" w:leftChars="-30" w:right="-84" w:rightChars="-3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0.2</w:t>
                  </w:r>
                </w:p>
              </w:tc>
              <w:tc>
                <w:tcPr>
                  <w:tcW w:w="996" w:type="pct"/>
                  <w:vMerge w:val="continue"/>
                  <w:tcBorders>
                    <w:tl2br w:val="nil"/>
                    <w:tr2bl w:val="nil"/>
                  </w:tcBorders>
                  <w:vAlign w:val="center"/>
                </w:tcPr>
                <w:p>
                  <w:pPr>
                    <w:ind w:left="-140" w:leftChars="-50" w:right="-140" w:rightChars="-50"/>
                    <w:jc w:val="center"/>
                    <w:rPr>
                      <w:rFonts w:ascii="Times New Roman" w:hAnsi="Times New Roman" w:eastAsia="宋体"/>
                      <w:caps w:val="0"/>
                      <w:color w:val="000000" w:themeColor="text1"/>
                      <w:sz w:val="21"/>
                      <w:szCs w:val="21"/>
                      <w:highlight w:val="none"/>
                      <w14:textFill>
                        <w14:solidFill>
                          <w14:schemeClr w14:val="tx1"/>
                        </w14:solidFill>
                      </w14:textFill>
                    </w:rPr>
                  </w:pPr>
                </w:p>
              </w:tc>
            </w:tr>
          </w:tbl>
          <w:p>
            <w:pPr>
              <w:adjustRightInd w:val="0"/>
              <w:snapToGrid w:val="0"/>
              <w:spacing w:line="360" w:lineRule="auto"/>
              <w:ind w:firstLine="480" w:firstLineChars="200"/>
              <w:rPr>
                <w:rFonts w:ascii="Times New Roman" w:hAnsi="Times New Roman" w:eastAsia="宋体"/>
                <w:caps w:val="0"/>
                <w:color w:val="000000" w:themeColor="text1"/>
                <w:sz w:val="24"/>
                <w:szCs w:val="22"/>
                <w:highlight w:val="none"/>
                <w14:textFill>
                  <w14:solidFill>
                    <w14:schemeClr w14:val="tx1"/>
                  </w14:solidFill>
                </w14:textFill>
              </w:rPr>
            </w:pPr>
            <w:r>
              <w:rPr>
                <w:rFonts w:hint="eastAsia" w:ascii="Times New Roman" w:hAnsi="Times New Roman" w:eastAsia="宋体"/>
                <w:bCs/>
                <w:caps w:val="0"/>
                <w:color w:val="000000" w:themeColor="text1"/>
                <w:sz w:val="24"/>
                <w:szCs w:val="20"/>
                <w:highlight w:val="none"/>
                <w:lang w:val="en-US" w:eastAsia="zh-CN"/>
                <w14:textFill>
                  <w14:solidFill>
                    <w14:schemeClr w14:val="tx1"/>
                  </w14:solidFill>
                </w14:textFill>
              </w:rPr>
              <w:t>非甲烷总烃厂区内大气污染物监控点浓度限值</w:t>
            </w:r>
            <w:r>
              <w:rPr>
                <w:rFonts w:ascii="Times New Roman" w:hAnsi="Times New Roman" w:eastAsia="宋体"/>
                <w:bCs/>
                <w:caps w:val="0"/>
                <w:color w:val="000000" w:themeColor="text1"/>
                <w:sz w:val="24"/>
                <w:szCs w:val="20"/>
                <w:highlight w:val="none"/>
                <w14:textFill>
                  <w14:solidFill>
                    <w14:schemeClr w14:val="tx1"/>
                  </w14:solidFill>
                </w14:textFill>
              </w:rPr>
              <w:t>排放参照执行上海市《大气污染物综合排放标准》（DB 31/933-2015）表</w:t>
            </w:r>
            <w:r>
              <w:rPr>
                <w:rFonts w:hint="eastAsia" w:ascii="Times New Roman" w:hAnsi="Times New Roman" w:eastAsia="宋体"/>
                <w:bCs/>
                <w:caps w:val="0"/>
                <w:color w:val="000000" w:themeColor="text1"/>
                <w:sz w:val="24"/>
                <w:szCs w:val="20"/>
                <w:highlight w:val="none"/>
                <w:lang w:val="en-US" w:eastAsia="zh-CN"/>
                <w14:textFill>
                  <w14:solidFill>
                    <w14:schemeClr w14:val="tx1"/>
                  </w14:solidFill>
                </w14:textFill>
              </w:rPr>
              <w:t>2中污染物</w:t>
            </w:r>
            <w:r>
              <w:rPr>
                <w:rFonts w:ascii="Times New Roman" w:hAnsi="Times New Roman" w:eastAsia="宋体"/>
                <w:bCs/>
                <w:caps w:val="0"/>
                <w:color w:val="000000" w:themeColor="text1"/>
                <w:sz w:val="24"/>
                <w:szCs w:val="20"/>
                <w:highlight w:val="none"/>
                <w14:textFill>
                  <w14:solidFill>
                    <w14:schemeClr w14:val="tx1"/>
                  </w14:solidFill>
                </w14:textFill>
              </w:rPr>
              <w:t>浓度限值，具体标准值见下表</w:t>
            </w:r>
            <w:r>
              <w:rPr>
                <w:rFonts w:ascii="Times New Roman" w:hAnsi="Times New Roman" w:eastAsia="宋体"/>
                <w:caps w:val="0"/>
                <w:color w:val="000000" w:themeColor="text1"/>
                <w:sz w:val="24"/>
                <w:szCs w:val="22"/>
                <w:highlight w:val="none"/>
                <w14:textFill>
                  <w14:solidFill>
                    <w14:schemeClr w14:val="tx1"/>
                  </w14:solidFill>
                </w14:textFill>
              </w:rPr>
              <w:t>。</w:t>
            </w:r>
          </w:p>
          <w:p>
            <w:pPr>
              <w:spacing w:line="480" w:lineRule="exact"/>
              <w:jc w:val="center"/>
              <w:rPr>
                <w:rFonts w:ascii="Times New Roman" w:hAnsi="Times New Roman" w:eastAsia="宋体"/>
                <w:b/>
                <w:bCs w:val="0"/>
                <w:caps w:val="0"/>
                <w:color w:val="000000" w:themeColor="text1"/>
                <w:sz w:val="24"/>
                <w:highlight w:val="none"/>
                <w14:textFill>
                  <w14:solidFill>
                    <w14:schemeClr w14:val="tx1"/>
                  </w14:solidFill>
                </w14:textFill>
              </w:rPr>
            </w:pPr>
            <w:r>
              <w:rPr>
                <w:rFonts w:ascii="Times New Roman" w:hAnsi="Times New Roman" w:eastAsia="宋体"/>
                <w:b/>
                <w:bCs w:val="0"/>
                <w:caps w:val="0"/>
                <w:color w:val="000000" w:themeColor="text1"/>
                <w:sz w:val="24"/>
                <w:highlight w:val="none"/>
                <w14:textFill>
                  <w14:solidFill>
                    <w14:schemeClr w14:val="tx1"/>
                  </w14:solidFill>
                </w14:textFill>
              </w:rPr>
              <w:t>表4-</w:t>
            </w:r>
            <w:r>
              <w:rPr>
                <w:rFonts w:hint="eastAsia" w:ascii="Times New Roman" w:hAnsi="Times New Roman" w:eastAsia="宋体"/>
                <w:b/>
                <w:bCs w:val="0"/>
                <w:caps w:val="0"/>
                <w:color w:val="000000" w:themeColor="text1"/>
                <w:sz w:val="24"/>
                <w:highlight w:val="none"/>
                <w:lang w:val="en-US" w:eastAsia="zh-CN"/>
                <w14:textFill>
                  <w14:solidFill>
                    <w14:schemeClr w14:val="tx1"/>
                  </w14:solidFill>
                </w14:textFill>
              </w:rPr>
              <w:t>6</w:t>
            </w:r>
            <w:r>
              <w:rPr>
                <w:rFonts w:ascii="Times New Roman" w:hAnsi="Times New Roman" w:eastAsia="宋体"/>
                <w:b/>
                <w:bCs w:val="0"/>
                <w:caps w:val="0"/>
                <w:color w:val="000000" w:themeColor="text1"/>
                <w:sz w:val="24"/>
                <w:highlight w:val="none"/>
                <w14:textFill>
                  <w14:solidFill>
                    <w14:schemeClr w14:val="tx1"/>
                  </w14:solidFill>
                </w14:textFill>
              </w:rPr>
              <w:t xml:space="preserve"> </w:t>
            </w:r>
            <w:r>
              <w:rPr>
                <w:rFonts w:hint="eastAsia" w:ascii="Times New Roman" w:hAnsi="Times New Roman" w:eastAsia="宋体"/>
                <w:b/>
                <w:bCs w:val="0"/>
                <w:caps w:val="0"/>
                <w:color w:val="000000" w:themeColor="text1"/>
                <w:sz w:val="24"/>
                <w:szCs w:val="20"/>
                <w:highlight w:val="none"/>
                <w:lang w:val="en-US" w:eastAsia="zh-CN"/>
                <w14:textFill>
                  <w14:solidFill>
                    <w14:schemeClr w14:val="tx1"/>
                  </w14:solidFill>
                </w14:textFill>
              </w:rPr>
              <w:t>厂区内大气污染物监控点浓度限值 单位：</w:t>
            </w:r>
            <w:r>
              <w:rPr>
                <w:rFonts w:ascii="Times New Roman" w:hAnsi="Times New Roman" w:eastAsia="宋体"/>
                <w:b/>
                <w:bCs w:val="0"/>
                <w:caps w:val="0"/>
                <w:color w:val="000000" w:themeColor="text1"/>
                <w:sz w:val="21"/>
                <w:szCs w:val="21"/>
                <w:highlight w:val="none"/>
                <w14:textFill>
                  <w14:solidFill>
                    <w14:schemeClr w14:val="tx1"/>
                  </w14:solidFill>
                </w14:textFill>
              </w:rPr>
              <w:t>（mg/m</w:t>
            </w:r>
            <w:r>
              <w:rPr>
                <w:rFonts w:ascii="Times New Roman" w:hAnsi="Times New Roman" w:eastAsia="宋体"/>
                <w:b/>
                <w:bCs w:val="0"/>
                <w:caps w:val="0"/>
                <w:color w:val="000000" w:themeColor="text1"/>
                <w:sz w:val="21"/>
                <w:szCs w:val="21"/>
                <w:highlight w:val="none"/>
                <w:vertAlign w:val="superscript"/>
                <w14:textFill>
                  <w14:solidFill>
                    <w14:schemeClr w14:val="tx1"/>
                  </w14:solidFill>
                </w14:textFill>
              </w:rPr>
              <w:t>3</w:t>
            </w:r>
            <w:r>
              <w:rPr>
                <w:rFonts w:ascii="Times New Roman" w:hAnsi="Times New Roman" w:eastAsia="宋体"/>
                <w:b/>
                <w:bCs w:val="0"/>
                <w:caps w:val="0"/>
                <w:color w:val="000000" w:themeColor="text1"/>
                <w:sz w:val="21"/>
                <w:szCs w:val="21"/>
                <w:highlight w:val="none"/>
                <w14:textFill>
                  <w14:solidFill>
                    <w14:schemeClr w14:val="tx1"/>
                  </w14:solidFill>
                </w14:textFill>
              </w:rPr>
              <w:t>）</w:t>
            </w:r>
          </w:p>
          <w:tbl>
            <w:tblPr>
              <w:tblStyle w:val="32"/>
              <w:tblW w:w="4998" w:type="pct"/>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99"/>
              <w:gridCol w:w="1913"/>
              <w:gridCol w:w="2360"/>
              <w:gridCol w:w="2354"/>
            </w:tblGrid>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7" w:type="pct"/>
                  <w:tcBorders>
                    <w:tl2br w:val="nil"/>
                    <w:tr2bl w:val="nil"/>
                  </w:tcBorders>
                  <w:vAlign w:val="center"/>
                </w:tcPr>
                <w:p>
                  <w:pPr>
                    <w:jc w:val="center"/>
                    <w:rPr>
                      <w:rFonts w:hint="default" w:ascii="Times New Roman" w:hAnsi="Times New Roman" w:eastAsia="宋体"/>
                      <w:b/>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
                      <w:caps w:val="0"/>
                      <w:color w:val="000000" w:themeColor="text1"/>
                      <w:sz w:val="21"/>
                      <w:szCs w:val="21"/>
                      <w:highlight w:val="none"/>
                      <w:lang w:val="en-US" w:eastAsia="zh-CN"/>
                      <w14:textFill>
                        <w14:solidFill>
                          <w14:schemeClr w14:val="tx1"/>
                        </w14:solidFill>
                      </w14:textFill>
                    </w:rPr>
                    <w:t>序号</w:t>
                  </w:r>
                </w:p>
              </w:tc>
              <w:tc>
                <w:tcPr>
                  <w:tcW w:w="1135" w:type="pct"/>
                  <w:tcBorders>
                    <w:tl2br w:val="nil"/>
                    <w:tr2bl w:val="nil"/>
                  </w:tcBorders>
                  <w:vAlign w:val="center"/>
                </w:tcPr>
                <w:p>
                  <w:pPr>
                    <w:jc w:val="center"/>
                    <w:rPr>
                      <w:rFonts w:hint="eastAsia" w:ascii="Times New Roman" w:hAnsi="Times New Roman" w:eastAsia="宋体"/>
                      <w:b/>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b/>
                      <w:caps w:val="0"/>
                      <w:color w:val="000000" w:themeColor="text1"/>
                      <w:sz w:val="21"/>
                      <w:szCs w:val="21"/>
                      <w:highlight w:val="none"/>
                      <w:lang w:val="en-US" w:eastAsia="zh-CN"/>
                      <w14:textFill>
                        <w14:solidFill>
                          <w14:schemeClr w14:val="tx1"/>
                        </w14:solidFill>
                      </w14:textFill>
                    </w:rPr>
                    <w:t>污染物</w:t>
                  </w:r>
                </w:p>
              </w:tc>
              <w:tc>
                <w:tcPr>
                  <w:tcW w:w="1400" w:type="pct"/>
                  <w:tcBorders>
                    <w:tl2br w:val="nil"/>
                    <w:tr2bl w:val="nil"/>
                  </w:tcBorders>
                  <w:vAlign w:val="center"/>
                </w:tcPr>
                <w:p>
                  <w:pPr>
                    <w:jc w:val="center"/>
                    <w:rPr>
                      <w:rFonts w:hint="eastAsia" w:ascii="Times New Roman" w:hAnsi="Times New Roman" w:eastAsia="宋体"/>
                      <w:b/>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b/>
                      <w:caps w:val="0"/>
                      <w:color w:val="000000" w:themeColor="text1"/>
                      <w:sz w:val="21"/>
                      <w:szCs w:val="21"/>
                      <w:highlight w:val="none"/>
                      <w:lang w:val="en-US" w:eastAsia="zh-CN"/>
                      <w14:textFill>
                        <w14:solidFill>
                          <w14:schemeClr w14:val="tx1"/>
                        </w14:solidFill>
                      </w14:textFill>
                    </w:rPr>
                    <w:t>浓度限值</w:t>
                  </w:r>
                </w:p>
              </w:tc>
              <w:tc>
                <w:tcPr>
                  <w:tcW w:w="1396" w:type="pct"/>
                  <w:tcBorders>
                    <w:tl2br w:val="nil"/>
                    <w:tr2bl w:val="nil"/>
                  </w:tcBorders>
                  <w:vAlign w:val="center"/>
                </w:tcPr>
                <w:p>
                  <w:pPr>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依据</w:t>
                  </w:r>
                </w:p>
              </w:tc>
            </w:tr>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067" w:type="pct"/>
                  <w:tcBorders>
                    <w:tl2br w:val="nil"/>
                    <w:tr2bl w:val="nil"/>
                  </w:tcBorders>
                  <w:vAlign w:val="center"/>
                </w:tcPr>
                <w:p>
                  <w:pPr>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w:t>
                  </w:r>
                </w:p>
              </w:tc>
              <w:tc>
                <w:tcPr>
                  <w:tcW w:w="1135" w:type="pct"/>
                  <w:tcBorders>
                    <w:tl2br w:val="nil"/>
                    <w:tr2bl w:val="nil"/>
                  </w:tcBorders>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非甲烷总烃（NMHC，以碳计）</w:t>
                  </w:r>
                </w:p>
              </w:tc>
              <w:tc>
                <w:tcPr>
                  <w:tcW w:w="1400" w:type="pct"/>
                  <w:tcBorders>
                    <w:tl2br w:val="nil"/>
                    <w:tr2bl w:val="nil"/>
                  </w:tcBorders>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10</w:t>
                  </w:r>
                </w:p>
              </w:tc>
              <w:tc>
                <w:tcPr>
                  <w:tcW w:w="1396" w:type="pct"/>
                  <w:tcBorders>
                    <w:tl2br w:val="nil"/>
                    <w:tr2bl w:val="nil"/>
                  </w:tcBorders>
                  <w:vAlign w:val="center"/>
                </w:tcPr>
                <w:p>
                  <w:pPr>
                    <w:ind w:left="-140" w:leftChars="-50" w:right="-140"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（DB 31/933-2015）表</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w:t>
                  </w:r>
                  <w:r>
                    <w:rPr>
                      <w:rFonts w:ascii="Times New Roman" w:hAnsi="Times New Roman" w:eastAsia="宋体"/>
                      <w:caps w:val="0"/>
                      <w:color w:val="000000" w:themeColor="text1"/>
                      <w:sz w:val="21"/>
                      <w:szCs w:val="21"/>
                      <w:highlight w:val="none"/>
                      <w14:textFill>
                        <w14:solidFill>
                          <w14:schemeClr w14:val="tx1"/>
                        </w14:solidFill>
                      </w14:textFill>
                    </w:rPr>
                    <w:t>标准</w:t>
                  </w:r>
                </w:p>
              </w:tc>
            </w:tr>
          </w:tbl>
          <w:p>
            <w:pPr>
              <w:spacing w:line="460" w:lineRule="exact"/>
              <w:ind w:firstLine="482" w:firstLineChars="200"/>
              <w:rPr>
                <w:rFonts w:ascii="Times New Roman" w:hAnsi="Times New Roman" w:eastAsia="宋体"/>
                <w:b/>
                <w:bCs/>
                <w:caps w:val="0"/>
                <w:snapToGrid w:val="0"/>
                <w:color w:val="000000" w:themeColor="text1"/>
                <w:kern w:val="0"/>
                <w:sz w:val="24"/>
                <w:highlight w:val="none"/>
                <w14:textFill>
                  <w14:solidFill>
                    <w14:schemeClr w14:val="tx1"/>
                  </w14:solidFill>
                </w14:textFill>
              </w:rPr>
            </w:pPr>
            <w:r>
              <w:rPr>
                <w:rFonts w:ascii="Times New Roman" w:hAnsi="Times New Roman" w:eastAsia="宋体"/>
                <w:b/>
                <w:bCs/>
                <w:caps w:val="0"/>
                <w:snapToGrid w:val="0"/>
                <w:color w:val="000000" w:themeColor="text1"/>
                <w:kern w:val="0"/>
                <w:sz w:val="24"/>
                <w:highlight w:val="none"/>
                <w14:textFill>
                  <w14:solidFill>
                    <w14:schemeClr w14:val="tx1"/>
                  </w14:solidFill>
                </w14:textFill>
              </w:rPr>
              <w:t>2、废水</w:t>
            </w:r>
          </w:p>
          <w:p>
            <w:pPr>
              <w:adjustRightInd w:val="0"/>
              <w:spacing w:line="460" w:lineRule="exact"/>
              <w:ind w:firstLine="480" w:firstLineChars="200"/>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项目废水为生活污水，生活污水经</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化粪池处理后</w:t>
            </w:r>
            <w:r>
              <w:rPr>
                <w:rFonts w:ascii="Times New Roman" w:hAnsi="Times New Roman" w:eastAsia="宋体"/>
                <w:caps w:val="0"/>
                <w:color w:val="000000" w:themeColor="text1"/>
                <w:kern w:val="0"/>
                <w:sz w:val="24"/>
                <w:highlight w:val="none"/>
                <w14:textFill>
                  <w14:solidFill>
                    <w14:schemeClr w14:val="tx1"/>
                  </w14:solidFill>
                </w14:textFill>
              </w:rPr>
              <w:t>接入污水管网送繁昌县第二污水处理厂集中处理，废水排放执行《污水综合排放标准》（GB8978-1996）表4中的三级标准，其中氨氮参照执行《污水排入城镇下水道水质标准》（GB/T31962-2015）表1中B级标准限值。污水厂尾水排放执行《城镇污水处理厂污染物排放标准》（GB18918-2002）表1中一级A标准，具体标准值见下表。</w:t>
            </w:r>
          </w:p>
          <w:p>
            <w:pPr>
              <w:widowControl/>
              <w:adjustRightInd w:val="0"/>
              <w:spacing w:line="460" w:lineRule="exact"/>
              <w:ind w:firstLine="482" w:firstLineChars="20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表4-</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7</w:t>
            </w:r>
            <w:r>
              <w:rPr>
                <w:rFonts w:ascii="Times New Roman" w:hAnsi="Times New Roman" w:eastAsia="宋体"/>
                <w:b/>
                <w:caps w:val="0"/>
                <w:color w:val="000000" w:themeColor="text1"/>
                <w:sz w:val="24"/>
                <w:highlight w:val="none"/>
                <w14:textFill>
                  <w14:solidFill>
                    <w14:schemeClr w14:val="tx1"/>
                  </w14:solidFill>
                </w14:textFill>
              </w:rPr>
              <w:t xml:space="preserve">  污水综合排放标准  单位：mg/L，pH 为无量纲</w:t>
            </w:r>
          </w:p>
          <w:tbl>
            <w:tblPr>
              <w:tblStyle w:val="32"/>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1585"/>
              <w:gridCol w:w="1386"/>
              <w:gridCol w:w="414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7"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项目</w:t>
                  </w:r>
                </w:p>
              </w:tc>
              <w:tc>
                <w:tcPr>
                  <w:tcW w:w="940"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污染物</w:t>
                  </w:r>
                </w:p>
              </w:tc>
              <w:tc>
                <w:tcPr>
                  <w:tcW w:w="822"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标准值</w:t>
                  </w:r>
                </w:p>
              </w:tc>
              <w:tc>
                <w:tcPr>
                  <w:tcW w:w="2459" w:type="pct"/>
                  <w:tcBorders>
                    <w:tl2br w:val="nil"/>
                    <w:tr2bl w:val="nil"/>
                  </w:tcBorders>
                  <w:vAlign w:val="center"/>
                </w:tcPr>
                <w:p>
                  <w:pPr>
                    <w:adjustRightIn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执行标准来源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7" w:type="pct"/>
                  <w:vMerge w:val="restar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污水排放标准</w:t>
                  </w: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pH</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6～9</w:t>
                  </w:r>
                </w:p>
              </w:tc>
              <w:tc>
                <w:tcPr>
                  <w:tcW w:w="2459" w:type="pct"/>
                  <w:vMerge w:val="restar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《污水综合排放标准》（GB8978-1996）表4中的三级标准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7"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COD</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500</w:t>
                  </w:r>
                </w:p>
              </w:tc>
              <w:tc>
                <w:tcPr>
                  <w:tcW w:w="2459"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7"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BOD</w:t>
                  </w:r>
                  <w:r>
                    <w:rPr>
                      <w:rFonts w:ascii="Times New Roman" w:hAnsi="Times New Roman" w:eastAsia="宋体"/>
                      <w:caps w:val="0"/>
                      <w:color w:val="000000" w:themeColor="text1"/>
                      <w:sz w:val="21"/>
                      <w:szCs w:val="21"/>
                      <w:highlight w:val="none"/>
                      <w:vertAlign w:val="subscript"/>
                      <w14:textFill>
                        <w14:solidFill>
                          <w14:schemeClr w14:val="tx1"/>
                        </w14:solidFill>
                      </w14:textFill>
                    </w:rPr>
                    <w:t>5</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300</w:t>
                  </w:r>
                </w:p>
              </w:tc>
              <w:tc>
                <w:tcPr>
                  <w:tcW w:w="2459"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7"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SS</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400</w:t>
                  </w:r>
                </w:p>
              </w:tc>
              <w:tc>
                <w:tcPr>
                  <w:tcW w:w="2459"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77"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石油类</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20</w:t>
                  </w:r>
                </w:p>
              </w:tc>
              <w:tc>
                <w:tcPr>
                  <w:tcW w:w="2459"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氨氮</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45</w:t>
                  </w:r>
                </w:p>
              </w:tc>
              <w:tc>
                <w:tcPr>
                  <w:tcW w:w="2459"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《污水排入城镇下水道水质标准》（GB/T31962-2015）表1中B级标准限值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restar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污水厂尾水排放标准</w:t>
                  </w: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pH</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6～9</w:t>
                  </w:r>
                </w:p>
              </w:tc>
              <w:tc>
                <w:tcPr>
                  <w:tcW w:w="2459" w:type="pct"/>
                  <w:vMerge w:val="restar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《城镇污水处理厂污染物排放标准》（GB18918-2002）表1中一级A标准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COD</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50</w:t>
                  </w:r>
                </w:p>
              </w:tc>
              <w:tc>
                <w:tcPr>
                  <w:tcW w:w="2459"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BOD</w:t>
                  </w:r>
                  <w:r>
                    <w:rPr>
                      <w:rFonts w:ascii="Times New Roman" w:hAnsi="Times New Roman" w:eastAsia="宋体"/>
                      <w:caps w:val="0"/>
                      <w:color w:val="000000" w:themeColor="text1"/>
                      <w:sz w:val="21"/>
                      <w:szCs w:val="21"/>
                      <w:highlight w:val="none"/>
                      <w:vertAlign w:val="subscript"/>
                      <w14:textFill>
                        <w14:solidFill>
                          <w14:schemeClr w14:val="tx1"/>
                        </w14:solidFill>
                      </w14:textFill>
                    </w:rPr>
                    <w:t>5</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10</w:t>
                  </w:r>
                </w:p>
              </w:tc>
              <w:tc>
                <w:tcPr>
                  <w:tcW w:w="2459"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SS</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10</w:t>
                  </w:r>
                </w:p>
              </w:tc>
              <w:tc>
                <w:tcPr>
                  <w:tcW w:w="2459"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石油类</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w:t>
                  </w:r>
                </w:p>
              </w:tc>
              <w:tc>
                <w:tcPr>
                  <w:tcW w:w="2459"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77"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940"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氨氮</w:t>
                  </w:r>
                </w:p>
              </w:tc>
              <w:tc>
                <w:tcPr>
                  <w:tcW w:w="822" w:type="pct"/>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5（8）</w:t>
                  </w:r>
                </w:p>
              </w:tc>
              <w:tc>
                <w:tcPr>
                  <w:tcW w:w="2459" w:type="pct"/>
                  <w:vMerge w:val="continue"/>
                  <w:tcBorders>
                    <w:tl2br w:val="nil"/>
                    <w:tr2bl w:val="nil"/>
                  </w:tcBorders>
                  <w:vAlign w:val="center"/>
                </w:tcPr>
                <w:p>
                  <w:pPr>
                    <w:adjustRightIn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bl>
          <w:p>
            <w:pPr>
              <w:widowControl/>
              <w:adjustRightInd w:val="0"/>
              <w:snapToGrid w:val="0"/>
              <w:ind w:firstLine="420" w:firstLineChars="200"/>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*注：括号外数值水温&gt;12℃时的控制指标，括号内数值为水温≤12℃时的控制指标。</w:t>
            </w:r>
          </w:p>
          <w:p>
            <w:pPr>
              <w:spacing w:line="480" w:lineRule="exact"/>
              <w:ind w:firstLine="472" w:firstLineChars="196"/>
              <w:rPr>
                <w:rFonts w:ascii="Times New Roman" w:hAnsi="Times New Roman" w:eastAsia="宋体"/>
                <w:b/>
                <w:bCs/>
                <w:caps w:val="0"/>
                <w:snapToGrid w:val="0"/>
                <w:color w:val="000000" w:themeColor="text1"/>
                <w:kern w:val="0"/>
                <w:sz w:val="24"/>
                <w:highlight w:val="none"/>
                <w14:textFill>
                  <w14:solidFill>
                    <w14:schemeClr w14:val="tx1"/>
                  </w14:solidFill>
                </w14:textFill>
              </w:rPr>
            </w:pPr>
            <w:r>
              <w:rPr>
                <w:rFonts w:ascii="Times New Roman" w:hAnsi="Times New Roman" w:eastAsia="宋体"/>
                <w:b/>
                <w:bCs/>
                <w:caps w:val="0"/>
                <w:snapToGrid w:val="0"/>
                <w:color w:val="000000" w:themeColor="text1"/>
                <w:kern w:val="0"/>
                <w:sz w:val="24"/>
                <w:highlight w:val="none"/>
                <w14:textFill>
                  <w14:solidFill>
                    <w14:schemeClr w14:val="tx1"/>
                  </w14:solidFill>
                </w14:textFill>
              </w:rPr>
              <w:t>3、噪声</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本项目厂界环境噪声执行《工业企业厂界环境噪声排放标准》（GB12348-2008）</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2类、</w:t>
            </w:r>
            <w:r>
              <w:rPr>
                <w:rFonts w:ascii="Times New Roman" w:hAnsi="Times New Roman" w:eastAsia="宋体"/>
                <w:caps w:val="0"/>
                <w:color w:val="000000" w:themeColor="text1"/>
                <w:sz w:val="24"/>
                <w:highlight w:val="none"/>
                <w14:textFill>
                  <w14:solidFill>
                    <w14:schemeClr w14:val="tx1"/>
                  </w14:solidFill>
                </w14:textFill>
              </w:rPr>
              <w:t>3类标准，具体限值详见4-</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8</w:t>
            </w:r>
            <w:r>
              <w:rPr>
                <w:rFonts w:ascii="Times New Roman" w:hAnsi="Times New Roman" w:eastAsia="宋体"/>
                <w:caps w:val="0"/>
                <w:color w:val="000000" w:themeColor="text1"/>
                <w:sz w:val="24"/>
                <w:highlight w:val="none"/>
                <w14:textFill>
                  <w14:solidFill>
                    <w14:schemeClr w14:val="tx1"/>
                  </w14:solidFill>
                </w14:textFill>
              </w:rPr>
              <w:t>。</w:t>
            </w:r>
          </w:p>
          <w:p>
            <w:pPr>
              <w:spacing w:line="440" w:lineRule="exact"/>
              <w:jc w:val="center"/>
              <w:rPr>
                <w:rFonts w:ascii="Times New Roman" w:hAnsi="Times New Roman" w:eastAsia="宋体"/>
                <w:b/>
                <w:caps w:val="0"/>
                <w:color w:val="000000" w:themeColor="text1"/>
                <w:sz w:val="24"/>
                <w:highlight w:val="none"/>
                <w14:textFill>
                  <w14:solidFill>
                    <w14:schemeClr w14:val="tx1"/>
                  </w14:solidFill>
                </w14:textFill>
              </w:rPr>
            </w:pPr>
            <w:bookmarkStart w:id="10" w:name="_Ref470534289"/>
            <w:r>
              <w:rPr>
                <w:rFonts w:ascii="Times New Roman" w:hAnsi="Times New Roman" w:eastAsia="宋体"/>
                <w:b/>
                <w:caps w:val="0"/>
                <w:color w:val="000000" w:themeColor="text1"/>
                <w:sz w:val="24"/>
                <w:highlight w:val="none"/>
                <w14:textFill>
                  <w14:solidFill>
                    <w14:schemeClr w14:val="tx1"/>
                  </w14:solidFill>
                </w14:textFill>
              </w:rPr>
              <w:t>表</w:t>
            </w:r>
            <w:bookmarkEnd w:id="10"/>
            <w:r>
              <w:rPr>
                <w:rFonts w:ascii="Times New Roman" w:hAnsi="Times New Roman" w:eastAsia="宋体"/>
                <w:b/>
                <w:caps w:val="0"/>
                <w:color w:val="000000" w:themeColor="text1"/>
                <w:sz w:val="24"/>
                <w:highlight w:val="none"/>
                <w14:textFill>
                  <w14:solidFill>
                    <w14:schemeClr w14:val="tx1"/>
                  </w14:solidFill>
                </w14:textFill>
              </w:rPr>
              <w:t>4-</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8</w:t>
            </w:r>
            <w:r>
              <w:rPr>
                <w:rFonts w:ascii="Times New Roman" w:hAnsi="Times New Roman" w:eastAsia="宋体"/>
                <w:b/>
                <w:caps w:val="0"/>
                <w:color w:val="000000" w:themeColor="text1"/>
                <w:sz w:val="24"/>
                <w:highlight w:val="none"/>
                <w14:textFill>
                  <w14:solidFill>
                    <w14:schemeClr w14:val="tx1"/>
                  </w14:solidFill>
                </w14:textFill>
              </w:rPr>
              <w:t xml:space="preserve">  工业企业厂界环境噪声排放标准   单位：dB（A）</w:t>
            </w:r>
          </w:p>
          <w:tbl>
            <w:tblPr>
              <w:tblStyle w:val="3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87"/>
              <w:gridCol w:w="2101"/>
              <w:gridCol w:w="344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13"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声环境功能区类别</w:t>
                  </w:r>
                </w:p>
              </w:tc>
              <w:tc>
                <w:tcPr>
                  <w:tcW w:w="1246"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昼间</w:t>
                  </w:r>
                </w:p>
              </w:tc>
              <w:tc>
                <w:tcPr>
                  <w:tcW w:w="2041"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713"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3类</w:t>
                  </w:r>
                </w:p>
              </w:tc>
              <w:tc>
                <w:tcPr>
                  <w:tcW w:w="1246"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 xml:space="preserve">65 </w:t>
                  </w:r>
                </w:p>
              </w:tc>
              <w:tc>
                <w:tcPr>
                  <w:tcW w:w="2041"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54" w:hRule="exact"/>
                <w:jc w:val="center"/>
              </w:trPr>
              <w:tc>
                <w:tcPr>
                  <w:tcW w:w="1713" w:type="pct"/>
                  <w:tcBorders>
                    <w:tl2br w:val="nil"/>
                    <w:tr2bl w:val="nil"/>
                  </w:tcBorders>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2类</w:t>
                  </w:r>
                </w:p>
              </w:tc>
              <w:tc>
                <w:tcPr>
                  <w:tcW w:w="1246" w:type="pct"/>
                  <w:tcBorders>
                    <w:tl2br w:val="nil"/>
                    <w:tr2bl w:val="nil"/>
                  </w:tcBorders>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60</w:t>
                  </w:r>
                </w:p>
              </w:tc>
              <w:tc>
                <w:tcPr>
                  <w:tcW w:w="2041" w:type="pct"/>
                  <w:tcBorders>
                    <w:tl2br w:val="nil"/>
                    <w:tr2bl w:val="nil"/>
                  </w:tcBorders>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50</w:t>
                  </w:r>
                </w:p>
              </w:tc>
            </w:tr>
          </w:tbl>
          <w:p>
            <w:pPr>
              <w:spacing w:line="480" w:lineRule="exact"/>
              <w:ind w:firstLine="472" w:firstLineChars="196"/>
              <w:jc w:val="left"/>
              <w:rPr>
                <w:rFonts w:ascii="Times New Roman" w:hAnsi="Times New Roman" w:eastAsia="宋体"/>
                <w:b/>
                <w:bCs/>
                <w:caps w:val="0"/>
                <w:snapToGrid w:val="0"/>
                <w:color w:val="000000" w:themeColor="text1"/>
                <w:kern w:val="0"/>
                <w:sz w:val="24"/>
                <w:highlight w:val="none"/>
                <w14:textFill>
                  <w14:solidFill>
                    <w14:schemeClr w14:val="tx1"/>
                  </w14:solidFill>
                </w14:textFill>
              </w:rPr>
            </w:pPr>
            <w:r>
              <w:rPr>
                <w:rFonts w:ascii="Times New Roman" w:hAnsi="Times New Roman" w:eastAsia="宋体"/>
                <w:b/>
                <w:bCs/>
                <w:caps w:val="0"/>
                <w:snapToGrid w:val="0"/>
                <w:color w:val="000000" w:themeColor="text1"/>
                <w:kern w:val="0"/>
                <w:sz w:val="24"/>
                <w:highlight w:val="none"/>
                <w14:textFill>
                  <w14:solidFill>
                    <w14:schemeClr w14:val="tx1"/>
                  </w14:solidFill>
                </w14:textFill>
              </w:rPr>
              <w:t>4、固体废物</w:t>
            </w:r>
          </w:p>
          <w:p>
            <w:pPr>
              <w:autoSpaceDE w:val="0"/>
              <w:autoSpaceDN w:val="0"/>
              <w:adjustRightInd w:val="0"/>
              <w:spacing w:line="520" w:lineRule="exact"/>
              <w:ind w:firstLine="480" w:firstLineChars="200"/>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项目生产过程中的固体废物分为一般工业固废、危险废物。一般工业固废的暂存执行《一般工业固体废物贮存、处置场污染控制标准》（GB18599-2001）及修改单的有关规定</w:t>
            </w:r>
            <w:r>
              <w:rPr>
                <w:rFonts w:ascii="Times New Roman" w:hAnsi="Times New Roman" w:eastAsia="宋体"/>
                <w:caps w:val="0"/>
                <w:color w:val="000000" w:themeColor="text1"/>
                <w:sz w:val="24"/>
                <w:highlight w:val="none"/>
                <w14:textFill>
                  <w14:solidFill>
                    <w14:schemeClr w14:val="tx1"/>
                  </w14:solidFill>
                </w14:textFill>
              </w:rPr>
              <w:t>；危险废物的暂存、处理和处置方案满足《危险废物贮存污染控制标准》（GB18597-2001）及其修订单的有关规定</w:t>
            </w:r>
            <w:r>
              <w:rPr>
                <w:rFonts w:ascii="Times New Roman" w:hAnsi="Times New Roman" w:eastAsia="宋体"/>
                <w:caps w:val="0"/>
                <w:color w:val="000000" w:themeColor="text1"/>
                <w:kern w:val="0"/>
                <w:sz w:val="24"/>
                <w:highlight w:val="none"/>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322" w:type="pct"/>
            <w:tcBorders>
              <w:top w:val="single" w:color="auto" w:sz="6" w:space="0"/>
              <w:left w:val="single" w:color="auto" w:sz="6" w:space="0"/>
              <w:bottom w:val="single" w:color="auto" w:sz="6" w:space="0"/>
              <w:right w:val="single" w:color="auto" w:sz="6" w:space="0"/>
            </w:tcBorders>
            <w:vAlign w:val="center"/>
          </w:tcPr>
          <w:p>
            <w:pPr>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总</w:t>
            </w:r>
          </w:p>
          <w:p>
            <w:pPr>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量</w:t>
            </w:r>
          </w:p>
          <w:p>
            <w:pPr>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控</w:t>
            </w:r>
          </w:p>
          <w:p>
            <w:pPr>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制</w:t>
            </w:r>
          </w:p>
          <w:p>
            <w:pPr>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指</w:t>
            </w:r>
          </w:p>
          <w:p>
            <w:pPr>
              <w:snapToGrid w:val="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标</w:t>
            </w:r>
          </w:p>
        </w:tc>
        <w:tc>
          <w:tcPr>
            <w:tcW w:w="4677" w:type="pct"/>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520" w:lineRule="exact"/>
              <w:ind w:firstLine="480" w:firstLineChars="200"/>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根据《国务院关于印发&lt;“十三五”节能减排综合性工作方案&gt;的通知》（国发[2013]37号），目前国家对化学需氧量COD、氨氮NH</w:t>
            </w:r>
            <w:r>
              <w:rPr>
                <w:rFonts w:ascii="Times New Roman" w:hAnsi="Times New Roman" w:eastAsia="宋体"/>
                <w:caps w:val="0"/>
                <w:color w:val="000000" w:themeColor="text1"/>
                <w:kern w:val="0"/>
                <w:sz w:val="24"/>
                <w:highlight w:val="none"/>
                <w:vertAlign w:val="subscript"/>
                <w14:textFill>
                  <w14:solidFill>
                    <w14:schemeClr w14:val="tx1"/>
                  </w14:solidFill>
                </w14:textFill>
              </w:rPr>
              <w:t>3</w:t>
            </w:r>
            <w:r>
              <w:rPr>
                <w:rFonts w:ascii="Times New Roman" w:hAnsi="Times New Roman" w:eastAsia="宋体"/>
                <w:caps w:val="0"/>
                <w:color w:val="000000" w:themeColor="text1"/>
                <w:kern w:val="0"/>
                <w:sz w:val="24"/>
                <w:highlight w:val="none"/>
                <w14:textFill>
                  <w14:solidFill>
                    <w14:schemeClr w14:val="tx1"/>
                  </w14:solidFill>
                </w14:textFill>
              </w:rPr>
              <w:t>-N、二氧化硫SO</w:t>
            </w:r>
            <w:r>
              <w:rPr>
                <w:rFonts w:ascii="Times New Roman" w:hAnsi="Times New Roman" w:eastAsia="宋体"/>
                <w:caps w:val="0"/>
                <w:color w:val="000000" w:themeColor="text1"/>
                <w:kern w:val="0"/>
                <w:sz w:val="24"/>
                <w:highlight w:val="none"/>
                <w:vertAlign w:val="subscript"/>
                <w14:textFill>
                  <w14:solidFill>
                    <w14:schemeClr w14:val="tx1"/>
                  </w14:solidFill>
                </w14:textFill>
              </w:rPr>
              <w:t>2</w:t>
            </w:r>
            <w:r>
              <w:rPr>
                <w:rFonts w:ascii="Times New Roman" w:hAnsi="Times New Roman" w:eastAsia="宋体"/>
                <w:caps w:val="0"/>
                <w:color w:val="000000" w:themeColor="text1"/>
                <w:kern w:val="0"/>
                <w:sz w:val="24"/>
                <w:highlight w:val="none"/>
                <w14:textFill>
                  <w14:solidFill>
                    <w14:schemeClr w14:val="tx1"/>
                  </w14:solidFill>
                </w14:textFill>
              </w:rPr>
              <w:t>、氮氧化物NOx、烟粉尘、VOCs等六种主要污染物纳入排放总量控制计划管理。</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废水：根据工程分析，本项目生活</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废水</w:t>
            </w:r>
            <w:r>
              <w:rPr>
                <w:rFonts w:ascii="Times New Roman" w:hAnsi="Times New Roman" w:eastAsia="宋体"/>
                <w:caps w:val="0"/>
                <w:color w:val="000000" w:themeColor="text1"/>
                <w:sz w:val="24"/>
                <w:highlight w:val="none"/>
                <w14:textFill>
                  <w14:solidFill>
                    <w14:schemeClr w14:val="tx1"/>
                  </w14:solidFill>
                </w14:textFill>
              </w:rPr>
              <w:t>最终排放量COD</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0.</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084</w:t>
            </w:r>
            <w:r>
              <w:rPr>
                <w:rFonts w:ascii="Times New Roman" w:hAnsi="Times New Roman" w:eastAsia="宋体"/>
                <w:caps w:val="0"/>
                <w:color w:val="000000" w:themeColor="text1"/>
                <w:sz w:val="24"/>
                <w:highlight w:val="none"/>
                <w14:textFill>
                  <w14:solidFill>
                    <w14:schemeClr w14:val="tx1"/>
                  </w14:solidFill>
                </w14:textFill>
              </w:rPr>
              <w:t>t/a，NH</w:t>
            </w:r>
            <w:r>
              <w:rPr>
                <w:rFonts w:ascii="Times New Roman" w:hAnsi="Times New Roman" w:eastAsia="宋体"/>
                <w:caps w:val="0"/>
                <w:color w:val="000000" w:themeColor="text1"/>
                <w:sz w:val="24"/>
                <w:highlight w:val="none"/>
                <w:vertAlign w:val="subscript"/>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-N</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0.0</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13</w:t>
            </w:r>
            <w:r>
              <w:rPr>
                <w:rFonts w:ascii="Times New Roman" w:hAnsi="Times New Roman" w:eastAsia="宋体"/>
                <w:caps w:val="0"/>
                <w:color w:val="000000" w:themeColor="text1"/>
                <w:sz w:val="24"/>
                <w:highlight w:val="none"/>
                <w14:textFill>
                  <w14:solidFill>
                    <w14:schemeClr w14:val="tx1"/>
                  </w14:solidFill>
                </w14:textFill>
              </w:rPr>
              <w:t>t/a。</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废气：项目建成后，全厂</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烟（粉）尘有组织排放量为</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0.009</w:t>
            </w:r>
            <w:r>
              <w:rPr>
                <w:rFonts w:ascii="Times New Roman" w:hAnsi="Times New Roman" w:eastAsia="宋体"/>
                <w:caps w:val="0"/>
                <w:color w:val="000000" w:themeColor="text1"/>
                <w:kern w:val="0"/>
                <w:sz w:val="24"/>
                <w:highlight w:val="none"/>
                <w14:textFill>
                  <w14:solidFill>
                    <w14:schemeClr w14:val="tx1"/>
                  </w14:solidFill>
                </w14:textFill>
              </w:rPr>
              <w:t>t/a</w:t>
            </w:r>
            <w:r>
              <w:rPr>
                <w:rFonts w:hint="eastAsia" w:ascii="Times New Roman" w:hAnsi="Times New Roman" w:eastAsia="宋体"/>
                <w:caps w:val="0"/>
                <w:color w:val="000000" w:themeColor="text1"/>
                <w:kern w:val="0"/>
                <w:sz w:val="24"/>
                <w:highlight w:val="none"/>
                <w:lang w:eastAsia="zh-CN"/>
                <w14:textFill>
                  <w14:solidFill>
                    <w14:schemeClr w14:val="tx1"/>
                  </w14:solidFill>
                </w14:textFill>
              </w:rPr>
              <w:t>，</w:t>
            </w:r>
            <w:r>
              <w:rPr>
                <w:rFonts w:ascii="Times New Roman" w:hAnsi="Times New Roman" w:eastAsia="宋体"/>
                <w:caps w:val="0"/>
                <w:color w:val="000000" w:themeColor="text1"/>
                <w:kern w:val="0"/>
                <w:sz w:val="24"/>
                <w:highlight w:val="none"/>
                <w14:textFill>
                  <w14:solidFill>
                    <w14:schemeClr w14:val="tx1"/>
                  </w14:solidFill>
                </w14:textFill>
              </w:rPr>
              <w:t>VOCs</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有组织排放量为</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0.156</w:t>
            </w:r>
            <w:r>
              <w:rPr>
                <w:rFonts w:ascii="Times New Roman" w:hAnsi="Times New Roman" w:eastAsia="宋体"/>
                <w:caps w:val="0"/>
                <w:color w:val="000000" w:themeColor="text1"/>
                <w:kern w:val="0"/>
                <w:sz w:val="24"/>
                <w:highlight w:val="none"/>
                <w14:textFill>
                  <w14:solidFill>
                    <w14:schemeClr w14:val="tx1"/>
                  </w14:solidFill>
                </w14:textFill>
              </w:rPr>
              <w:t>t/a</w:t>
            </w:r>
            <w:r>
              <w:rPr>
                <w:rFonts w:ascii="Times New Roman" w:hAnsi="Times New Roman" w:eastAsia="宋体"/>
                <w:caps w:val="0"/>
                <w:color w:val="000000" w:themeColor="text1"/>
                <w:sz w:val="24"/>
                <w:highlight w:val="none"/>
                <w14:textFill>
                  <w14:solidFill>
                    <w14:schemeClr w14:val="tx1"/>
                  </w14:solidFill>
                </w14:textFill>
              </w:rPr>
              <w:t>。</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p>
          <w:p>
            <w:pPr>
              <w:pStyle w:val="40"/>
              <w:rPr>
                <w:rFonts w:ascii="Times New Roman" w:hAnsi="Times New Roman" w:eastAsia="宋体" w:cs="Times New Roman"/>
                <w:caps w:val="0"/>
                <w:color w:val="000000" w:themeColor="text1"/>
                <w:highlight w:val="none"/>
                <w14:textFill>
                  <w14:solidFill>
                    <w14:schemeClr w14:val="tx1"/>
                  </w14:solidFill>
                </w14:textFill>
              </w:rPr>
            </w:pPr>
          </w:p>
        </w:tc>
      </w:tr>
    </w:tbl>
    <w:p>
      <w:pPr>
        <w:pStyle w:val="3"/>
        <w:spacing w:before="120" w:after="120" w:line="360" w:lineRule="auto"/>
        <w:rPr>
          <w:rFonts w:ascii="Times New Roman" w:hAnsi="Times New Roman" w:eastAsia="宋体"/>
          <w:caps w:val="0"/>
          <w:color w:val="000000" w:themeColor="text1"/>
          <w:sz w:val="28"/>
          <w:szCs w:val="28"/>
          <w:highlight w:val="none"/>
          <w14:textFill>
            <w14:solidFill>
              <w14:schemeClr w14:val="tx1"/>
            </w14:solidFill>
          </w14:textFill>
        </w:rPr>
      </w:pPr>
      <w:r>
        <w:rPr>
          <w:rFonts w:ascii="Times New Roman" w:hAnsi="Times New Roman" w:eastAsia="宋体"/>
          <w:caps w:val="0"/>
          <w:color w:val="000000" w:themeColor="text1"/>
          <w:sz w:val="28"/>
          <w:szCs w:val="28"/>
          <w:highlight w:val="none"/>
          <w14:textFill>
            <w14:solidFill>
              <w14:schemeClr w14:val="tx1"/>
            </w14:solidFill>
          </w14:textFill>
        </w:rPr>
        <w:t>建设项目工程分析</w:t>
      </w: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1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43" w:hRule="atLeast"/>
          <w:jc w:val="center"/>
        </w:trPr>
        <w:tc>
          <w:tcPr>
            <w:tcW w:w="9164" w:type="dxa"/>
            <w:tcBorders>
              <w:top w:val="single" w:color="auto" w:sz="6" w:space="0"/>
              <w:left w:val="single" w:color="auto" w:sz="6" w:space="0"/>
              <w:bottom w:val="single" w:color="auto" w:sz="6" w:space="0"/>
              <w:right w:val="single" w:color="auto" w:sz="6" w:space="0"/>
            </w:tcBorders>
          </w:tcPr>
          <w:p>
            <w:pP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一、运营期生产工艺流程简述（图示）</w:t>
            </w:r>
            <w:r>
              <w:rPr>
                <w:rFonts w:ascii="Times New Roman" w:hAnsi="Times New Roman" w:eastAsia="宋体"/>
                <w:caps w:val="0"/>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b/>
                <w:bCs/>
                <w:caps w:val="0"/>
                <w:snapToGrid/>
                <w:color w:val="000000" w:themeColor="text1"/>
                <w:kern w:val="2"/>
                <w:sz w:val="24"/>
                <w:szCs w:val="24"/>
                <w:highlight w:val="none"/>
                <w:lang w:val="en-US" w:eastAsia="zh-CN" w:bidi="ar"/>
                <w14:textFill>
                  <w14:solidFill>
                    <w14:schemeClr w14:val="tx1"/>
                  </w14:solidFill>
                </w14:textFill>
              </w:rPr>
            </w:pPr>
            <w:r>
              <w:rPr>
                <w:rFonts w:hint="default" w:ascii="Times New Roman" w:hAnsi="Times New Roman" w:eastAsia="宋体" w:cs="Times New Roman"/>
                <w:b/>
                <w:bCs/>
                <w:caps w:val="0"/>
                <w:color w:val="000000" w:themeColor="text1"/>
                <w:sz w:val="24"/>
                <w:highlight w:val="none"/>
                <w14:textFill>
                  <w14:solidFill>
                    <w14:schemeClr w14:val="tx1"/>
                  </w14:solidFill>
                </w14:textFill>
              </w:rPr>
              <w:t>1、生产工艺流程</w:t>
            </w:r>
            <w:r>
              <w:rPr>
                <w:rFonts w:hint="default" w:ascii="Times New Roman" w:hAnsi="Times New Roman" w:eastAsia="宋体" w:cs="Times New Roman"/>
                <w:b/>
                <w:bCs/>
                <w:caps w:val="0"/>
                <w:snapToGrid/>
                <w:color w:val="000000" w:themeColor="text1"/>
                <w:kern w:val="2"/>
                <w:sz w:val="24"/>
                <w:szCs w:val="24"/>
                <w:highlight w:val="none"/>
                <w:lang w:val="en-US" w:eastAsia="zh-CN" w:bidi="ar"/>
                <w14:textFill>
                  <w14:solidFill>
                    <w14:schemeClr w14:val="tx1"/>
                  </w14:solidFill>
                </w14:textFill>
              </w:rPr>
              <w:drawing>
                <wp:inline distT="0" distB="0" distL="114300" distR="114300">
                  <wp:extent cx="5674995" cy="3051175"/>
                  <wp:effectExtent l="0" t="0" r="0" b="0"/>
                  <wp:docPr id="4" name="ECB019B1-382A-4266-B25C-5B523AA43C14-1" descr="C:/Users/ADMINI~1/AppData/Local/Temp/qt_temp.pm4288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1" descr="C:/Users/ADMINI~1/AppData/Local/Temp/qt_temp.pm4288qt_temp"/>
                          <pic:cNvPicPr>
                            <a:picLocks noChangeAspect="1"/>
                          </pic:cNvPicPr>
                        </pic:nvPicPr>
                        <pic:blipFill>
                          <a:blip r:embed="rId7"/>
                          <a:stretch>
                            <a:fillRect/>
                          </a:stretch>
                        </pic:blipFill>
                        <pic:spPr>
                          <a:xfrm>
                            <a:off x="0" y="0"/>
                            <a:ext cx="5674995" cy="3051175"/>
                          </a:xfrm>
                          <a:prstGeom prst="rect">
                            <a:avLst/>
                          </a:prstGeom>
                        </pic:spPr>
                      </pic:pic>
                    </a:graphicData>
                  </a:graphic>
                </wp:inline>
              </w:drawing>
            </w:r>
            <w:r>
              <w:rPr>
                <w:rFonts w:hint="default" w:ascii="Times New Roman" w:hAnsi="Times New Roman" w:eastAsia="宋体" w:cs="Times New Roman"/>
                <w:b/>
                <w:bCs/>
                <w:caps w:val="0"/>
                <w:snapToGrid/>
                <w:color w:val="000000" w:themeColor="text1"/>
                <w:kern w:val="2"/>
                <w:sz w:val="24"/>
                <w:szCs w:val="24"/>
                <w:highlight w:val="none"/>
                <w:lang w:val="en-US" w:eastAsia="zh-CN" w:bidi="ar"/>
                <w14:textFill>
                  <w14:solidFill>
                    <w14:schemeClr w14:val="tx1"/>
                  </w14:solidFill>
                </w14:textFill>
              </w:rPr>
              <w:t xml:space="preserve"> </w:t>
            </w:r>
          </w:p>
          <w:p>
            <w:pPr>
              <w:spacing w:line="460" w:lineRule="exact"/>
              <w:ind w:firstLine="482" w:firstLineChars="200"/>
              <w:jc w:val="center"/>
              <w:rPr>
                <w:rFonts w:hint="default" w:ascii="Times New Roman" w:hAnsi="Times New Roman" w:eastAsia="宋体"/>
                <w:b/>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图5-1 生产工艺流程图</w:t>
            </w:r>
          </w:p>
          <w:p>
            <w:pPr>
              <w:spacing w:line="460" w:lineRule="exact"/>
              <w:ind w:firstLine="480" w:firstLineChars="200"/>
              <w:rPr>
                <w:rFonts w:hint="eastAsia" w:ascii="Times New Roman" w:hAnsi="Times New Roman" w:eastAsia="宋体"/>
                <w:b w:val="0"/>
                <w:bCs w:val="0"/>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cs="宋体"/>
                <w:b w:val="0"/>
                <w:bCs w:val="0"/>
                <w:color w:val="000000" w:themeColor="text1"/>
                <w:sz w:val="24"/>
                <w:szCs w:val="24"/>
                <w:highlight w:val="none"/>
                <w:lang w:val="en-US" w:eastAsia="zh-CN"/>
                <w14:textFill>
                  <w14:solidFill>
                    <w14:schemeClr w14:val="tx1"/>
                  </w14:solidFill>
                </w14:textFill>
              </w:rPr>
              <w:t>①原材料入场：</w:t>
            </w:r>
            <w:r>
              <w:rPr>
                <w:rFonts w:hint="eastAsia" w:ascii="Times New Roman" w:hAnsi="Times New Roman" w:eastAsia="宋体" w:cs="宋体"/>
                <w:b w:val="0"/>
                <w:bCs w:val="0"/>
                <w:color w:val="000000" w:themeColor="text1"/>
                <w:sz w:val="24"/>
                <w:szCs w:val="24"/>
                <w:highlight w:val="none"/>
                <w14:textFill>
                  <w14:solidFill>
                    <w14:schemeClr w14:val="tx1"/>
                  </w14:solidFill>
                </w14:textFill>
              </w:rPr>
              <w:t>将</w:t>
            </w:r>
            <w:r>
              <w:rPr>
                <w:rFonts w:hint="eastAsia" w:ascii="Times New Roman" w:hAnsi="Times New Roman" w:eastAsia="宋体" w:cs="宋体"/>
                <w:b w:val="0"/>
                <w:bCs w:val="0"/>
                <w:color w:val="000000" w:themeColor="text1"/>
                <w:sz w:val="24"/>
                <w:szCs w:val="24"/>
                <w:highlight w:val="none"/>
                <w:lang w:eastAsia="zh-CN"/>
                <w14:textFill>
                  <w14:solidFill>
                    <w14:schemeClr w14:val="tx1"/>
                  </w14:solidFill>
                </w14:textFill>
              </w:rPr>
              <w:t>外协或本公司铸造成型的铸件</w:t>
            </w:r>
            <w:r>
              <w:rPr>
                <w:rFonts w:hint="eastAsia" w:ascii="Times New Roman" w:hAnsi="Times New Roman" w:eastAsia="宋体" w:cs="宋体"/>
                <w:b w:val="0"/>
                <w:bCs w:val="0"/>
                <w:color w:val="000000" w:themeColor="text1"/>
                <w:sz w:val="24"/>
                <w:szCs w:val="24"/>
                <w:highlight w:val="none"/>
                <w:lang w:val="en-US" w:eastAsia="zh-CN"/>
                <w14:textFill>
                  <w14:solidFill>
                    <w14:schemeClr w14:val="tx1"/>
                  </w14:solidFill>
                </w14:textFill>
              </w:rPr>
              <w:t>及零部件</w:t>
            </w:r>
            <w:r>
              <w:rPr>
                <w:rFonts w:hint="eastAsia" w:ascii="Times New Roman" w:hAnsi="Times New Roman" w:eastAsia="宋体" w:cs="宋体"/>
                <w:b w:val="0"/>
                <w:bCs w:val="0"/>
                <w:color w:val="000000" w:themeColor="text1"/>
                <w:sz w:val="24"/>
                <w:szCs w:val="24"/>
                <w:highlight w:val="none"/>
                <w:lang w:eastAsia="zh-CN"/>
                <w14:textFill>
                  <w14:solidFill>
                    <w14:schemeClr w14:val="tx1"/>
                  </w14:solidFill>
                </w14:textFill>
              </w:rPr>
              <w:t>送至公司</w:t>
            </w:r>
          </w:p>
          <w:p>
            <w:pPr>
              <w:spacing w:line="460" w:lineRule="exact"/>
              <w:ind w:firstLine="480" w:firstLineChars="200"/>
              <w:rPr>
                <w:rFonts w:hint="default" w:ascii="Times New Roman" w:hAnsi="Times New Roman" w:eastAsia="宋体"/>
                <w:b w:val="0"/>
                <w:bCs w:val="0"/>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b w:val="0"/>
                <w:bCs w:val="0"/>
                <w:caps w:val="0"/>
                <w:color w:val="000000" w:themeColor="text1"/>
                <w:sz w:val="24"/>
                <w:highlight w:val="none"/>
                <w:lang w:val="en-US" w:eastAsia="zh-CN"/>
                <w14:textFill>
                  <w14:solidFill>
                    <w14:schemeClr w14:val="tx1"/>
                  </w14:solidFill>
                </w14:textFill>
              </w:rPr>
              <w:t>②机加工：</w:t>
            </w:r>
            <w:r>
              <w:rPr>
                <w:rFonts w:hint="eastAsia" w:ascii="Times New Roman" w:hAnsi="Times New Roman" w:eastAsia="宋体" w:cs="宋体"/>
                <w:b w:val="0"/>
                <w:bCs w:val="0"/>
                <w:color w:val="000000" w:themeColor="text1"/>
                <w:sz w:val="24"/>
                <w:szCs w:val="24"/>
                <w:highlight w:val="none"/>
                <w14:textFill>
                  <w14:solidFill>
                    <w14:schemeClr w14:val="tx1"/>
                  </w14:solidFill>
                </w14:textFill>
              </w:rPr>
              <w:t>在</w:t>
            </w:r>
            <w:r>
              <w:rPr>
                <w:rFonts w:hint="eastAsia" w:ascii="Times New Roman" w:hAnsi="Times New Roman" w:eastAsia="宋体" w:cs="宋体"/>
                <w:b w:val="0"/>
                <w:bCs w:val="0"/>
                <w:color w:val="000000" w:themeColor="text1"/>
                <w:sz w:val="24"/>
                <w:szCs w:val="24"/>
                <w:highlight w:val="none"/>
                <w:lang w:val="en-US" w:eastAsia="zh-CN"/>
                <w14:textFill>
                  <w14:solidFill>
                    <w14:schemeClr w14:val="tx1"/>
                  </w14:solidFill>
                </w14:textFill>
              </w:rPr>
              <w:t>机加工</w:t>
            </w:r>
            <w:r>
              <w:rPr>
                <w:rFonts w:hint="eastAsia" w:ascii="Times New Roman" w:hAnsi="Times New Roman" w:eastAsia="宋体" w:cs="宋体"/>
                <w:b w:val="0"/>
                <w:bCs w:val="0"/>
                <w:color w:val="000000" w:themeColor="text1"/>
                <w:sz w:val="24"/>
                <w:szCs w:val="24"/>
                <w:highlight w:val="none"/>
                <w14:textFill>
                  <w14:solidFill>
                    <w14:schemeClr w14:val="tx1"/>
                  </w14:solidFill>
                </w14:textFill>
              </w:rPr>
              <w:t>设备上</w:t>
            </w:r>
            <w:r>
              <w:rPr>
                <w:rFonts w:hint="eastAsia" w:ascii="Times New Roman" w:hAnsi="Times New Roman" w:eastAsia="宋体" w:cs="宋体"/>
                <w:b w:val="0"/>
                <w:bCs w:val="0"/>
                <w:color w:val="000000" w:themeColor="text1"/>
                <w:sz w:val="24"/>
                <w:szCs w:val="24"/>
                <w:highlight w:val="none"/>
                <w:lang w:val="en-US" w:eastAsia="zh-CN"/>
                <w14:textFill>
                  <w14:solidFill>
                    <w14:schemeClr w14:val="tx1"/>
                  </w14:solidFill>
                </w14:textFill>
              </w:rPr>
              <w:t>进行初加工，</w:t>
            </w:r>
            <w:r>
              <w:rPr>
                <w:rFonts w:hint="eastAsia" w:ascii="Times New Roman" w:hAnsi="Times New Roman" w:eastAsia="宋体" w:cs="宋体"/>
                <w:b w:val="0"/>
                <w:bCs w:val="0"/>
                <w:color w:val="000000" w:themeColor="text1"/>
                <w:sz w:val="24"/>
                <w:szCs w:val="24"/>
                <w:highlight w:val="none"/>
                <w14:textFill>
                  <w14:solidFill>
                    <w14:schemeClr w14:val="tx1"/>
                  </w14:solidFill>
                </w14:textFill>
              </w:rPr>
              <w:t>切屑或钻孔制成</w:t>
            </w:r>
            <w:r>
              <w:rPr>
                <w:rFonts w:hint="eastAsia" w:ascii="Times New Roman" w:hAnsi="Times New Roman" w:eastAsia="宋体" w:cs="宋体"/>
                <w:b w:val="0"/>
                <w:bCs w:val="0"/>
                <w:color w:val="000000" w:themeColor="text1"/>
                <w:sz w:val="24"/>
                <w:szCs w:val="24"/>
                <w:highlight w:val="none"/>
                <w:lang w:eastAsia="zh-CN"/>
                <w14:textFill>
                  <w14:solidFill>
                    <w14:schemeClr w14:val="tx1"/>
                  </w14:solidFill>
                </w14:textFill>
              </w:rPr>
              <w:t>半</w:t>
            </w:r>
            <w:r>
              <w:rPr>
                <w:rFonts w:hint="eastAsia" w:ascii="Times New Roman" w:hAnsi="Times New Roman" w:eastAsia="宋体" w:cs="宋体"/>
                <w:b w:val="0"/>
                <w:bCs w:val="0"/>
                <w:color w:val="000000" w:themeColor="text1"/>
                <w:sz w:val="24"/>
                <w:szCs w:val="24"/>
                <w:highlight w:val="none"/>
                <w14:textFill>
                  <w14:solidFill>
                    <w14:schemeClr w14:val="tx1"/>
                  </w14:solidFill>
                </w14:textFill>
              </w:rPr>
              <w:t>成品</w:t>
            </w:r>
            <w:r>
              <w:rPr>
                <w:rFonts w:hint="eastAsia" w:ascii="Times New Roman" w:hAnsi="Times New Roman" w:eastAsia="宋体" w:cs="宋体"/>
                <w:b w:val="0"/>
                <w:bCs w:val="0"/>
                <w:color w:val="000000" w:themeColor="text1"/>
                <w:sz w:val="24"/>
                <w:szCs w:val="24"/>
                <w:highlight w:val="none"/>
                <w:lang w:eastAsia="zh-CN"/>
                <w14:textFill>
                  <w14:solidFill>
                    <w14:schemeClr w14:val="tx1"/>
                  </w14:solidFill>
                </w14:textFill>
              </w:rPr>
              <w:t>。</w:t>
            </w:r>
            <w:r>
              <w:rPr>
                <w:rFonts w:hint="eastAsia" w:ascii="Times New Roman" w:hAnsi="Times New Roman" w:eastAsia="宋体" w:cs="宋体"/>
                <w:b w:val="0"/>
                <w:bCs w:val="0"/>
                <w:color w:val="000000" w:themeColor="text1"/>
                <w:sz w:val="24"/>
                <w:szCs w:val="24"/>
                <w:highlight w:val="none"/>
                <w:lang w:val="en-US" w:eastAsia="zh-CN"/>
                <w14:textFill>
                  <w14:solidFill>
                    <w14:schemeClr w14:val="tx1"/>
                  </w14:solidFill>
                </w14:textFill>
              </w:rPr>
              <w:t>本环节产生少量废铁屑（S3），及少量废油（S</w:t>
            </w:r>
            <w:r>
              <w:rPr>
                <w:rFonts w:hint="eastAsia" w:ascii="Times New Roman" w:hAnsi="Times New Roman" w:eastAsia="宋体" w:cs="宋体"/>
                <w:b w:val="0"/>
                <w:bCs w:val="0"/>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宋体"/>
                <w:b w:val="0"/>
                <w:bCs w:val="0"/>
                <w:color w:val="000000" w:themeColor="text1"/>
                <w:sz w:val="24"/>
                <w:szCs w:val="24"/>
                <w:highlight w:val="none"/>
                <w:lang w:val="en-US" w:eastAsia="zh-CN"/>
                <w14:textFill>
                  <w14:solidFill>
                    <w14:schemeClr w14:val="tx1"/>
                  </w14:solidFill>
                </w14:textFill>
              </w:rPr>
              <w:t>）、废油桶（S</w:t>
            </w:r>
            <w:r>
              <w:rPr>
                <w:rFonts w:hint="eastAsia" w:ascii="Times New Roman" w:hAnsi="Times New Roman" w:eastAsia="宋体" w:cs="宋体"/>
                <w:b w:val="0"/>
                <w:bCs w:val="0"/>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宋体"/>
                <w:b w:val="0"/>
                <w:bCs w:val="0"/>
                <w:color w:val="000000" w:themeColor="text1"/>
                <w:sz w:val="24"/>
                <w:szCs w:val="24"/>
                <w:highlight w:val="none"/>
                <w:lang w:val="en-US" w:eastAsia="zh-CN"/>
                <w14:textFill>
                  <w14:solidFill>
                    <w14:schemeClr w14:val="tx1"/>
                  </w14:solidFill>
                </w14:textFill>
              </w:rPr>
              <w:t>）。</w:t>
            </w:r>
          </w:p>
          <w:p>
            <w:pPr>
              <w:spacing w:line="460" w:lineRule="exact"/>
              <w:ind w:firstLine="480" w:firstLineChars="200"/>
              <w:rPr>
                <w:rFonts w:hint="default" w:ascii="Times New Roman" w:hAnsi="Times New Roman" w:eastAsia="宋体"/>
                <w:b w:val="0"/>
                <w:bCs w:val="0"/>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b w:val="0"/>
                <w:bCs w:val="0"/>
                <w:caps w:val="0"/>
                <w:color w:val="000000" w:themeColor="text1"/>
                <w:sz w:val="24"/>
                <w:highlight w:val="none"/>
                <w:lang w:val="en-US" w:eastAsia="zh-CN"/>
                <w14:textFill>
                  <w14:solidFill>
                    <w14:schemeClr w14:val="tx1"/>
                  </w14:solidFill>
                </w14:textFill>
              </w:rPr>
              <w:t>③刷（浸）漆：将</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完成的部分半成品铸件进行表面浸（刷）漆</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本项目半成品铸件中</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约1000吨铸件表面需浸（刷）漆</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该过程产生</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非甲烷总烃</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w:t>
            </w:r>
            <w:r>
              <w:rPr>
                <w:rFonts w:hint="default" w:ascii="Times New Roman" w:hAnsi="Times New Roman" w:eastAsia="宋体" w:cs="Times New Roman"/>
                <w:b w:val="0"/>
                <w:bCs w:val="0"/>
                <w:caps w:val="0"/>
                <w:snapToGrid/>
                <w:color w:val="000000" w:themeColor="text1"/>
                <w:kern w:val="2"/>
                <w:sz w:val="24"/>
                <w:szCs w:val="24"/>
                <w:highlight w:val="none"/>
                <w:lang w:val="en-US" w:eastAsia="zh-CN" w:bidi="ar"/>
                <w14:textFill>
                  <w14:solidFill>
                    <w14:schemeClr w14:val="tx1"/>
                  </w14:solidFill>
                </w14:textFill>
              </w:rPr>
              <w:t>G</w:t>
            </w:r>
            <w:r>
              <w:rPr>
                <w:rFonts w:hint="eastAsia" w:ascii="Times New Roman" w:hAnsi="Times New Roman" w:eastAsia="宋体" w:cs="Times New Roman"/>
                <w:b w:val="0"/>
                <w:bCs w:val="0"/>
                <w:caps w:val="0"/>
                <w:snapToGrid/>
                <w:color w:val="000000" w:themeColor="text1"/>
                <w:kern w:val="2"/>
                <w:sz w:val="24"/>
                <w:szCs w:val="24"/>
                <w:highlight w:val="none"/>
                <w:lang w:val="en-US" w:eastAsia="zh-CN" w:bidi="ar"/>
                <w14:textFill>
                  <w14:solidFill>
                    <w14:schemeClr w14:val="tx1"/>
                  </w14:solidFill>
                </w14:textFill>
              </w:rPr>
              <w:t>1</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w:t>
            </w:r>
          </w:p>
          <w:p>
            <w:pPr>
              <w:spacing w:line="460" w:lineRule="exact"/>
              <w:ind w:firstLine="480" w:firstLineChars="200"/>
              <w:rPr>
                <w:rFonts w:hint="default" w:ascii="Times New Roman" w:hAnsi="Times New Roman" w:eastAsia="宋体"/>
                <w:b w:val="0"/>
                <w:bCs w:val="0"/>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b w:val="0"/>
                <w:bCs w:val="0"/>
                <w:caps w:val="0"/>
                <w:color w:val="000000" w:themeColor="text1"/>
                <w:sz w:val="24"/>
                <w:highlight w:val="none"/>
                <w:lang w:val="en-US" w:eastAsia="zh-CN"/>
                <w14:textFill>
                  <w14:solidFill>
                    <w14:schemeClr w14:val="tx1"/>
                  </w14:solidFill>
                </w14:textFill>
              </w:rPr>
              <w:t>④抛丸：</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抛丸是利用抛丸</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机</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抛出的高速弹丸清理或强化铸件表面的一种工艺。在本项目中主要用于铸铁件的表面粘砂及氧化皮的清除，同时增加金属内部的错位密度，提高金属强度。该过程产生颗粒物（</w:t>
            </w:r>
            <w:r>
              <w:rPr>
                <w:rFonts w:hint="default" w:ascii="Times New Roman" w:hAnsi="Times New Roman" w:eastAsia="宋体" w:cs="Times New Roman"/>
                <w:b w:val="0"/>
                <w:bCs w:val="0"/>
                <w:caps w:val="0"/>
                <w:snapToGrid/>
                <w:color w:val="000000" w:themeColor="text1"/>
                <w:kern w:val="2"/>
                <w:sz w:val="24"/>
                <w:szCs w:val="24"/>
                <w:highlight w:val="none"/>
                <w:lang w:val="en-US" w:eastAsia="zh-CN" w:bidi="ar"/>
                <w14:textFill>
                  <w14:solidFill>
                    <w14:schemeClr w14:val="tx1"/>
                  </w14:solidFill>
                </w14:textFill>
              </w:rPr>
              <w:t>G</w:t>
            </w:r>
            <w:r>
              <w:rPr>
                <w:rFonts w:hint="eastAsia" w:ascii="Times New Roman" w:hAnsi="Times New Roman" w:eastAsia="宋体" w:cs="Times New Roman"/>
                <w:b w:val="0"/>
                <w:bCs w:val="0"/>
                <w:caps w:val="0"/>
                <w:snapToGrid/>
                <w:color w:val="000000" w:themeColor="text1"/>
                <w:kern w:val="2"/>
                <w:sz w:val="24"/>
                <w:szCs w:val="24"/>
                <w:highlight w:val="none"/>
                <w:lang w:val="en-US" w:eastAsia="zh-CN" w:bidi="ar"/>
                <w14:textFill>
                  <w14:solidFill>
                    <w14:schemeClr w14:val="tx1"/>
                  </w14:solidFill>
                </w14:textFill>
              </w:rPr>
              <w:t>2</w:t>
            </w:r>
            <w:r>
              <w:rPr>
                <w:rFonts w:hint="eastAsia" w:ascii="Times New Roman" w:hAnsi="Times New Roman" w:eastAsia="宋体" w:cs="宋体"/>
                <w:b w:val="0"/>
                <w:bCs w:val="0"/>
                <w:caps w:val="0"/>
                <w:snapToGrid/>
                <w:color w:val="000000" w:themeColor="text1"/>
                <w:kern w:val="2"/>
                <w:sz w:val="24"/>
                <w:szCs w:val="24"/>
                <w:highlight w:val="none"/>
                <w:lang w:val="en-US" w:eastAsia="zh-CN" w:bidi="ar"/>
                <w14:textFill>
                  <w14:solidFill>
                    <w14:schemeClr w14:val="tx1"/>
                  </w14:solidFill>
                </w14:textFill>
              </w:rPr>
              <w:t>））。</w:t>
            </w:r>
          </w:p>
          <w:p>
            <w:pPr>
              <w:spacing w:line="460" w:lineRule="exact"/>
              <w:ind w:firstLine="480" w:firstLineChars="200"/>
              <w:rPr>
                <w:rFonts w:hint="default" w:ascii="Times New Roman" w:hAnsi="Times New Roman" w:eastAsia="宋体"/>
                <w:b w:val="0"/>
                <w:bCs w:val="0"/>
                <w:caps w:val="0"/>
                <w:color w:val="000000" w:themeColor="text1"/>
                <w:sz w:val="24"/>
                <w:highlight w:val="none"/>
                <w:lang w:val="en-US" w:eastAsia="zh-CN"/>
                <w14:textFill>
                  <w14:solidFill>
                    <w14:schemeClr w14:val="tx1"/>
                  </w14:solidFill>
                </w14:textFill>
              </w:rPr>
            </w:pPr>
            <w:r>
              <w:rPr>
                <w:rFonts w:hint="eastAsia" w:ascii="Times New Roman" w:hAnsi="Times New Roman" w:eastAsia="宋体"/>
                <w:b w:val="0"/>
                <w:bCs w:val="0"/>
                <w:caps w:val="0"/>
                <w:color w:val="000000" w:themeColor="text1"/>
                <w:sz w:val="24"/>
                <w:highlight w:val="none"/>
                <w:lang w:val="en-US" w:eastAsia="zh-CN"/>
                <w14:textFill>
                  <w14:solidFill>
                    <w14:schemeClr w14:val="tx1"/>
                  </w14:solidFill>
                </w14:textFill>
              </w:rPr>
              <w:t>⑤装配：将经过前期处理后的产品进行组装后待入库</w:t>
            </w:r>
          </w:p>
          <w:p>
            <w:pPr>
              <w:spacing w:line="460" w:lineRule="exact"/>
              <w:ind w:firstLine="482" w:firstLineChars="200"/>
              <w:rPr>
                <w:rFonts w:hint="eastAsia" w:ascii="Times New Roman" w:hAnsi="Times New Roman" w:eastAsia="宋体"/>
                <w:b/>
                <w:caps w:val="0"/>
                <w:color w:val="000000" w:themeColor="text1"/>
                <w:sz w:val="24"/>
                <w:highlight w:val="none"/>
                <w:lang w:val="en-US" w:eastAsia="zh-CN"/>
                <w14:textFill>
                  <w14:solidFill>
                    <w14:schemeClr w14:val="tx1"/>
                  </w14:solidFill>
                </w14:textFill>
              </w:rPr>
            </w:pPr>
          </w:p>
          <w:p>
            <w:pPr>
              <w:spacing w:line="460" w:lineRule="exact"/>
              <w:ind w:firstLine="482" w:firstLineChars="200"/>
              <w:rPr>
                <w:rFonts w:hint="eastAsia" w:ascii="Times New Roman" w:hAnsi="Times New Roman" w:eastAsia="宋体"/>
                <w:b/>
                <w:caps w:val="0"/>
                <w:color w:val="000000" w:themeColor="text1"/>
                <w:sz w:val="24"/>
                <w:highlight w:val="none"/>
                <w:lang w:val="en-US" w:eastAsia="zh-CN"/>
                <w14:textFill>
                  <w14:solidFill>
                    <w14:schemeClr w14:val="tx1"/>
                  </w14:solidFill>
                </w14:textFill>
              </w:rPr>
            </w:pPr>
          </w:p>
          <w:p>
            <w:pPr>
              <w:spacing w:line="460" w:lineRule="exact"/>
              <w:ind w:firstLine="482" w:firstLineChars="200"/>
              <w:rPr>
                <w:rFonts w:hint="eastAsia" w:ascii="Times New Roman" w:hAnsi="Times New Roman" w:eastAsia="宋体"/>
                <w:b/>
                <w:caps w:val="0"/>
                <w:color w:val="000000" w:themeColor="text1"/>
                <w:sz w:val="24"/>
                <w:highlight w:val="none"/>
                <w:lang w:val="en-US" w:eastAsia="zh-CN"/>
                <w14:textFill>
                  <w14:solidFill>
                    <w14:schemeClr w14:val="tx1"/>
                  </w14:solidFill>
                </w14:textFill>
              </w:rPr>
            </w:pPr>
          </w:p>
          <w:p>
            <w:pPr>
              <w:spacing w:line="460" w:lineRule="exact"/>
              <w:ind w:firstLine="482" w:firstLineChars="200"/>
              <w:rPr>
                <w:rFonts w:hint="eastAsia" w:ascii="Times New Roman" w:hAnsi="Times New Roman" w:eastAsia="宋体"/>
                <w:b/>
                <w:caps w:val="0"/>
                <w:color w:val="000000" w:themeColor="text1"/>
                <w:sz w:val="24"/>
                <w:highlight w:val="none"/>
                <w:lang w:val="en-US" w:eastAsia="zh-CN"/>
                <w14:textFill>
                  <w14:solidFill>
                    <w14:schemeClr w14:val="tx1"/>
                  </w14:solidFill>
                </w14:textFill>
              </w:rPr>
            </w:pPr>
          </w:p>
          <w:p>
            <w:pPr>
              <w:spacing w:line="460" w:lineRule="exact"/>
              <w:ind w:firstLine="482" w:firstLineChars="200"/>
              <w:rPr>
                <w:rFonts w:hint="eastAsia" w:ascii="Times New Roman" w:hAnsi="Times New Roman" w:eastAsia="宋体"/>
                <w:b/>
                <w:caps w:val="0"/>
                <w:color w:val="000000" w:themeColor="text1"/>
                <w:sz w:val="24"/>
                <w:highlight w:val="none"/>
                <w:lang w:val="en-US" w:eastAsia="zh-CN"/>
                <w14:textFill>
                  <w14:solidFill>
                    <w14:schemeClr w14:val="tx1"/>
                  </w14:solidFill>
                </w14:textFill>
              </w:rPr>
            </w:pPr>
          </w:p>
          <w:p>
            <w:pPr>
              <w:spacing w:line="460" w:lineRule="exact"/>
              <w:ind w:firstLine="482" w:firstLineChars="200"/>
              <w:rPr>
                <w:rFonts w:hint="eastAsia" w:ascii="Times New Roman" w:hAnsi="Times New Roman" w:eastAsia="宋体"/>
                <w:b/>
                <w:caps w:val="0"/>
                <w:color w:val="000000" w:themeColor="text1"/>
                <w:sz w:val="24"/>
                <w:highlight w:val="none"/>
                <w:lang w:val="en-US" w:eastAsia="zh-CN"/>
                <w14:textFill>
                  <w14:solidFill>
                    <w14:schemeClr w14:val="tx1"/>
                  </w14:solidFill>
                </w14:textFill>
              </w:rPr>
            </w:pP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2</w:t>
            </w:r>
            <w:r>
              <w:rPr>
                <w:rFonts w:ascii="Times New Roman" w:hAnsi="Times New Roman" w:eastAsia="宋体"/>
                <w:b/>
                <w:caps w:val="0"/>
                <w:color w:val="000000" w:themeColor="text1"/>
                <w:sz w:val="24"/>
                <w:highlight w:val="none"/>
                <w14:textFill>
                  <w14:solidFill>
                    <w14:schemeClr w14:val="tx1"/>
                  </w14:solidFill>
                </w14:textFill>
              </w:rPr>
              <w:t>、运营期主要污染工序及源强分析</w:t>
            </w:r>
          </w:p>
          <w:p>
            <w:pPr>
              <w:spacing w:line="460" w:lineRule="exact"/>
              <w:ind w:firstLine="472" w:firstLineChars="196"/>
              <w:rPr>
                <w:rFonts w:ascii="Times New Roman" w:hAnsi="Times New Roman" w:eastAsia="宋体"/>
                <w:b/>
                <w:caps w:val="0"/>
                <w:color w:val="000000" w:themeColor="text1"/>
                <w:sz w:val="24"/>
                <w:highlight w:val="none"/>
                <w14:textFill>
                  <w14:solidFill>
                    <w14:schemeClr w14:val="tx1"/>
                  </w14:solidFill>
                </w14:textFill>
              </w:rPr>
            </w:pP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2</w:t>
            </w:r>
            <w:r>
              <w:rPr>
                <w:rFonts w:ascii="Times New Roman" w:hAnsi="Times New Roman" w:eastAsia="宋体"/>
                <w:b/>
                <w:caps w:val="0"/>
                <w:color w:val="000000" w:themeColor="text1"/>
                <w:sz w:val="24"/>
                <w:highlight w:val="none"/>
                <w14:textFill>
                  <w14:solidFill>
                    <w14:schemeClr w14:val="tx1"/>
                  </w14:solidFill>
                </w14:textFill>
              </w:rPr>
              <w:t>.1、废气</w:t>
            </w:r>
          </w:p>
          <w:p>
            <w:pPr>
              <w:pStyle w:val="29"/>
              <w:spacing w:before="0" w:beforeAutospacing="0" w:after="0" w:afterAutospacing="0" w:line="360" w:lineRule="auto"/>
              <w:ind w:firstLine="480" w:firstLineChars="200"/>
              <w:rPr>
                <w:rFonts w:ascii="Times New Roman" w:hAnsi="Times New Roman" w:eastAsia="宋体" w:cs="Times New Roman"/>
                <w:caps w:val="0"/>
                <w:color w:val="000000" w:themeColor="text1"/>
                <w:highlight w:val="none"/>
                <w14:textFill>
                  <w14:solidFill>
                    <w14:schemeClr w14:val="tx1"/>
                  </w14:solidFill>
                </w14:textFill>
              </w:rPr>
            </w:pPr>
            <w:r>
              <w:rPr>
                <w:rFonts w:hint="eastAsia" w:ascii="Times New Roman" w:hAnsi="Times New Roman" w:eastAsia="宋体"/>
                <w:caps w:val="0"/>
                <w:color w:val="000000" w:themeColor="text1"/>
                <w:highlight w:val="none"/>
                <w:lang w:val="en-US" w:eastAsia="zh-CN"/>
                <w14:textFill>
                  <w14:solidFill>
                    <w14:schemeClr w14:val="tx1"/>
                  </w14:solidFill>
                </w14:textFill>
              </w:rPr>
              <w:t>1、</w:t>
            </w:r>
            <w:r>
              <w:rPr>
                <w:rFonts w:ascii="Times New Roman" w:hAnsi="Times New Roman" w:eastAsia="宋体" w:cs="Times New Roman"/>
                <w:caps w:val="0"/>
                <w:color w:val="000000" w:themeColor="text1"/>
                <w:highlight w:val="none"/>
                <w14:textFill>
                  <w14:solidFill>
                    <w14:schemeClr w14:val="tx1"/>
                  </w14:solidFill>
                </w14:textFill>
              </w:rPr>
              <w:t>抛丸粉尘</w:t>
            </w:r>
          </w:p>
          <w:p>
            <w:pPr>
              <w:pStyle w:val="29"/>
              <w:spacing w:before="0" w:beforeAutospacing="0" w:after="0" w:afterAutospacing="0" w:line="360" w:lineRule="auto"/>
              <w:ind w:firstLine="480" w:firstLineChars="200"/>
              <w:rPr>
                <w:rFonts w:ascii="Times New Roman" w:hAnsi="Times New Roman" w:eastAsia="宋体" w:cs="Times New Roman"/>
                <w:caps w:val="0"/>
                <w:color w:val="000000" w:themeColor="text1"/>
                <w:highlight w:val="none"/>
                <w14:textFill>
                  <w14:solidFill>
                    <w14:schemeClr w14:val="tx1"/>
                  </w14:solidFill>
                </w14:textFill>
              </w:rPr>
            </w:pPr>
            <w:r>
              <w:rPr>
                <w:rFonts w:ascii="Times New Roman" w:hAnsi="Times New Roman" w:eastAsia="宋体" w:cs="Times New Roman"/>
                <w:caps w:val="0"/>
                <w:color w:val="000000" w:themeColor="text1"/>
                <w:highlight w:val="none"/>
                <w14:textFill>
                  <w14:solidFill>
                    <w14:schemeClr w14:val="tx1"/>
                  </w14:solidFill>
                </w14:textFill>
              </w:rPr>
              <w:t>产品的表面需要进行抛丸处理，根据《环境工程手册废气卷》中产污系数，并结合同行业产污情况，本项目抛丸粉尘产生量取加工原料的</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0.1</w:t>
            </w:r>
            <w:r>
              <w:rPr>
                <w:rFonts w:ascii="Times New Roman" w:hAnsi="Times New Roman" w:eastAsia="宋体" w:cs="Times New Roman"/>
                <w:caps w:val="0"/>
                <w:color w:val="000000" w:themeColor="text1"/>
                <w:highlight w:val="none"/>
                <w14:textFill>
                  <w14:solidFill>
                    <w14:schemeClr w14:val="tx1"/>
                  </w14:solidFill>
                </w14:textFill>
              </w:rPr>
              <w:t>%，生产线加工原料质量为</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1</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000</w:t>
            </w:r>
            <w:r>
              <w:rPr>
                <w:rFonts w:ascii="Times New Roman" w:hAnsi="Times New Roman" w:eastAsia="宋体" w:cs="Times New Roman"/>
                <w:caps w:val="0"/>
                <w:color w:val="000000" w:themeColor="text1"/>
                <w:highlight w:val="none"/>
                <w14:textFill>
                  <w14:solidFill>
                    <w14:schemeClr w14:val="tx1"/>
                  </w14:solidFill>
                </w14:textFill>
              </w:rPr>
              <w:t>t/a，故抛丸粉尘总产生量为</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1</w:t>
            </w:r>
            <w:r>
              <w:rPr>
                <w:rFonts w:ascii="Times New Roman" w:hAnsi="Times New Roman" w:eastAsia="宋体" w:cs="Times New Roman"/>
                <w:caps w:val="0"/>
                <w:color w:val="000000" w:themeColor="text1"/>
                <w:highlight w:val="none"/>
                <w14:textFill>
                  <w14:solidFill>
                    <w14:schemeClr w14:val="tx1"/>
                  </w14:solidFill>
                </w14:textFill>
              </w:rPr>
              <w:t>t/a</w:t>
            </w:r>
            <w:r>
              <w:rPr>
                <w:rFonts w:hint="eastAsia" w:ascii="Times New Roman" w:hAnsi="Times New Roman" w:eastAsia="宋体" w:cs="Times New Roman"/>
                <w:caps w:val="0"/>
                <w:color w:val="000000" w:themeColor="text1"/>
                <w:highlight w:val="none"/>
                <w14:textFill>
                  <w14:solidFill>
                    <w14:schemeClr w14:val="tx1"/>
                  </w14:solidFill>
                </w14:textFill>
              </w:rPr>
              <w:t>。</w:t>
            </w:r>
            <w:r>
              <w:rPr>
                <w:rFonts w:ascii="Times New Roman" w:hAnsi="Times New Roman" w:eastAsia="宋体" w:cs="Times New Roman"/>
                <w:caps w:val="0"/>
                <w:color w:val="000000" w:themeColor="text1"/>
                <w:highlight w:val="none"/>
                <w14:textFill>
                  <w14:solidFill>
                    <w14:schemeClr w14:val="tx1"/>
                  </w14:solidFill>
                </w14:textFill>
              </w:rPr>
              <w:t>项目生产线设置</w:t>
            </w:r>
            <w:r>
              <w:rPr>
                <w:rFonts w:hint="eastAsia" w:ascii="Times New Roman" w:hAnsi="Times New Roman" w:eastAsia="宋体" w:cs="Times New Roman"/>
                <w:caps w:val="0"/>
                <w:color w:val="000000" w:themeColor="text1"/>
                <w:highlight w:val="none"/>
                <w14:textFill>
                  <w14:solidFill>
                    <w14:schemeClr w14:val="tx1"/>
                  </w14:solidFill>
                </w14:textFill>
              </w:rPr>
              <w:t>1套脉冲式布袋除尘器处理抛丸粉尘，经处理后的粉尘至1根15m高排气筒</w:t>
            </w:r>
            <w:r>
              <w:rPr>
                <w:rFonts w:hint="eastAsia" w:ascii="Times New Roman" w:hAnsi="Times New Roman" w:eastAsia="宋体" w:cs="Times New Roman"/>
                <w:caps w:val="0"/>
                <w:color w:val="000000" w:themeColor="text1"/>
                <w:highlight w:val="none"/>
                <w:lang w:eastAsia="zh-CN"/>
                <w14:textFill>
                  <w14:solidFill>
                    <w14:schemeClr w14:val="tx1"/>
                  </w14:solidFill>
                </w14:textFill>
              </w:rPr>
              <w:t>（</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6#</w:t>
            </w:r>
            <w:r>
              <w:rPr>
                <w:rFonts w:hint="eastAsia" w:ascii="Times New Roman" w:hAnsi="Times New Roman" w:eastAsia="宋体" w:cs="Times New Roman"/>
                <w:caps w:val="0"/>
                <w:color w:val="000000" w:themeColor="text1"/>
                <w:highlight w:val="none"/>
                <w:lang w:eastAsia="zh-CN"/>
                <w14:textFill>
                  <w14:solidFill>
                    <w14:schemeClr w14:val="tx1"/>
                  </w14:solidFill>
                </w14:textFill>
              </w:rPr>
              <w:t>）</w:t>
            </w:r>
            <w:r>
              <w:rPr>
                <w:rFonts w:hint="eastAsia" w:ascii="Times New Roman" w:hAnsi="Times New Roman" w:eastAsia="宋体" w:cs="Times New Roman"/>
                <w:caps w:val="0"/>
                <w:color w:val="000000" w:themeColor="text1"/>
                <w:highlight w:val="none"/>
                <w14:textFill>
                  <w14:solidFill>
                    <w14:schemeClr w14:val="tx1"/>
                  </w14:solidFill>
                </w14:textFill>
              </w:rPr>
              <w:t>排放。</w:t>
            </w:r>
            <w:r>
              <w:rPr>
                <w:rFonts w:ascii="Times New Roman" w:hAnsi="Times New Roman" w:eastAsia="宋体" w:cs="Times New Roman"/>
                <w:caps w:val="0"/>
                <w:color w:val="000000" w:themeColor="text1"/>
                <w:highlight w:val="none"/>
                <w14:textFill>
                  <w14:solidFill>
                    <w14:schemeClr w14:val="tx1"/>
                  </w14:solidFill>
                </w14:textFill>
              </w:rPr>
              <w:t>年工作时间约</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12</w:t>
            </w:r>
            <w:r>
              <w:rPr>
                <w:rFonts w:ascii="Times New Roman" w:hAnsi="Times New Roman" w:eastAsia="宋体" w:cs="Times New Roman"/>
                <w:caps w:val="0"/>
                <w:color w:val="000000" w:themeColor="text1"/>
                <w:highlight w:val="none"/>
                <w14:textFill>
                  <w14:solidFill>
                    <w14:schemeClr w14:val="tx1"/>
                  </w14:solidFill>
                </w14:textFill>
              </w:rPr>
              <w:t>00h/a，</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收集效率以90计，</w:t>
            </w:r>
            <w:r>
              <w:rPr>
                <w:rFonts w:ascii="Times New Roman" w:hAnsi="Times New Roman" w:eastAsia="宋体" w:cs="Times New Roman"/>
                <w:caps w:val="0"/>
                <w:color w:val="000000" w:themeColor="text1"/>
                <w:highlight w:val="none"/>
                <w14:textFill>
                  <w14:solidFill>
                    <w14:schemeClr w14:val="tx1"/>
                  </w14:solidFill>
                </w14:textFill>
              </w:rPr>
              <w:t>处理效率以9</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9</w:t>
            </w:r>
            <w:r>
              <w:rPr>
                <w:rFonts w:ascii="Times New Roman" w:hAnsi="Times New Roman" w:eastAsia="宋体" w:cs="Times New Roman"/>
                <w:caps w:val="0"/>
                <w:color w:val="000000" w:themeColor="text1"/>
                <w:highlight w:val="none"/>
                <w14:textFill>
                  <w14:solidFill>
                    <w14:schemeClr w14:val="tx1"/>
                  </w14:solidFill>
                </w14:textFill>
              </w:rPr>
              <w:t>%计。</w:t>
            </w:r>
          </w:p>
          <w:p>
            <w:pPr>
              <w:pStyle w:val="29"/>
              <w:spacing w:before="0" w:beforeAutospacing="0" w:after="0" w:afterAutospacing="0" w:line="360" w:lineRule="auto"/>
              <w:ind w:firstLine="480" w:firstLineChars="200"/>
              <w:rPr>
                <w:rFonts w:hint="eastAsia" w:ascii="Times New Roman" w:hAnsi="Times New Roman" w:eastAsia="宋体"/>
                <w:caps w:val="0"/>
                <w:color w:val="000000" w:themeColor="text1"/>
                <w:highlight w:val="none"/>
                <w:lang w:val="en-US" w:eastAsia="zh-CN"/>
                <w14:textFill>
                  <w14:solidFill>
                    <w14:schemeClr w14:val="tx1"/>
                  </w14:solidFill>
                </w14:textFill>
              </w:rPr>
            </w:pPr>
            <w:r>
              <w:rPr>
                <w:rFonts w:hint="eastAsia" w:ascii="Times New Roman" w:hAnsi="Times New Roman" w:eastAsia="宋体"/>
                <w:caps w:val="0"/>
                <w:color w:val="000000" w:themeColor="text1"/>
                <w:highlight w:val="none"/>
                <w:lang w:val="en-US" w:eastAsia="zh-CN"/>
                <w14:textFill>
                  <w14:solidFill>
                    <w14:schemeClr w14:val="tx1"/>
                  </w14:solidFill>
                </w14:textFill>
              </w:rPr>
              <w:t>2、浸漆废气</w:t>
            </w:r>
          </w:p>
          <w:p>
            <w:pPr>
              <w:pStyle w:val="29"/>
              <w:spacing w:before="0" w:beforeAutospacing="0" w:after="0" w:afterAutospacing="0" w:line="360" w:lineRule="auto"/>
              <w:ind w:firstLine="480" w:firstLineChars="200"/>
              <w:rPr>
                <w:rFonts w:hint="default" w:ascii="Times New Roman" w:hAnsi="Times New Roman" w:eastAsia="宋体"/>
                <w:caps w:val="0"/>
                <w:color w:val="000000" w:themeColor="text1"/>
                <w:highlight w:val="none"/>
                <w:lang w:val="en-US" w:eastAsia="zh-CN"/>
                <w14:textFill>
                  <w14:solidFill>
                    <w14:schemeClr w14:val="tx1"/>
                  </w14:solidFill>
                </w14:textFill>
              </w:rPr>
            </w:pPr>
            <w:r>
              <w:rPr>
                <w:rFonts w:hint="eastAsia" w:ascii="Times New Roman" w:hAnsi="Times New Roman" w:eastAsia="宋体"/>
                <w:caps w:val="0"/>
                <w:color w:val="000000" w:themeColor="text1"/>
                <w:highlight w:val="none"/>
                <w:lang w:val="en-US" w:eastAsia="zh-CN"/>
                <w14:textFill>
                  <w14:solidFill>
                    <w14:schemeClr w14:val="tx1"/>
                  </w14:solidFill>
                </w14:textFill>
              </w:rPr>
              <w:t>根据原料组成成分分析，所有挥发份按照全部挥发计，故非甲烷总烃产生量约为0.24t/a，二甲苯产生量为1.39t/a。</w:t>
            </w:r>
            <w:r>
              <w:rPr>
                <w:rFonts w:hint="eastAsia" w:ascii="Times New Roman" w:hAnsi="Times New Roman" w:eastAsia="宋体" w:cs="Times New Roman"/>
                <w:b w:val="0"/>
                <w:bCs w:val="0"/>
                <w:caps w:val="0"/>
                <w:color w:val="000000" w:themeColor="text1"/>
                <w:highlight w:val="none"/>
                <w14:textFill>
                  <w14:solidFill>
                    <w14:schemeClr w14:val="tx1"/>
                  </w14:solidFill>
                </w14:textFill>
              </w:rPr>
              <w:t>年工作时间</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1200</w:t>
            </w:r>
            <w:r>
              <w:rPr>
                <w:rFonts w:hint="eastAsia" w:ascii="Times New Roman" w:hAnsi="Times New Roman" w:eastAsia="宋体" w:cs="Times New Roman"/>
                <w:b w:val="0"/>
                <w:bCs w:val="0"/>
                <w:caps w:val="0"/>
                <w:color w:val="000000" w:themeColor="text1"/>
                <w:highlight w:val="none"/>
                <w14:textFill>
                  <w14:solidFill>
                    <w14:schemeClr w14:val="tx1"/>
                  </w14:solidFill>
                </w14:textFill>
              </w:rPr>
              <w:t>h，</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浸漆废气采用</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1套两级活性炭吸附装置进行处理</w:t>
            </w:r>
            <w:r>
              <w:rPr>
                <w:rFonts w:hint="eastAsia" w:ascii="Times New Roman" w:hAnsi="Times New Roman" w:eastAsia="宋体" w:cs="Times New Roman"/>
                <w:b w:val="0"/>
                <w:bCs w:val="0"/>
                <w:caps w:val="0"/>
                <w:color w:val="000000" w:themeColor="text1"/>
                <w:highlight w:val="none"/>
                <w14:textFill>
                  <w14:solidFill>
                    <w14:schemeClr w14:val="tx1"/>
                  </w14:solidFill>
                </w14:textFill>
              </w:rPr>
              <w:t>收集效率不低于90 %，处理效率达90 %。</w:t>
            </w:r>
          </w:p>
          <w:p>
            <w:pPr>
              <w:pStyle w:val="29"/>
              <w:numPr>
                <w:numId w:val="0"/>
              </w:numPr>
              <w:spacing w:before="0" w:beforeAutospacing="0" w:after="0" w:afterAutospacing="0" w:line="480" w:lineRule="exact"/>
              <w:ind w:firstLine="480" w:firstLineChars="200"/>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3、焚烧炉</w:t>
            </w:r>
          </w:p>
          <w:p>
            <w:pPr>
              <w:pStyle w:val="29"/>
              <w:numPr>
                <w:ilvl w:val="0"/>
                <w:numId w:val="0"/>
              </w:numPr>
              <w:spacing w:before="0" w:beforeAutospacing="0" w:after="0" w:afterAutospacing="0" w:line="480" w:lineRule="exact"/>
              <w:ind w:firstLine="480" w:firstLineChars="200"/>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本项目</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焚烧炉</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用于处理</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铸件</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表面覆盖环氧树脂粉末，</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焚烧炉</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处理工件是在密闭炉膛内完成，</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燃油</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消耗量</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约</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为</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0.1t/a</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燃油</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废气排放量很小，忽略不计）</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与浸漆废气共同</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采用1套两级活性炭吸附装置进行处理，尾气经15m高排气筒排放。</w:t>
            </w:r>
          </w:p>
          <w:p>
            <w:pPr>
              <w:pStyle w:val="29"/>
              <w:numPr>
                <w:ilvl w:val="0"/>
                <w:numId w:val="0"/>
              </w:numPr>
              <w:spacing w:before="0" w:beforeAutospacing="0" w:after="0" w:afterAutospacing="0" w:line="480" w:lineRule="exact"/>
              <w:ind w:firstLine="480" w:firstLineChars="200"/>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pP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拟设计风机风量为</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5</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000m</w:t>
            </w:r>
            <w:r>
              <w:rPr>
                <w:rFonts w:hint="default" w:ascii="Times New Roman" w:hAnsi="Times New Roman" w:eastAsia="宋体" w:cs="Times New Roman"/>
                <w:b w:val="0"/>
                <w:bCs w:val="0"/>
                <w:caps w:val="0"/>
                <w:color w:val="000000" w:themeColor="text1"/>
                <w:highlight w:val="none"/>
                <w:vertAlign w:val="superscript"/>
                <w:lang w:val="en-US" w:eastAsia="zh-CN"/>
                <w14:textFill>
                  <w14:solidFill>
                    <w14:schemeClr w14:val="tx1"/>
                  </w14:solidFill>
                </w14:textFill>
              </w:rPr>
              <w:t>3</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/h，非甲烷总烃净化效率≥90%。</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铸件上</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的塑粉附着量约</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1</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t/a，估算塑粉燃烧后的非甲烷总烃产生量约0.</w:t>
            </w:r>
            <w:r>
              <w:rPr>
                <w:rFonts w:hint="eastAsia" w:ascii="Times New Roman" w:hAnsi="Times New Roman" w:eastAsia="宋体" w:cs="Times New Roman"/>
                <w:b w:val="0"/>
                <w:bCs w:val="0"/>
                <w:caps w:val="0"/>
                <w:color w:val="000000" w:themeColor="text1"/>
                <w:highlight w:val="none"/>
                <w:lang w:val="en-US" w:eastAsia="zh-CN"/>
                <w14:textFill>
                  <w14:solidFill>
                    <w14:schemeClr w14:val="tx1"/>
                  </w14:solidFill>
                </w14:textFill>
              </w:rPr>
              <w:t>1t/a</w:t>
            </w:r>
            <w:r>
              <w:rPr>
                <w:rFonts w:hint="default" w:ascii="Times New Roman" w:hAnsi="Times New Roman" w:eastAsia="宋体" w:cs="Times New Roman"/>
                <w:b w:val="0"/>
                <w:bCs w:val="0"/>
                <w:caps w:val="0"/>
                <w:color w:val="000000" w:themeColor="text1"/>
                <w:highlight w:val="none"/>
                <w:lang w:val="en-US" w:eastAsia="zh-CN"/>
                <w14:textFill>
                  <w14:solidFill>
                    <w14:schemeClr w14:val="tx1"/>
                  </w14:solidFill>
                </w14:textFill>
              </w:rPr>
              <w:t>。</w:t>
            </w:r>
          </w:p>
        </w:tc>
      </w:tr>
    </w:tbl>
    <w:p>
      <w:pPr>
        <w:spacing w:line="460" w:lineRule="exact"/>
        <w:rPr>
          <w:rFonts w:ascii="Times New Roman" w:hAnsi="Times New Roman" w:eastAsia="宋体"/>
          <w:b/>
          <w:caps w:val="0"/>
          <w:color w:val="000000" w:themeColor="text1"/>
          <w:szCs w:val="28"/>
          <w:highlight w:val="none"/>
          <w14:textFill>
            <w14:solidFill>
              <w14:schemeClr w14:val="tx1"/>
            </w14:solidFill>
          </w14:textFill>
        </w:rPr>
        <w:sectPr>
          <w:footerReference r:id="rId3" w:type="default"/>
          <w:pgSz w:w="11906" w:h="16838"/>
          <w:pgMar w:top="1440" w:right="1440" w:bottom="1440" w:left="1440" w:header="964" w:footer="992" w:gutter="0"/>
          <w:cols w:space="720" w:num="1"/>
          <w:docGrid w:type="lines" w:linePitch="312" w:charSpace="0"/>
        </w:sectPr>
      </w:pPr>
    </w:p>
    <w:p>
      <w:pPr>
        <w:spacing w:line="360" w:lineRule="auto"/>
        <w:ind w:firstLine="480"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项目有组织废气产生及排放情况见表</w:t>
      </w:r>
      <w:r>
        <w:rPr>
          <w:rFonts w:ascii="Times New Roman" w:hAnsi="Times New Roman" w:eastAsia="宋体"/>
          <w:bCs/>
          <w:caps w:val="0"/>
          <w:color w:val="000000" w:themeColor="text1"/>
          <w:sz w:val="24"/>
          <w:highlight w:val="none"/>
          <w14:textFill>
            <w14:solidFill>
              <w14:schemeClr w14:val="tx1"/>
            </w14:solidFill>
          </w14:textFill>
        </w:rPr>
        <w:t>5-</w:t>
      </w:r>
      <w:r>
        <w:rPr>
          <w:rFonts w:hint="eastAsia" w:ascii="Times New Roman" w:hAnsi="Times New Roman" w:eastAsia="宋体"/>
          <w:bCs/>
          <w:caps w:val="0"/>
          <w:color w:val="000000" w:themeColor="text1"/>
          <w:sz w:val="24"/>
          <w:highlight w:val="none"/>
          <w:lang w:val="en-US" w:eastAsia="zh-CN"/>
          <w14:textFill>
            <w14:solidFill>
              <w14:schemeClr w14:val="tx1"/>
            </w14:solidFill>
          </w14:textFill>
        </w:rPr>
        <w:t>1</w:t>
      </w:r>
      <w:r>
        <w:rPr>
          <w:rFonts w:ascii="Times New Roman" w:hAnsi="Times New Roman" w:eastAsia="宋体"/>
          <w:bCs/>
          <w:caps w:val="0"/>
          <w:color w:val="000000" w:themeColor="text1"/>
          <w:sz w:val="24"/>
          <w:highlight w:val="none"/>
          <w14:textFill>
            <w14:solidFill>
              <w14:schemeClr w14:val="tx1"/>
            </w14:solidFill>
          </w14:textFill>
        </w:rPr>
        <w:t>。</w:t>
      </w:r>
    </w:p>
    <w:p>
      <w:pPr>
        <w:spacing w:line="46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表5-</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1</w:t>
      </w:r>
      <w:r>
        <w:rPr>
          <w:rFonts w:ascii="Times New Roman" w:hAnsi="Times New Roman" w:eastAsia="宋体"/>
          <w:b/>
          <w:caps w:val="0"/>
          <w:color w:val="000000" w:themeColor="text1"/>
          <w:sz w:val="24"/>
          <w:highlight w:val="none"/>
          <w14:textFill>
            <w14:solidFill>
              <w14:schemeClr w14:val="tx1"/>
            </w14:solidFill>
          </w14:textFill>
        </w:rPr>
        <w:t xml:space="preserve"> 项目有组织废气产生及排放情况见表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764"/>
        <w:gridCol w:w="941"/>
        <w:gridCol w:w="859"/>
        <w:gridCol w:w="1145"/>
        <w:gridCol w:w="832"/>
        <w:gridCol w:w="832"/>
        <w:gridCol w:w="2073"/>
        <w:gridCol w:w="654"/>
        <w:gridCol w:w="1159"/>
        <w:gridCol w:w="1064"/>
        <w:gridCol w:w="777"/>
        <w:gridCol w:w="1119"/>
        <w:gridCol w:w="1083"/>
        <w:gridCol w:w="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9" w:type="pct"/>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排气筒</w:t>
            </w:r>
          </w:p>
        </w:tc>
        <w:tc>
          <w:tcPr>
            <w:tcW w:w="269" w:type="pct"/>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污染源</w:t>
            </w:r>
          </w:p>
        </w:tc>
        <w:tc>
          <w:tcPr>
            <w:tcW w:w="331" w:type="pct"/>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排风量</w:t>
            </w:r>
            <w:r>
              <w:rPr>
                <w:rFonts w:ascii="Times New Roman" w:hAnsi="Times New Roman" w:eastAsia="宋体"/>
                <w:b/>
                <w:bCs/>
                <w:caps w:val="0"/>
                <w:color w:val="000000" w:themeColor="text1"/>
                <w:kern w:val="0"/>
                <w:sz w:val="21"/>
                <w:szCs w:val="21"/>
                <w:highlight w:val="none"/>
                <w14:textFill>
                  <w14:solidFill>
                    <w14:schemeClr w14:val="tx1"/>
                  </w14:solidFill>
                </w14:textFill>
              </w:rPr>
              <w:t>(Nm</w:t>
            </w:r>
            <w:r>
              <w:rPr>
                <w:rFonts w:ascii="Times New Roman" w:hAnsi="Times New Roman" w:eastAsia="宋体"/>
                <w:b/>
                <w:bCs/>
                <w:caps w:val="0"/>
                <w:color w:val="000000" w:themeColor="text1"/>
                <w:kern w:val="0"/>
                <w:sz w:val="21"/>
                <w:szCs w:val="21"/>
                <w:highlight w:val="none"/>
                <w:vertAlign w:val="superscript"/>
                <w14:textFill>
                  <w14:solidFill>
                    <w14:schemeClr w14:val="tx1"/>
                  </w14:solidFill>
                </w14:textFill>
              </w:rPr>
              <w:t>3</w:t>
            </w:r>
            <w:r>
              <w:rPr>
                <w:rFonts w:ascii="Times New Roman" w:hAnsi="Times New Roman" w:eastAsia="宋体"/>
                <w:b/>
                <w:bCs/>
                <w:caps w:val="0"/>
                <w:color w:val="000000" w:themeColor="text1"/>
                <w:kern w:val="0"/>
                <w:sz w:val="21"/>
                <w:szCs w:val="21"/>
                <w:highlight w:val="none"/>
                <w14:textFill>
                  <w14:solidFill>
                    <w14:schemeClr w14:val="tx1"/>
                  </w14:solidFill>
                </w14:textFill>
              </w:rPr>
              <w:t>/h)</w:t>
            </w:r>
          </w:p>
        </w:tc>
        <w:tc>
          <w:tcPr>
            <w:tcW w:w="303" w:type="pct"/>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污染物</w:t>
            </w:r>
          </w:p>
        </w:tc>
        <w:tc>
          <w:tcPr>
            <w:tcW w:w="990" w:type="pct"/>
            <w:gridSpan w:val="3"/>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产生情况</w:t>
            </w:r>
          </w:p>
        </w:tc>
        <w:tc>
          <w:tcPr>
            <w:tcW w:w="731" w:type="pct"/>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治理措施</w:t>
            </w:r>
          </w:p>
        </w:tc>
        <w:tc>
          <w:tcPr>
            <w:tcW w:w="230" w:type="pct"/>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处理效率</w:t>
            </w:r>
          </w:p>
        </w:tc>
        <w:tc>
          <w:tcPr>
            <w:tcW w:w="1058" w:type="pct"/>
            <w:gridSpan w:val="3"/>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排放情况</w:t>
            </w:r>
          </w:p>
        </w:tc>
        <w:tc>
          <w:tcPr>
            <w:tcW w:w="776" w:type="pct"/>
            <w:gridSpan w:val="2"/>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排放标准</w:t>
            </w:r>
          </w:p>
        </w:tc>
        <w:tc>
          <w:tcPr>
            <w:tcW w:w="138" w:type="pct"/>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9"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269"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331"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303"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990" w:type="pct"/>
            <w:gridSpan w:val="3"/>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731"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230"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1058" w:type="pct"/>
            <w:gridSpan w:val="3"/>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776" w:type="pct"/>
            <w:gridSpan w:val="2"/>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138"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269"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331"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303"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403"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浓度</w:t>
            </w:r>
            <w:r>
              <w:rPr>
                <w:rFonts w:ascii="Times New Roman" w:hAnsi="Times New Roman" w:eastAsia="宋体"/>
                <w:b/>
                <w:bCs/>
                <w:caps w:val="0"/>
                <w:color w:val="000000" w:themeColor="text1"/>
                <w:kern w:val="0"/>
                <w:sz w:val="21"/>
                <w:szCs w:val="21"/>
                <w:highlight w:val="none"/>
                <w14:textFill>
                  <w14:solidFill>
                    <w14:schemeClr w14:val="tx1"/>
                  </w14:solidFill>
                </w14:textFill>
              </w:rPr>
              <w:t xml:space="preserve"> </w:t>
            </w:r>
          </w:p>
        </w:tc>
        <w:tc>
          <w:tcPr>
            <w:tcW w:w="293"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速率</w:t>
            </w:r>
          </w:p>
        </w:tc>
        <w:tc>
          <w:tcPr>
            <w:tcW w:w="293"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产生量</w:t>
            </w:r>
          </w:p>
        </w:tc>
        <w:tc>
          <w:tcPr>
            <w:tcW w:w="731"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230"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408"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浓度</w:t>
            </w:r>
          </w:p>
        </w:tc>
        <w:tc>
          <w:tcPr>
            <w:tcW w:w="375"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排放速率</w:t>
            </w:r>
          </w:p>
        </w:tc>
        <w:tc>
          <w:tcPr>
            <w:tcW w:w="274"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排放量</w:t>
            </w:r>
          </w:p>
        </w:tc>
        <w:tc>
          <w:tcPr>
            <w:tcW w:w="394" w:type="pc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最高允许排放浓度</w:t>
            </w:r>
          </w:p>
        </w:tc>
        <w:tc>
          <w:tcPr>
            <w:tcW w:w="382" w:type="pct"/>
            <w:shd w:val="clear" w:color="auto" w:fill="auto"/>
            <w:vAlign w:val="center"/>
          </w:tcPr>
          <w:p>
            <w:pPr>
              <w:widowControl/>
              <w:jc w:val="center"/>
              <w:rPr>
                <w:rFonts w:hint="eastAsia"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最高允许</w:t>
            </w:r>
          </w:p>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排放速率</w:t>
            </w:r>
          </w:p>
        </w:tc>
        <w:tc>
          <w:tcPr>
            <w:tcW w:w="138"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269"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331"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303"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403"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r>
              <w:rPr>
                <w:rFonts w:ascii="Times New Roman" w:hAnsi="Times New Roman" w:eastAsia="宋体"/>
                <w:b/>
                <w:bCs/>
                <w:caps w:val="0"/>
                <w:color w:val="000000" w:themeColor="text1"/>
                <w:kern w:val="0"/>
                <w:sz w:val="21"/>
                <w:szCs w:val="21"/>
                <w:highlight w:val="none"/>
                <w14:textFill>
                  <w14:solidFill>
                    <w14:schemeClr w14:val="tx1"/>
                  </w14:solidFill>
                </w14:textFill>
              </w:rPr>
              <w:t>mg/m</w:t>
            </w:r>
            <w:r>
              <w:rPr>
                <w:rFonts w:ascii="Times New Roman" w:hAnsi="Times New Roman" w:eastAsia="宋体"/>
                <w:b/>
                <w:bCs/>
                <w:caps w:val="0"/>
                <w:color w:val="000000" w:themeColor="text1"/>
                <w:kern w:val="0"/>
                <w:sz w:val="21"/>
                <w:szCs w:val="21"/>
                <w:highlight w:val="none"/>
                <w:vertAlign w:val="superscript"/>
                <w14:textFill>
                  <w14:solidFill>
                    <w14:schemeClr w14:val="tx1"/>
                  </w14:solidFill>
                </w14:textFill>
              </w:rPr>
              <w:t>3</w:t>
            </w: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p>
        </w:tc>
        <w:tc>
          <w:tcPr>
            <w:tcW w:w="293"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(kg/h)</w:t>
            </w:r>
          </w:p>
        </w:tc>
        <w:tc>
          <w:tcPr>
            <w:tcW w:w="293"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r>
              <w:rPr>
                <w:rFonts w:ascii="Times New Roman" w:hAnsi="Times New Roman" w:eastAsia="宋体"/>
                <w:b/>
                <w:bCs/>
                <w:caps w:val="0"/>
                <w:color w:val="000000" w:themeColor="text1"/>
                <w:kern w:val="0"/>
                <w:sz w:val="21"/>
                <w:szCs w:val="21"/>
                <w:highlight w:val="none"/>
                <w14:textFill>
                  <w14:solidFill>
                    <w14:schemeClr w14:val="tx1"/>
                  </w14:solidFill>
                </w14:textFill>
              </w:rPr>
              <w:t>t/a</w:t>
            </w: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p>
        </w:tc>
        <w:tc>
          <w:tcPr>
            <w:tcW w:w="731"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230"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408"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r>
              <w:rPr>
                <w:rFonts w:ascii="Times New Roman" w:hAnsi="Times New Roman" w:eastAsia="宋体"/>
                <w:b/>
                <w:bCs/>
                <w:caps w:val="0"/>
                <w:color w:val="000000" w:themeColor="text1"/>
                <w:kern w:val="0"/>
                <w:sz w:val="21"/>
                <w:szCs w:val="21"/>
                <w:highlight w:val="none"/>
                <w14:textFill>
                  <w14:solidFill>
                    <w14:schemeClr w14:val="tx1"/>
                  </w14:solidFill>
                </w14:textFill>
              </w:rPr>
              <w:t>mg/m</w:t>
            </w:r>
            <w:r>
              <w:rPr>
                <w:rFonts w:ascii="Times New Roman" w:hAnsi="Times New Roman" w:eastAsia="宋体"/>
                <w:b/>
                <w:bCs/>
                <w:caps w:val="0"/>
                <w:color w:val="000000" w:themeColor="text1"/>
                <w:kern w:val="0"/>
                <w:sz w:val="21"/>
                <w:szCs w:val="21"/>
                <w:highlight w:val="none"/>
                <w:vertAlign w:val="superscript"/>
                <w14:textFill>
                  <w14:solidFill>
                    <w14:schemeClr w14:val="tx1"/>
                  </w14:solidFill>
                </w14:textFill>
              </w:rPr>
              <w:t>3</w:t>
            </w: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p>
        </w:tc>
        <w:tc>
          <w:tcPr>
            <w:tcW w:w="375"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r>
              <w:rPr>
                <w:rFonts w:ascii="Times New Roman" w:hAnsi="Times New Roman" w:eastAsia="宋体"/>
                <w:b/>
                <w:bCs/>
                <w:caps w:val="0"/>
                <w:color w:val="000000" w:themeColor="text1"/>
                <w:kern w:val="0"/>
                <w:sz w:val="21"/>
                <w:szCs w:val="21"/>
                <w:highlight w:val="none"/>
                <w14:textFill>
                  <w14:solidFill>
                    <w14:schemeClr w14:val="tx1"/>
                  </w14:solidFill>
                </w14:textFill>
              </w:rPr>
              <w:t>kg/h</w:t>
            </w: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p>
        </w:tc>
        <w:tc>
          <w:tcPr>
            <w:tcW w:w="274"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r>
              <w:rPr>
                <w:rFonts w:ascii="Times New Roman" w:hAnsi="Times New Roman" w:eastAsia="宋体"/>
                <w:b/>
                <w:bCs/>
                <w:caps w:val="0"/>
                <w:color w:val="000000" w:themeColor="text1"/>
                <w:kern w:val="0"/>
                <w:sz w:val="21"/>
                <w:szCs w:val="21"/>
                <w:highlight w:val="none"/>
                <w14:textFill>
                  <w14:solidFill>
                    <w14:schemeClr w14:val="tx1"/>
                  </w14:solidFill>
                </w14:textFill>
              </w:rPr>
              <w:t>t/a</w:t>
            </w: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p>
        </w:tc>
        <w:tc>
          <w:tcPr>
            <w:tcW w:w="394"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r>
              <w:rPr>
                <w:rFonts w:ascii="Times New Roman" w:hAnsi="Times New Roman" w:eastAsia="宋体"/>
                <w:b/>
                <w:bCs/>
                <w:caps w:val="0"/>
                <w:color w:val="000000" w:themeColor="text1"/>
                <w:kern w:val="0"/>
                <w:sz w:val="21"/>
                <w:szCs w:val="21"/>
                <w:highlight w:val="none"/>
                <w14:textFill>
                  <w14:solidFill>
                    <w14:schemeClr w14:val="tx1"/>
                  </w14:solidFill>
                </w14:textFill>
              </w:rPr>
              <w:t>mg/m</w:t>
            </w:r>
            <w:r>
              <w:rPr>
                <w:rFonts w:ascii="Times New Roman" w:hAnsi="Times New Roman" w:eastAsia="宋体"/>
                <w:b/>
                <w:bCs/>
                <w:caps w:val="0"/>
                <w:color w:val="000000" w:themeColor="text1"/>
                <w:kern w:val="0"/>
                <w:sz w:val="21"/>
                <w:szCs w:val="21"/>
                <w:highlight w:val="none"/>
                <w:vertAlign w:val="superscript"/>
                <w14:textFill>
                  <w14:solidFill>
                    <w14:schemeClr w14:val="tx1"/>
                  </w14:solidFill>
                </w14:textFill>
              </w:rPr>
              <w:t>3</w:t>
            </w: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p>
        </w:tc>
        <w:tc>
          <w:tcPr>
            <w:tcW w:w="382" w:type="pct"/>
            <w:shd w:val="clear" w:color="auto" w:fill="auto"/>
            <w:vAlign w:val="center"/>
          </w:tcPr>
          <w:p>
            <w:pPr>
              <w:widowControl/>
              <w:spacing w:line="320" w:lineRule="exact"/>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r>
              <w:rPr>
                <w:rFonts w:ascii="Times New Roman" w:hAnsi="Times New Roman" w:eastAsia="宋体"/>
                <w:b/>
                <w:bCs/>
                <w:caps w:val="0"/>
                <w:color w:val="000000" w:themeColor="text1"/>
                <w:kern w:val="0"/>
                <w:sz w:val="21"/>
                <w:szCs w:val="21"/>
                <w:highlight w:val="none"/>
                <w14:textFill>
                  <w14:solidFill>
                    <w14:schemeClr w14:val="tx1"/>
                  </w14:solidFill>
                </w14:textFill>
              </w:rPr>
              <w:t>kg/h</w:t>
            </w:r>
            <w:r>
              <w:rPr>
                <w:rFonts w:hint="eastAsia" w:ascii="Times New Roman" w:hAnsi="Times New Roman" w:eastAsia="宋体"/>
                <w:b/>
                <w:bCs/>
                <w:caps w:val="0"/>
                <w:color w:val="000000" w:themeColor="text1"/>
                <w:kern w:val="0"/>
                <w:sz w:val="21"/>
                <w:szCs w:val="21"/>
                <w:highlight w:val="none"/>
                <w14:textFill>
                  <w14:solidFill>
                    <w14:schemeClr w14:val="tx1"/>
                  </w14:solidFill>
                </w14:textFill>
              </w:rPr>
              <w:t>）</w:t>
            </w:r>
          </w:p>
        </w:tc>
        <w:tc>
          <w:tcPr>
            <w:tcW w:w="138" w:type="pct"/>
            <w:vMerge w:val="continue"/>
            <w:vAlign w:val="center"/>
          </w:tcPr>
          <w:p>
            <w:pPr>
              <w:widowControl/>
              <w:jc w:val="left"/>
              <w:rPr>
                <w:rFonts w:ascii="Times New Roman" w:hAnsi="Times New Roman" w:eastAsia="宋体"/>
                <w:b/>
                <w:bCs/>
                <w:caps w:val="0"/>
                <w:color w:val="000000" w:themeColor="text1"/>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shd w:val="clear" w:color="auto" w:fill="auto"/>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6</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c>
          <w:tcPr>
            <w:tcW w:w="269" w:type="pct"/>
            <w:shd w:val="clear" w:color="auto" w:fill="auto"/>
            <w:noWrap/>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抛丸</w:t>
            </w:r>
          </w:p>
        </w:tc>
        <w:tc>
          <w:tcPr>
            <w:tcW w:w="331" w:type="pct"/>
            <w:shd w:val="clear" w:color="auto" w:fill="auto"/>
            <w:noWrap/>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1</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0000</w:t>
            </w:r>
          </w:p>
        </w:tc>
        <w:tc>
          <w:tcPr>
            <w:tcW w:w="303" w:type="pct"/>
            <w:shd w:val="clear" w:color="auto" w:fill="auto"/>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颗粒物</w:t>
            </w:r>
          </w:p>
        </w:tc>
        <w:tc>
          <w:tcPr>
            <w:tcW w:w="403" w:type="pct"/>
            <w:shd w:val="clear" w:color="auto" w:fill="auto"/>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75</w:t>
            </w:r>
            <w:r>
              <w:rPr>
                <w:rFonts w:ascii="Times New Roman" w:hAnsi="Times New Roman" w:eastAsia="宋体"/>
                <w:caps w:val="0"/>
                <w:color w:val="000000" w:themeColor="text1"/>
                <w:kern w:val="0"/>
                <w:sz w:val="21"/>
                <w:szCs w:val="21"/>
                <w:highlight w:val="none"/>
                <w14:textFill>
                  <w14:solidFill>
                    <w14:schemeClr w14:val="tx1"/>
                  </w14:solidFill>
                </w14:textFill>
              </w:rPr>
              <w:t xml:space="preserve"> </w:t>
            </w:r>
          </w:p>
        </w:tc>
        <w:tc>
          <w:tcPr>
            <w:tcW w:w="293"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0.75</w:t>
            </w:r>
          </w:p>
        </w:tc>
        <w:tc>
          <w:tcPr>
            <w:tcW w:w="293"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0.9</w:t>
            </w:r>
          </w:p>
        </w:tc>
        <w:tc>
          <w:tcPr>
            <w:tcW w:w="731" w:type="pct"/>
            <w:shd w:val="clear" w:color="auto" w:fill="auto"/>
            <w:noWrap/>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1</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套脉冲式布袋除尘器</w:t>
            </w:r>
            <w:r>
              <w:rPr>
                <w:rFonts w:ascii="Times New Roman" w:hAnsi="Times New Roman" w:eastAsia="宋体"/>
                <w:caps w:val="0"/>
                <w:color w:val="000000" w:themeColor="text1"/>
                <w:kern w:val="0"/>
                <w:sz w:val="21"/>
                <w:szCs w:val="21"/>
                <w:highlight w:val="none"/>
                <w14:textFill>
                  <w14:solidFill>
                    <w14:schemeClr w14:val="tx1"/>
                  </w14:solidFill>
                </w14:textFill>
              </w:rPr>
              <w:t>+15m</w:t>
            </w:r>
            <w:r>
              <w:rPr>
                <w:rFonts w:hint="eastAsia" w:ascii="Times New Roman" w:hAnsi="Times New Roman" w:eastAsia="宋体"/>
                <w:caps w:val="0"/>
                <w:color w:val="000000" w:themeColor="text1"/>
                <w:kern w:val="0"/>
                <w:sz w:val="21"/>
                <w:szCs w:val="21"/>
                <w:highlight w:val="none"/>
                <w14:textFill>
                  <w14:solidFill>
                    <w14:schemeClr w14:val="tx1"/>
                  </w14:solidFill>
                </w14:textFill>
              </w:rPr>
              <w:t>高排气筒</w:t>
            </w:r>
          </w:p>
        </w:tc>
        <w:tc>
          <w:tcPr>
            <w:tcW w:w="230" w:type="pct"/>
            <w:shd w:val="clear" w:color="auto" w:fill="auto"/>
            <w:noWrap/>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9</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9</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c>
          <w:tcPr>
            <w:tcW w:w="408"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0.75</w:t>
            </w:r>
          </w:p>
        </w:tc>
        <w:tc>
          <w:tcPr>
            <w:tcW w:w="375"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0.0075</w:t>
            </w:r>
          </w:p>
        </w:tc>
        <w:tc>
          <w:tcPr>
            <w:tcW w:w="274"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0.009</w:t>
            </w:r>
          </w:p>
        </w:tc>
        <w:tc>
          <w:tcPr>
            <w:tcW w:w="394" w:type="pct"/>
            <w:shd w:val="clear" w:color="auto" w:fill="auto"/>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30</w:t>
            </w:r>
          </w:p>
        </w:tc>
        <w:tc>
          <w:tcPr>
            <w:tcW w:w="382" w:type="pct"/>
            <w:shd w:val="clear" w:color="auto" w:fill="auto"/>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1.5</w:t>
            </w:r>
          </w:p>
        </w:tc>
        <w:tc>
          <w:tcPr>
            <w:tcW w:w="138" w:type="pct"/>
            <w:shd w:val="clear" w:color="auto" w:fill="auto"/>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restart"/>
            <w:shd w:val="clear" w:color="auto" w:fill="auto"/>
            <w:vAlign w:val="center"/>
          </w:tcPr>
          <w:p>
            <w:pPr>
              <w:widowControl/>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7</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c>
          <w:tcPr>
            <w:tcW w:w="269" w:type="pct"/>
            <w:vMerge w:val="restart"/>
            <w:shd w:val="clear" w:color="auto" w:fill="auto"/>
            <w:noWrap/>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浸漆、焚烧炉</w:t>
            </w:r>
          </w:p>
        </w:tc>
        <w:tc>
          <w:tcPr>
            <w:tcW w:w="331" w:type="pct"/>
            <w:vMerge w:val="restart"/>
            <w:shd w:val="clear" w:color="auto" w:fill="auto"/>
            <w:noWrap/>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5000</w:t>
            </w:r>
          </w:p>
        </w:tc>
        <w:tc>
          <w:tcPr>
            <w:tcW w:w="303" w:type="pct"/>
            <w:shd w:val="clear" w:color="auto" w:fill="auto"/>
            <w:vAlign w:val="center"/>
          </w:tcPr>
          <w:p>
            <w:pPr>
              <w:widowControl/>
              <w:spacing w:line="320" w:lineRule="exact"/>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非甲烷总烃</w:t>
            </w:r>
          </w:p>
        </w:tc>
        <w:tc>
          <w:tcPr>
            <w:tcW w:w="403"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51</w:t>
            </w:r>
          </w:p>
        </w:tc>
        <w:tc>
          <w:tcPr>
            <w:tcW w:w="293"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0.255</w:t>
            </w:r>
          </w:p>
        </w:tc>
        <w:tc>
          <w:tcPr>
            <w:tcW w:w="293"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0.306</w:t>
            </w:r>
          </w:p>
        </w:tc>
        <w:tc>
          <w:tcPr>
            <w:tcW w:w="731" w:type="pct"/>
            <w:vMerge w:val="restart"/>
            <w:shd w:val="clear" w:color="auto" w:fill="auto"/>
            <w:noWrap/>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1</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套</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两级活性炭装置</w:t>
            </w:r>
            <w:r>
              <w:rPr>
                <w:rFonts w:ascii="Times New Roman" w:hAnsi="Times New Roman" w:eastAsia="宋体"/>
                <w:caps w:val="0"/>
                <w:color w:val="000000" w:themeColor="text1"/>
                <w:kern w:val="0"/>
                <w:sz w:val="21"/>
                <w:szCs w:val="21"/>
                <w:highlight w:val="none"/>
                <w14:textFill>
                  <w14:solidFill>
                    <w14:schemeClr w14:val="tx1"/>
                  </w14:solidFill>
                </w14:textFill>
              </w:rPr>
              <w:t>+15m</w:t>
            </w:r>
            <w:r>
              <w:rPr>
                <w:rFonts w:hint="eastAsia" w:ascii="Times New Roman" w:hAnsi="Times New Roman" w:eastAsia="宋体"/>
                <w:caps w:val="0"/>
                <w:color w:val="000000" w:themeColor="text1"/>
                <w:kern w:val="0"/>
                <w:sz w:val="21"/>
                <w:szCs w:val="21"/>
                <w:highlight w:val="none"/>
                <w14:textFill>
                  <w14:solidFill>
                    <w14:schemeClr w14:val="tx1"/>
                  </w14:solidFill>
                </w14:textFill>
              </w:rPr>
              <w:t>高排气筒</w:t>
            </w:r>
          </w:p>
        </w:tc>
        <w:tc>
          <w:tcPr>
            <w:tcW w:w="230" w:type="pct"/>
            <w:shd w:val="clear" w:color="auto" w:fill="auto"/>
            <w:noWrap/>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9</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c>
          <w:tcPr>
            <w:tcW w:w="408"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5.1</w:t>
            </w:r>
          </w:p>
        </w:tc>
        <w:tc>
          <w:tcPr>
            <w:tcW w:w="375"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0.026</w:t>
            </w:r>
          </w:p>
        </w:tc>
        <w:tc>
          <w:tcPr>
            <w:tcW w:w="274"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0.031</w:t>
            </w:r>
          </w:p>
        </w:tc>
        <w:tc>
          <w:tcPr>
            <w:tcW w:w="394"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70</w:t>
            </w:r>
          </w:p>
        </w:tc>
        <w:tc>
          <w:tcPr>
            <w:tcW w:w="382"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3.0</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9" w:type="pct"/>
            <w:vMerge w:val="continue"/>
            <w:tcBorders/>
            <w:shd w:val="clear" w:color="auto" w:fill="auto"/>
            <w:vAlign w:val="center"/>
          </w:tcPr>
          <w:p>
            <w:pPr>
              <w:widowControl/>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p>
        </w:tc>
        <w:tc>
          <w:tcPr>
            <w:tcW w:w="269" w:type="pct"/>
            <w:vMerge w:val="continue"/>
            <w:shd w:val="clear" w:color="auto" w:fill="auto"/>
            <w:noWrap/>
            <w:vAlign w:val="center"/>
          </w:tcPr>
          <w:p>
            <w:pPr>
              <w:widowControl/>
              <w:spacing w:line="320" w:lineRule="exact"/>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p>
        </w:tc>
        <w:tc>
          <w:tcPr>
            <w:tcW w:w="331" w:type="pct"/>
            <w:vMerge w:val="continue"/>
            <w:tcBorders/>
            <w:shd w:val="clear" w:color="auto" w:fill="auto"/>
            <w:noWrap/>
            <w:vAlign w:val="center"/>
          </w:tcPr>
          <w:p>
            <w:pPr>
              <w:widowControl/>
              <w:spacing w:line="320" w:lineRule="exact"/>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p>
        </w:tc>
        <w:tc>
          <w:tcPr>
            <w:tcW w:w="303"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二甲苯</w:t>
            </w:r>
          </w:p>
        </w:tc>
        <w:tc>
          <w:tcPr>
            <w:tcW w:w="403"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104.2</w:t>
            </w:r>
          </w:p>
        </w:tc>
        <w:tc>
          <w:tcPr>
            <w:tcW w:w="293"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0.521</w:t>
            </w:r>
          </w:p>
        </w:tc>
        <w:tc>
          <w:tcPr>
            <w:tcW w:w="293"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1.251</w:t>
            </w:r>
          </w:p>
        </w:tc>
        <w:tc>
          <w:tcPr>
            <w:tcW w:w="731" w:type="pct"/>
            <w:vMerge w:val="continue"/>
            <w:shd w:val="clear" w:color="auto" w:fill="auto"/>
            <w:noWrap/>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230" w:type="pct"/>
            <w:shd w:val="clear" w:color="auto" w:fill="auto"/>
            <w:noWrap/>
            <w:vAlign w:val="center"/>
          </w:tcPr>
          <w:p>
            <w:pPr>
              <w:widowControl/>
              <w:spacing w:line="32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9</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c>
          <w:tcPr>
            <w:tcW w:w="408"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10.42</w:t>
            </w:r>
          </w:p>
        </w:tc>
        <w:tc>
          <w:tcPr>
            <w:tcW w:w="375"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0.052</w:t>
            </w:r>
          </w:p>
        </w:tc>
        <w:tc>
          <w:tcPr>
            <w:tcW w:w="274"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0.125</w:t>
            </w:r>
          </w:p>
        </w:tc>
        <w:tc>
          <w:tcPr>
            <w:tcW w:w="394"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20</w:t>
            </w:r>
          </w:p>
        </w:tc>
        <w:tc>
          <w:tcPr>
            <w:tcW w:w="382" w:type="pct"/>
            <w:shd w:val="clear" w:color="auto" w:fill="auto"/>
            <w:vAlign w:val="center"/>
          </w:tcPr>
          <w:p>
            <w:pPr>
              <w:widowControl/>
              <w:spacing w:line="32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0.8</w:t>
            </w:r>
          </w:p>
        </w:tc>
        <w:tc>
          <w:tcPr>
            <w:tcW w:w="138" w:type="pct"/>
            <w:shd w:val="clear" w:color="auto" w:fill="auto"/>
            <w:vAlign w:val="center"/>
          </w:tcPr>
          <w:p>
            <w:pPr>
              <w:widowControl/>
              <w:spacing w:line="320" w:lineRule="exact"/>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达标</w:t>
            </w:r>
          </w:p>
        </w:tc>
      </w:tr>
    </w:tbl>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项目无组织废气排放情况汇总表见下表5-</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w:t>
      </w:r>
    </w:p>
    <w:p>
      <w:pPr>
        <w:pStyle w:val="92"/>
        <w:spacing w:line="440" w:lineRule="exact"/>
        <w:ind w:firstLine="482"/>
        <w:jc w:val="center"/>
        <w:rPr>
          <w:rFonts w:ascii="Times New Roman" w:hAnsi="Times New Roman" w:eastAsia="宋体"/>
          <w:b/>
          <w:caps w:val="0"/>
          <w:color w:val="000000" w:themeColor="text1"/>
          <w:highlight w:val="none"/>
          <w14:textFill>
            <w14:solidFill>
              <w14:schemeClr w14:val="tx1"/>
            </w14:solidFill>
          </w14:textFill>
        </w:rPr>
      </w:pPr>
      <w:r>
        <w:rPr>
          <w:rFonts w:ascii="Times New Roman" w:hAnsi="Times New Roman" w:eastAsia="宋体"/>
          <w:b/>
          <w:caps w:val="0"/>
          <w:color w:val="000000" w:themeColor="text1"/>
          <w:highlight w:val="none"/>
          <w14:textFill>
            <w14:solidFill>
              <w14:schemeClr w14:val="tx1"/>
            </w14:solidFill>
          </w14:textFill>
        </w:rPr>
        <w:t>表5-</w:t>
      </w:r>
      <w:r>
        <w:rPr>
          <w:rFonts w:hint="eastAsia" w:ascii="Times New Roman" w:hAnsi="Times New Roman" w:eastAsia="宋体"/>
          <w:b/>
          <w:caps w:val="0"/>
          <w:color w:val="000000" w:themeColor="text1"/>
          <w:highlight w:val="none"/>
          <w:lang w:val="en-US" w:eastAsia="zh-CN"/>
          <w14:textFill>
            <w14:solidFill>
              <w14:schemeClr w14:val="tx1"/>
            </w14:solidFill>
          </w14:textFill>
        </w:rPr>
        <w:t>2</w:t>
      </w:r>
      <w:r>
        <w:rPr>
          <w:rFonts w:ascii="Times New Roman" w:hAnsi="Times New Roman" w:eastAsia="宋体"/>
          <w:b/>
          <w:caps w:val="0"/>
          <w:color w:val="000000" w:themeColor="text1"/>
          <w:highlight w:val="none"/>
          <w14:textFill>
            <w14:solidFill>
              <w14:schemeClr w14:val="tx1"/>
            </w14:solidFill>
          </w14:textFill>
        </w:rPr>
        <w:t xml:space="preserve"> 项目无组织废气排放情况汇总表</w:t>
      </w:r>
      <w:r>
        <w:rPr>
          <w:rFonts w:ascii="Times New Roman" w:hAnsi="Times New Roman" w:eastAsia="宋体"/>
          <w:b/>
          <w:caps w:val="0"/>
          <w:color w:val="000000" w:themeColor="text1"/>
          <w:highlight w:val="none"/>
          <w14:textFill>
            <w14:solidFill>
              <w14:schemeClr w14:val="tx1"/>
            </w14:solidFill>
          </w14:textFill>
        </w:rPr>
        <w:tab/>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6"/>
        <w:gridCol w:w="2134"/>
        <w:gridCol w:w="1956"/>
        <w:gridCol w:w="2137"/>
        <w:gridCol w:w="2137"/>
        <w:gridCol w:w="2137"/>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69" w:type="pct"/>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污染源</w:t>
            </w:r>
          </w:p>
        </w:tc>
        <w:tc>
          <w:tcPr>
            <w:tcW w:w="753" w:type="pct"/>
            <w:vMerge w:val="restar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污染物</w:t>
            </w:r>
          </w:p>
        </w:tc>
        <w:tc>
          <w:tcPr>
            <w:tcW w:w="690" w:type="pc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排放速率</w:t>
            </w:r>
          </w:p>
        </w:tc>
        <w:tc>
          <w:tcPr>
            <w:tcW w:w="754" w:type="pc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排放量</w:t>
            </w:r>
          </w:p>
        </w:tc>
        <w:tc>
          <w:tcPr>
            <w:tcW w:w="2131" w:type="pct"/>
            <w:gridSpan w:val="3"/>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面源参数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669" w:type="pct"/>
            <w:vMerge w:val="continue"/>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753" w:type="pct"/>
            <w:vMerge w:val="continue"/>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p>
        </w:tc>
        <w:tc>
          <w:tcPr>
            <w:tcW w:w="690" w:type="pc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（kg/h）</w:t>
            </w:r>
          </w:p>
        </w:tc>
        <w:tc>
          <w:tcPr>
            <w:tcW w:w="754" w:type="pc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（t/a）</w:t>
            </w:r>
          </w:p>
        </w:tc>
        <w:tc>
          <w:tcPr>
            <w:tcW w:w="754" w:type="pc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长度（m）</w:t>
            </w:r>
          </w:p>
        </w:tc>
        <w:tc>
          <w:tcPr>
            <w:tcW w:w="754" w:type="pc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宽度（m）</w:t>
            </w:r>
          </w:p>
        </w:tc>
        <w:tc>
          <w:tcPr>
            <w:tcW w:w="623" w:type="pct"/>
            <w:shd w:val="clear" w:color="auto" w:fill="auto"/>
            <w:vAlign w:val="center"/>
          </w:tcPr>
          <w:p>
            <w:pPr>
              <w:widowControl/>
              <w:jc w:val="center"/>
              <w:rPr>
                <w:rFonts w:ascii="Times New Roman" w:hAnsi="Times New Roman" w:eastAsia="宋体"/>
                <w:b/>
                <w:bCs/>
                <w:caps w:val="0"/>
                <w:color w:val="000000" w:themeColor="text1"/>
                <w:kern w:val="0"/>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9" w:type="pct"/>
            <w:vAlign w:val="center"/>
          </w:tcPr>
          <w:p>
            <w:pPr>
              <w:widowControl/>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抛丸</w:t>
            </w:r>
          </w:p>
        </w:tc>
        <w:tc>
          <w:tcPr>
            <w:tcW w:w="753" w:type="pct"/>
            <w:shd w:val="clear" w:color="auto" w:fill="auto"/>
            <w:vAlign w:val="center"/>
          </w:tcPr>
          <w:p>
            <w:pPr>
              <w:widowControl/>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颗粒物</w:t>
            </w:r>
          </w:p>
        </w:tc>
        <w:tc>
          <w:tcPr>
            <w:tcW w:w="690" w:type="pct"/>
            <w:shd w:val="clear" w:color="auto" w:fill="auto"/>
            <w:vAlign w:val="center"/>
          </w:tcPr>
          <w:p>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0.083</w:t>
            </w:r>
          </w:p>
        </w:tc>
        <w:tc>
          <w:tcPr>
            <w:tcW w:w="754" w:type="pct"/>
            <w:shd w:val="clear" w:color="auto" w:fill="auto"/>
            <w:vAlign w:val="center"/>
          </w:tcPr>
          <w:p>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0.1</w:t>
            </w:r>
          </w:p>
        </w:tc>
        <w:tc>
          <w:tcPr>
            <w:tcW w:w="754" w:type="pct"/>
            <w:vMerge w:val="restart"/>
            <w:vAlign w:val="center"/>
          </w:tcPr>
          <w:p>
            <w:pPr>
              <w:widowControl/>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134</w:t>
            </w:r>
          </w:p>
        </w:tc>
        <w:tc>
          <w:tcPr>
            <w:tcW w:w="754" w:type="pct"/>
            <w:vMerge w:val="restart"/>
            <w:vAlign w:val="center"/>
          </w:tcPr>
          <w:p>
            <w:pPr>
              <w:widowControl/>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42</w:t>
            </w:r>
          </w:p>
        </w:tc>
        <w:tc>
          <w:tcPr>
            <w:tcW w:w="623" w:type="pct"/>
            <w:vMerge w:val="restart"/>
            <w:vAlign w:val="center"/>
          </w:tcPr>
          <w:p>
            <w:pPr>
              <w:widowControl/>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69" w:type="pct"/>
            <w:vMerge w:val="restart"/>
            <w:vAlign w:val="center"/>
          </w:tcPr>
          <w:p>
            <w:pPr>
              <w:widowControl/>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kern w:val="0"/>
                <w:sz w:val="21"/>
                <w:szCs w:val="21"/>
                <w:highlight w:val="none"/>
                <w:lang w:val="en-US" w:eastAsia="zh-CN"/>
                <w14:textFill>
                  <w14:solidFill>
                    <w14:schemeClr w14:val="tx1"/>
                  </w14:solidFill>
                </w14:textFill>
              </w:rPr>
              <w:t>浸漆、焚烧炉</w:t>
            </w:r>
          </w:p>
        </w:tc>
        <w:tc>
          <w:tcPr>
            <w:tcW w:w="753" w:type="pct"/>
            <w:shd w:val="clear" w:color="auto" w:fill="auto"/>
            <w:vAlign w:val="center"/>
          </w:tcPr>
          <w:p>
            <w:pPr>
              <w:widowControl/>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非甲烷总烃</w:t>
            </w:r>
          </w:p>
        </w:tc>
        <w:tc>
          <w:tcPr>
            <w:tcW w:w="690" w:type="pct"/>
            <w:shd w:val="clear" w:color="auto" w:fill="auto"/>
            <w:vAlign w:val="center"/>
          </w:tcPr>
          <w:p>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0.028</w:t>
            </w:r>
          </w:p>
        </w:tc>
        <w:tc>
          <w:tcPr>
            <w:tcW w:w="754" w:type="pct"/>
            <w:shd w:val="clear" w:color="auto" w:fill="auto"/>
            <w:vAlign w:val="center"/>
          </w:tcPr>
          <w:p>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0.034</w:t>
            </w:r>
          </w:p>
        </w:tc>
        <w:tc>
          <w:tcPr>
            <w:tcW w:w="754" w:type="pct"/>
            <w:vMerge w:val="continue"/>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754" w:type="pct"/>
            <w:vMerge w:val="continue"/>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623" w:type="pct"/>
            <w:vMerge w:val="continue"/>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69" w:type="pct"/>
            <w:vMerge w:val="continue"/>
            <w:vAlign w:val="center"/>
          </w:tcPr>
          <w:p>
            <w:pPr>
              <w:widowControl/>
              <w:jc w:val="center"/>
              <w:rPr>
                <w:rFonts w:hint="eastAsia" w:ascii="Times New Roman" w:hAnsi="Times New Roman" w:eastAsia="宋体" w:cs="Times New Roman"/>
                <w:caps w:val="0"/>
                <w:color w:val="000000" w:themeColor="text1"/>
                <w:kern w:val="0"/>
                <w:sz w:val="21"/>
                <w:szCs w:val="21"/>
                <w:highlight w:val="none"/>
                <w:lang w:val="en-US" w:eastAsia="zh-CN"/>
                <w14:textFill>
                  <w14:solidFill>
                    <w14:schemeClr w14:val="tx1"/>
                  </w14:solidFill>
                </w14:textFill>
              </w:rPr>
            </w:pPr>
          </w:p>
        </w:tc>
        <w:tc>
          <w:tcPr>
            <w:tcW w:w="753" w:type="pct"/>
            <w:shd w:val="clear" w:color="auto" w:fill="auto"/>
            <w:vAlign w:val="center"/>
          </w:tcPr>
          <w:p>
            <w:pPr>
              <w:widowControl/>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二甲苯</w:t>
            </w:r>
          </w:p>
        </w:tc>
        <w:tc>
          <w:tcPr>
            <w:tcW w:w="690" w:type="pct"/>
            <w:shd w:val="clear" w:color="auto" w:fill="auto"/>
            <w:vAlign w:val="center"/>
          </w:tcPr>
          <w:p>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0.116</w:t>
            </w:r>
          </w:p>
        </w:tc>
        <w:tc>
          <w:tcPr>
            <w:tcW w:w="754" w:type="pct"/>
            <w:shd w:val="clear" w:color="auto" w:fill="auto"/>
            <w:vAlign w:val="center"/>
          </w:tcPr>
          <w:p>
            <w:pPr>
              <w:widowControl/>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0.139</w:t>
            </w:r>
          </w:p>
        </w:tc>
        <w:tc>
          <w:tcPr>
            <w:tcW w:w="754" w:type="pct"/>
            <w:vMerge w:val="continue"/>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754" w:type="pct"/>
            <w:vMerge w:val="continue"/>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c>
          <w:tcPr>
            <w:tcW w:w="623" w:type="pct"/>
            <w:vMerge w:val="continue"/>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p>
        </w:tc>
      </w:tr>
    </w:tbl>
    <w:p>
      <w:pPr>
        <w:pStyle w:val="40"/>
        <w:rPr>
          <w:rFonts w:ascii="Times New Roman" w:hAnsi="Times New Roman" w:eastAsia="宋体" w:cs="Times New Roman"/>
          <w:caps w:val="0"/>
          <w:color w:val="000000" w:themeColor="text1"/>
          <w:highlight w:val="none"/>
          <w14:textFill>
            <w14:solidFill>
              <w14:schemeClr w14:val="tx1"/>
            </w14:solidFill>
          </w14:textFill>
        </w:rPr>
        <w:sectPr>
          <w:headerReference r:id="rId4" w:type="default"/>
          <w:pgSz w:w="16838" w:h="11906" w:orient="landscape"/>
          <w:pgMar w:top="1440" w:right="1440" w:bottom="1440" w:left="1440" w:header="851" w:footer="992" w:gutter="0"/>
          <w:cols w:space="720" w:num="1"/>
          <w:docGrid w:type="linesAndChars" w:linePitch="312" w:charSpace="0"/>
        </w:sectPr>
      </w:pP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1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8" w:hRule="atLeast"/>
          <w:jc w:val="center"/>
        </w:trPr>
        <w:tc>
          <w:tcPr>
            <w:tcW w:w="9164" w:type="dxa"/>
            <w:tcBorders>
              <w:top w:val="single" w:color="auto" w:sz="6" w:space="0"/>
              <w:left w:val="single" w:color="auto" w:sz="6" w:space="0"/>
              <w:bottom w:val="single" w:color="auto" w:sz="6" w:space="0"/>
              <w:right w:val="single" w:color="auto" w:sz="6" w:space="0"/>
            </w:tcBorders>
          </w:tcPr>
          <w:p>
            <w:pPr>
              <w:spacing w:line="460" w:lineRule="exact"/>
              <w:ind w:firstLine="472" w:firstLineChars="196"/>
              <w:rPr>
                <w:rFonts w:ascii="Times New Roman" w:hAnsi="Times New Roman" w:eastAsia="宋体"/>
                <w:b/>
                <w:caps w:val="0"/>
                <w:color w:val="000000" w:themeColor="text1"/>
                <w:sz w:val="24"/>
                <w:highlight w:val="none"/>
                <w14:textFill>
                  <w14:solidFill>
                    <w14:schemeClr w14:val="tx1"/>
                  </w14:solidFill>
                </w14:textFill>
              </w:rPr>
            </w:pP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2</w:t>
            </w:r>
            <w:r>
              <w:rPr>
                <w:rFonts w:ascii="Times New Roman" w:hAnsi="Times New Roman" w:eastAsia="宋体"/>
                <w:b/>
                <w:caps w:val="0"/>
                <w:color w:val="000000" w:themeColor="text1"/>
                <w:sz w:val="24"/>
                <w:highlight w:val="none"/>
                <w14:textFill>
                  <w14:solidFill>
                    <w14:schemeClr w14:val="tx1"/>
                  </w14:solidFill>
                </w14:textFill>
              </w:rPr>
              <w:t>.2、废水</w:t>
            </w:r>
          </w:p>
          <w:p>
            <w:pPr>
              <w:pStyle w:val="40"/>
              <w:spacing w:line="360" w:lineRule="auto"/>
              <w:ind w:firstLine="480" w:firstLineChars="200"/>
              <w:rPr>
                <w:rFonts w:ascii="Times New Roman" w:hAnsi="Times New Roman" w:eastAsia="宋体" w:cs="Times New Roman"/>
                <w:caps w:val="0"/>
                <w:color w:val="000000" w:themeColor="text1"/>
                <w:highlight w:val="none"/>
                <w14:textFill>
                  <w14:solidFill>
                    <w14:schemeClr w14:val="tx1"/>
                  </w14:solidFill>
                </w14:textFill>
              </w:rPr>
            </w:pPr>
            <w:r>
              <w:rPr>
                <w:rFonts w:ascii="Times New Roman" w:hAnsi="Times New Roman" w:eastAsia="宋体" w:cs="Times New Roman"/>
                <w:caps w:val="0"/>
                <w:color w:val="000000" w:themeColor="text1"/>
                <w:highlight w:val="none"/>
                <w14:textFill>
                  <w14:solidFill>
                    <w14:schemeClr w14:val="tx1"/>
                  </w14:solidFill>
                </w14:textFill>
              </w:rPr>
              <w:t>生活污水</w:t>
            </w:r>
          </w:p>
          <w:p>
            <w:pPr>
              <w:tabs>
                <w:tab w:val="center" w:pos="4758"/>
              </w:tabs>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项目劳动定员</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50</w:t>
            </w:r>
            <w:r>
              <w:rPr>
                <w:rFonts w:ascii="Times New Roman" w:hAnsi="Times New Roman" w:eastAsia="宋体"/>
                <w:caps w:val="0"/>
                <w:color w:val="000000" w:themeColor="text1"/>
                <w:sz w:val="24"/>
                <w:highlight w:val="none"/>
                <w14:textFill>
                  <w14:solidFill>
                    <w14:schemeClr w14:val="tx1"/>
                  </w14:solidFill>
                </w14:textFill>
              </w:rPr>
              <w:t>人，年工作300d，根据《安徽省行业用水定额》（DB34/T 679-2019），用水量按</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70</w:t>
            </w:r>
            <w:r>
              <w:rPr>
                <w:rFonts w:ascii="Times New Roman" w:hAnsi="Times New Roman" w:eastAsia="宋体"/>
                <w:caps w:val="0"/>
                <w:color w:val="000000" w:themeColor="text1"/>
                <w:sz w:val="24"/>
                <w:highlight w:val="none"/>
                <w14:textFill>
                  <w14:solidFill>
                    <w14:schemeClr w14:val="tx1"/>
                  </w14:solidFill>
                </w14:textFill>
              </w:rPr>
              <w:t xml:space="preserve"> L/（d·人），则生活用水量为</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3.5</w:t>
            </w:r>
            <w:r>
              <w:rPr>
                <w:rFonts w:ascii="Times New Roman" w:hAnsi="Times New Roman" w:eastAsia="宋体"/>
                <w:caps w:val="0"/>
                <w:color w:val="000000" w:themeColor="text1"/>
                <w:sz w:val="24"/>
                <w:highlight w:val="none"/>
                <w14:textFill>
                  <w14:solidFill>
                    <w14:schemeClr w14:val="tx1"/>
                  </w14:solidFill>
                </w14:textFill>
              </w:rPr>
              <w:t>m</w:t>
            </w:r>
            <w:r>
              <w:rPr>
                <w:rFonts w:ascii="Times New Roman" w:hAnsi="Times New Roman" w:eastAsia="宋体"/>
                <w:caps w:val="0"/>
                <w:color w:val="000000" w:themeColor="text1"/>
                <w:sz w:val="24"/>
                <w:highlight w:val="none"/>
                <w:vertAlign w:val="superscript"/>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/d，</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1050</w:t>
            </w:r>
            <w:r>
              <w:rPr>
                <w:rFonts w:ascii="Times New Roman" w:hAnsi="Times New Roman" w:eastAsia="宋体"/>
                <w:caps w:val="0"/>
                <w:color w:val="000000" w:themeColor="text1"/>
                <w:sz w:val="24"/>
                <w:highlight w:val="none"/>
                <w14:textFill>
                  <w14:solidFill>
                    <w14:schemeClr w14:val="tx1"/>
                  </w14:solidFill>
                </w14:textFill>
              </w:rPr>
              <w:t>m</w:t>
            </w:r>
            <w:r>
              <w:rPr>
                <w:rFonts w:ascii="Times New Roman" w:hAnsi="Times New Roman" w:eastAsia="宋体"/>
                <w:caps w:val="0"/>
                <w:color w:val="000000" w:themeColor="text1"/>
                <w:sz w:val="24"/>
                <w:highlight w:val="none"/>
                <w:vertAlign w:val="superscript"/>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/a。污水产生系数取0.8，则生活污水量为</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2.8</w:t>
            </w:r>
            <w:r>
              <w:rPr>
                <w:rFonts w:ascii="Times New Roman" w:hAnsi="Times New Roman" w:eastAsia="宋体"/>
                <w:caps w:val="0"/>
                <w:color w:val="000000" w:themeColor="text1"/>
                <w:sz w:val="24"/>
                <w:highlight w:val="none"/>
                <w14:textFill>
                  <w14:solidFill>
                    <w14:schemeClr w14:val="tx1"/>
                  </w14:solidFill>
                </w14:textFill>
              </w:rPr>
              <w:t>m</w:t>
            </w:r>
            <w:r>
              <w:rPr>
                <w:rFonts w:ascii="Times New Roman" w:hAnsi="Times New Roman" w:eastAsia="宋体"/>
                <w:caps w:val="0"/>
                <w:color w:val="000000" w:themeColor="text1"/>
                <w:sz w:val="24"/>
                <w:highlight w:val="none"/>
                <w:vertAlign w:val="superscript"/>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/d，</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840</w:t>
            </w:r>
            <w:r>
              <w:rPr>
                <w:rFonts w:ascii="Times New Roman" w:hAnsi="Times New Roman" w:eastAsia="宋体"/>
                <w:caps w:val="0"/>
                <w:color w:val="000000" w:themeColor="text1"/>
                <w:sz w:val="24"/>
                <w:highlight w:val="none"/>
                <w14:textFill>
                  <w14:solidFill>
                    <w14:schemeClr w14:val="tx1"/>
                  </w14:solidFill>
                </w14:textFill>
              </w:rPr>
              <w:t>m</w:t>
            </w:r>
            <w:r>
              <w:rPr>
                <w:rFonts w:ascii="Times New Roman" w:hAnsi="Times New Roman" w:eastAsia="宋体"/>
                <w:caps w:val="0"/>
                <w:color w:val="000000" w:themeColor="text1"/>
                <w:sz w:val="24"/>
                <w:highlight w:val="none"/>
                <w:vertAlign w:val="superscript"/>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/a，主要污染物及浓度分别为COD 350mg/L、BOD</w:t>
            </w:r>
            <w:r>
              <w:rPr>
                <w:rFonts w:ascii="Times New Roman" w:hAnsi="Times New Roman" w:eastAsia="宋体"/>
                <w:caps w:val="0"/>
                <w:color w:val="000000" w:themeColor="text1"/>
                <w:sz w:val="24"/>
                <w:highlight w:val="none"/>
                <w:vertAlign w:val="subscript"/>
                <w14:textFill>
                  <w14:solidFill>
                    <w14:schemeClr w14:val="tx1"/>
                  </w14:solidFill>
                </w14:textFill>
              </w:rPr>
              <w:t>5</w:t>
            </w:r>
            <w:r>
              <w:rPr>
                <w:rFonts w:ascii="Times New Roman" w:hAnsi="Times New Roman" w:eastAsia="宋体"/>
                <w:caps w:val="0"/>
                <w:color w:val="000000" w:themeColor="text1"/>
                <w:sz w:val="24"/>
                <w:highlight w:val="none"/>
                <w14:textFill>
                  <w14:solidFill>
                    <w14:schemeClr w14:val="tx1"/>
                  </w14:solidFill>
                </w14:textFill>
              </w:rPr>
              <w:t xml:space="preserve"> 150mg/L、SS 200mg/L、NH</w:t>
            </w:r>
            <w:r>
              <w:rPr>
                <w:rFonts w:ascii="Times New Roman" w:hAnsi="Times New Roman" w:eastAsia="宋体"/>
                <w:caps w:val="0"/>
                <w:color w:val="000000" w:themeColor="text1"/>
                <w:sz w:val="24"/>
                <w:highlight w:val="none"/>
                <w:vertAlign w:val="subscript"/>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-N 35mg/L。</w:t>
            </w:r>
          </w:p>
          <w:p>
            <w:pPr>
              <w:autoSpaceDE w:val="0"/>
              <w:autoSpaceDN w:val="0"/>
              <w:spacing w:line="360" w:lineRule="auto"/>
              <w:ind w:firstLine="480" w:firstLineChars="200"/>
              <w:jc w:val="left"/>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项目外排废水为生活污水，生活污水经</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化粪池处理后</w:t>
            </w:r>
            <w:r>
              <w:rPr>
                <w:rFonts w:ascii="Times New Roman" w:hAnsi="Times New Roman" w:eastAsia="宋体"/>
                <w:caps w:val="0"/>
                <w:color w:val="000000" w:themeColor="text1"/>
                <w:sz w:val="24"/>
                <w:highlight w:val="none"/>
                <w14:textFill>
                  <w14:solidFill>
                    <w14:schemeClr w14:val="tx1"/>
                  </w14:solidFill>
                </w14:textFill>
              </w:rPr>
              <w:t>接管排市政管网送繁昌县第二污水处理厂处理。</w:t>
            </w:r>
          </w:p>
          <w:p>
            <w:pPr>
              <w:adjustRightInd w:val="0"/>
              <w:spacing w:line="50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建设项目水污染物产生与排放情况详见表5-</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w:t>
            </w:r>
          </w:p>
          <w:p>
            <w:pPr>
              <w:adjustRightInd w:val="0"/>
              <w:spacing w:line="400" w:lineRule="exact"/>
              <w:ind w:firstLine="482" w:firstLineChars="200"/>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表5-</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3</w:t>
            </w:r>
            <w:r>
              <w:rPr>
                <w:rFonts w:ascii="Times New Roman" w:hAnsi="Times New Roman" w:eastAsia="宋体"/>
                <w:b/>
                <w:caps w:val="0"/>
                <w:color w:val="000000" w:themeColor="text1"/>
                <w:sz w:val="24"/>
                <w:highlight w:val="none"/>
                <w14:textFill>
                  <w14:solidFill>
                    <w14:schemeClr w14:val="tx1"/>
                  </w14:solidFill>
                </w14:textFill>
              </w:rPr>
              <w:t xml:space="preserve">  建设项目水污染物产生与排放情况</w:t>
            </w:r>
          </w:p>
          <w:tbl>
            <w:tblPr>
              <w:tblStyle w:val="32"/>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5"/>
              <w:gridCol w:w="870"/>
              <w:gridCol w:w="991"/>
              <w:gridCol w:w="992"/>
              <w:gridCol w:w="990"/>
              <w:gridCol w:w="2036"/>
              <w:gridCol w:w="956"/>
              <w:gridCol w:w="758"/>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758" w:type="pct"/>
                  <w:vMerge w:val="restart"/>
                  <w:tcBorders>
                    <w:tl2br w:val="nil"/>
                    <w:tr2bl w:val="nil"/>
                  </w:tcBorders>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污染源名称</w:t>
                  </w:r>
                </w:p>
              </w:tc>
              <w:tc>
                <w:tcPr>
                  <w:tcW w:w="487" w:type="pct"/>
                  <w:vMerge w:val="restar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废水量（t/a）</w:t>
                  </w:r>
                </w:p>
              </w:tc>
              <w:tc>
                <w:tcPr>
                  <w:tcW w:w="555" w:type="pct"/>
                  <w:vMerge w:val="restar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污染物名称</w:t>
                  </w:r>
                </w:p>
              </w:tc>
              <w:tc>
                <w:tcPr>
                  <w:tcW w:w="1109" w:type="pct"/>
                  <w:gridSpan w:val="2"/>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污染物产生情况</w:t>
                  </w:r>
                </w:p>
              </w:tc>
              <w:tc>
                <w:tcPr>
                  <w:tcW w:w="1138" w:type="pct"/>
                  <w:vMerge w:val="restar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治理措施</w:t>
                  </w:r>
                </w:p>
              </w:tc>
              <w:tc>
                <w:tcPr>
                  <w:tcW w:w="953" w:type="pct"/>
                  <w:gridSpan w:val="2"/>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外排环境量</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58" w:type="pct"/>
                  <w:vMerge w:val="continue"/>
                  <w:tcBorders>
                    <w:tl2br w:val="nil"/>
                    <w:tr2bl w:val="nil"/>
                  </w:tcBorders>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p>
              </w:tc>
              <w:tc>
                <w:tcPr>
                  <w:tcW w:w="487"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p>
              </w:tc>
              <w:tc>
                <w:tcPr>
                  <w:tcW w:w="555"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浓度</w:t>
                  </w:r>
                </w:p>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（mg/L）</w:t>
                  </w:r>
                </w:p>
              </w:tc>
              <w:tc>
                <w:tcPr>
                  <w:tcW w:w="554"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产生量</w:t>
                  </w:r>
                </w:p>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（t/a）</w:t>
                  </w:r>
                </w:p>
              </w:tc>
              <w:tc>
                <w:tcPr>
                  <w:tcW w:w="1138"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p>
              </w:tc>
              <w:tc>
                <w:tcPr>
                  <w:tcW w:w="529"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浓度</w:t>
                  </w:r>
                </w:p>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（mg/L）</w:t>
                  </w:r>
                </w:p>
              </w:tc>
              <w:tc>
                <w:tcPr>
                  <w:tcW w:w="424"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排放量</w:t>
                  </w:r>
                </w:p>
                <w:p>
                  <w:pPr>
                    <w:adjustRightInd w:val="0"/>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（t/a）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exact"/>
                <w:jc w:val="center"/>
              </w:trPr>
              <w:tc>
                <w:tcPr>
                  <w:tcW w:w="758" w:type="pct"/>
                  <w:vMerge w:val="restart"/>
                  <w:tcBorders>
                    <w:tl2br w:val="nil"/>
                    <w:tr2bl w:val="nil"/>
                  </w:tcBorders>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生活污水</w:t>
                  </w:r>
                </w:p>
              </w:tc>
              <w:tc>
                <w:tcPr>
                  <w:tcW w:w="487" w:type="pct"/>
                  <w:vMerge w:val="restart"/>
                  <w:tcBorders>
                    <w:tl2br w:val="nil"/>
                    <w:tr2bl w:val="nil"/>
                  </w:tcBorders>
                  <w:tcMar>
                    <w:left w:w="28" w:type="dxa"/>
                    <w:right w:w="28" w:type="dxa"/>
                  </w:tcMar>
                  <w:vAlign w:val="center"/>
                </w:tcPr>
                <w:p>
                  <w:pPr>
                    <w:adjustRightIn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840</w:t>
                  </w: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COD</w:t>
                  </w: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350</w:t>
                  </w:r>
                </w:p>
              </w:tc>
              <w:tc>
                <w:tcPr>
                  <w:tcW w:w="554" w:type="pct"/>
                  <w:tcBorders>
                    <w:tl2br w:val="nil"/>
                    <w:tr2bl w:val="nil"/>
                  </w:tcBorders>
                  <w:tcMar>
                    <w:left w:w="28" w:type="dxa"/>
                    <w:right w:w="28" w:type="dxa"/>
                  </w:tcMar>
                  <w:vAlign w:val="center"/>
                </w:tcPr>
                <w:p>
                  <w:pPr>
                    <w:adjustRightIn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0.294</w:t>
                  </w:r>
                </w:p>
              </w:tc>
              <w:tc>
                <w:tcPr>
                  <w:tcW w:w="1138" w:type="pct"/>
                  <w:vMerge w:val="restar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经化粪池处理后</w:t>
                  </w:r>
                  <w:r>
                    <w:rPr>
                      <w:rFonts w:ascii="Times New Roman" w:hAnsi="Times New Roman" w:eastAsia="宋体"/>
                      <w:caps w:val="0"/>
                      <w:color w:val="000000" w:themeColor="text1"/>
                      <w:sz w:val="21"/>
                      <w:szCs w:val="21"/>
                      <w:highlight w:val="none"/>
                      <w14:textFill>
                        <w14:solidFill>
                          <w14:schemeClr w14:val="tx1"/>
                        </w14:solidFill>
                      </w14:textFill>
                    </w:rPr>
                    <w:t>接管排市政管网送繁昌县第二污水处理厂处理</w:t>
                  </w:r>
                </w:p>
              </w:tc>
              <w:tc>
                <w:tcPr>
                  <w:tcW w:w="529" w:type="pct"/>
                  <w:tcBorders>
                    <w:tl2br w:val="nil"/>
                    <w:tr2bl w:val="nil"/>
                  </w:tcBorders>
                  <w:tcMar>
                    <w:left w:w="28" w:type="dxa"/>
                    <w:right w:w="28" w:type="dxa"/>
                  </w:tcMar>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100</w:t>
                  </w:r>
                </w:p>
              </w:tc>
              <w:tc>
                <w:tcPr>
                  <w:tcW w:w="424" w:type="pct"/>
                  <w:tcBorders>
                    <w:tl2br w:val="nil"/>
                    <w:tr2bl w:val="nil"/>
                  </w:tcBorders>
                  <w:tcMar>
                    <w:left w:w="28" w:type="dxa"/>
                    <w:right w:w="28" w:type="dxa"/>
                  </w:tcMar>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0.</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084</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8" w:type="pct"/>
                  <w:vMerge w:val="continue"/>
                  <w:tcBorders>
                    <w:tl2br w:val="nil"/>
                    <w:tr2bl w:val="nil"/>
                  </w:tcBorders>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87"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BOD</w:t>
                  </w:r>
                  <w:r>
                    <w:rPr>
                      <w:rFonts w:ascii="Times New Roman" w:hAnsi="Times New Roman" w:eastAsia="宋体"/>
                      <w:caps w:val="0"/>
                      <w:color w:val="000000" w:themeColor="text1"/>
                      <w:sz w:val="21"/>
                      <w:szCs w:val="21"/>
                      <w:highlight w:val="none"/>
                      <w:vertAlign w:val="subscript"/>
                      <w14:textFill>
                        <w14:solidFill>
                          <w14:schemeClr w14:val="tx1"/>
                        </w14:solidFill>
                      </w14:textFill>
                    </w:rPr>
                    <w:t>5</w:t>
                  </w: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150</w:t>
                  </w:r>
                </w:p>
              </w:tc>
              <w:tc>
                <w:tcPr>
                  <w:tcW w:w="554" w:type="pct"/>
                  <w:tcBorders>
                    <w:tl2br w:val="nil"/>
                    <w:tr2bl w:val="nil"/>
                  </w:tcBorders>
                  <w:tcMar>
                    <w:left w:w="28" w:type="dxa"/>
                    <w:right w:w="28" w:type="dxa"/>
                  </w:tcMar>
                  <w:vAlign w:val="center"/>
                </w:tcPr>
                <w:p>
                  <w:pPr>
                    <w:adjustRightIn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0.126</w:t>
                  </w:r>
                </w:p>
              </w:tc>
              <w:tc>
                <w:tcPr>
                  <w:tcW w:w="1138"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529" w:type="pct"/>
                  <w:tcBorders>
                    <w:tl2br w:val="nil"/>
                    <w:tr2bl w:val="nil"/>
                  </w:tcBorders>
                  <w:tcMar>
                    <w:left w:w="28" w:type="dxa"/>
                    <w:right w:w="28" w:type="dxa"/>
                  </w:tcMar>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20</w:t>
                  </w:r>
                </w:p>
              </w:tc>
              <w:tc>
                <w:tcPr>
                  <w:tcW w:w="424" w:type="pct"/>
                  <w:tcBorders>
                    <w:tl2br w:val="nil"/>
                    <w:tr2bl w:val="nil"/>
                  </w:tcBorders>
                  <w:tcMar>
                    <w:left w:w="28" w:type="dxa"/>
                    <w:right w:w="28" w:type="dxa"/>
                  </w:tcMar>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0.</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017</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8" w:type="pct"/>
                  <w:vMerge w:val="continue"/>
                  <w:tcBorders>
                    <w:tl2br w:val="nil"/>
                    <w:tr2bl w:val="nil"/>
                  </w:tcBorders>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87"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SS</w:t>
                  </w: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200</w:t>
                  </w:r>
                </w:p>
              </w:tc>
              <w:tc>
                <w:tcPr>
                  <w:tcW w:w="554" w:type="pct"/>
                  <w:tcBorders>
                    <w:tl2br w:val="nil"/>
                    <w:tr2bl w:val="nil"/>
                  </w:tcBorders>
                  <w:tcMar>
                    <w:left w:w="28" w:type="dxa"/>
                    <w:right w:w="28" w:type="dxa"/>
                  </w:tcMar>
                  <w:vAlign w:val="center"/>
                </w:tcPr>
                <w:p>
                  <w:pPr>
                    <w:adjustRightIn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0.168</w:t>
                  </w:r>
                </w:p>
              </w:tc>
              <w:tc>
                <w:tcPr>
                  <w:tcW w:w="1138"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529" w:type="pct"/>
                  <w:tcBorders>
                    <w:tl2br w:val="nil"/>
                    <w:tr2bl w:val="nil"/>
                  </w:tcBorders>
                  <w:tcMar>
                    <w:left w:w="28" w:type="dxa"/>
                    <w:right w:w="28" w:type="dxa"/>
                  </w:tcMar>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70</w:t>
                  </w:r>
                </w:p>
              </w:tc>
              <w:tc>
                <w:tcPr>
                  <w:tcW w:w="424" w:type="pct"/>
                  <w:tcBorders>
                    <w:tl2br w:val="nil"/>
                    <w:tr2bl w:val="nil"/>
                  </w:tcBorders>
                  <w:tcMar>
                    <w:left w:w="28" w:type="dxa"/>
                    <w:right w:w="28" w:type="dxa"/>
                  </w:tcMar>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059</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58" w:type="pct"/>
                  <w:vMerge w:val="continue"/>
                  <w:tcBorders>
                    <w:tl2br w:val="nil"/>
                    <w:tr2bl w:val="nil"/>
                  </w:tcBorders>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87"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氨氮</w:t>
                  </w:r>
                </w:p>
              </w:tc>
              <w:tc>
                <w:tcPr>
                  <w:tcW w:w="555" w:type="pct"/>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35</w:t>
                  </w:r>
                </w:p>
              </w:tc>
              <w:tc>
                <w:tcPr>
                  <w:tcW w:w="554" w:type="pct"/>
                  <w:tcBorders>
                    <w:tl2br w:val="nil"/>
                    <w:tr2bl w:val="nil"/>
                  </w:tcBorders>
                  <w:tcMar>
                    <w:left w:w="28" w:type="dxa"/>
                    <w:right w:w="28" w:type="dxa"/>
                  </w:tcMar>
                  <w:vAlign w:val="center"/>
                </w:tcPr>
                <w:p>
                  <w:pPr>
                    <w:adjustRightIn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0.029</w:t>
                  </w:r>
                </w:p>
              </w:tc>
              <w:tc>
                <w:tcPr>
                  <w:tcW w:w="1138" w:type="pct"/>
                  <w:vMerge w:val="continue"/>
                  <w:tcBorders>
                    <w:tl2br w:val="nil"/>
                    <w:tr2bl w:val="nil"/>
                  </w:tcBorders>
                  <w:tcMar>
                    <w:left w:w="28" w:type="dxa"/>
                    <w:right w:w="28" w:type="dxa"/>
                  </w:tcMar>
                  <w:vAlign w:val="center"/>
                </w:tcPr>
                <w:p>
                  <w:pPr>
                    <w:adjustRightIn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529" w:type="pct"/>
                  <w:tcBorders>
                    <w:tl2br w:val="nil"/>
                    <w:tr2bl w:val="nil"/>
                  </w:tcBorders>
                  <w:tcMar>
                    <w:left w:w="28" w:type="dxa"/>
                    <w:right w:w="28" w:type="dxa"/>
                  </w:tcMar>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15</w:t>
                  </w:r>
                </w:p>
              </w:tc>
              <w:tc>
                <w:tcPr>
                  <w:tcW w:w="424" w:type="pct"/>
                  <w:tcBorders>
                    <w:tl2br w:val="nil"/>
                    <w:tr2bl w:val="nil"/>
                  </w:tcBorders>
                  <w:tcMar>
                    <w:left w:w="28" w:type="dxa"/>
                    <w:right w:w="28" w:type="dxa"/>
                  </w:tcMar>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0.</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13</w:t>
                  </w:r>
                </w:p>
              </w:tc>
            </w:tr>
          </w:tbl>
          <w:p>
            <w:pPr>
              <w:spacing w:line="360" w:lineRule="auto"/>
              <w:ind w:firstLine="480" w:firstLineChars="200"/>
              <w:rPr>
                <w:rFonts w:ascii="Times New Roman" w:hAnsi="Times New Roman" w:eastAsia="宋体"/>
                <w:bCs/>
                <w:caps w:val="0"/>
                <w:color w:val="000000" w:themeColor="text1"/>
                <w:sz w:val="24"/>
                <w:highlight w:val="none"/>
                <w14:textFill>
                  <w14:solidFill>
                    <w14:schemeClr w14:val="tx1"/>
                  </w14:solidFill>
                </w14:textFill>
              </w:rPr>
            </w:pPr>
            <w:r>
              <w:rPr>
                <w:rFonts w:ascii="Times New Roman" w:hAnsi="Times New Roman" w:eastAsia="宋体"/>
                <w:bCs/>
                <w:caps w:val="0"/>
                <w:color w:val="000000" w:themeColor="text1"/>
                <w:sz w:val="24"/>
                <w:highlight w:val="none"/>
                <w14:textFill>
                  <w14:solidFill>
                    <w14:schemeClr w14:val="tx1"/>
                  </w14:solidFill>
                </w14:textFill>
              </w:rPr>
              <w:t>项目水平衡图见图5-2，具体如下：</w:t>
            </w:r>
          </w:p>
          <w:p>
            <w:pPr>
              <w:spacing w:line="360" w:lineRule="auto"/>
              <w:jc w:val="center"/>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mc:AlternateContent>
                <mc:Choice Requires="wpc">
                  <w:drawing>
                    <wp:anchor distT="0" distB="0" distL="114300" distR="114300" simplePos="0" relativeHeight="251663360" behindDoc="0" locked="0" layoutInCell="1" allowOverlap="1">
                      <wp:simplePos x="0" y="0"/>
                      <wp:positionH relativeFrom="character">
                        <wp:posOffset>-2777490</wp:posOffset>
                      </wp:positionH>
                      <wp:positionV relativeFrom="line">
                        <wp:posOffset>27305</wp:posOffset>
                      </wp:positionV>
                      <wp:extent cx="5528945" cy="1173480"/>
                      <wp:effectExtent l="0" t="0" r="0" b="0"/>
                      <wp:wrapNone/>
                      <wp:docPr id="84" name="画布 35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22" name="矩形 3527"/>
                              <wps:cNvSpPr/>
                              <wps:spPr>
                                <a:xfrm>
                                  <a:off x="1174674" y="507365"/>
                                  <a:ext cx="789940" cy="3187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1"/>
                                        <w:szCs w:val="21"/>
                                      </w:rPr>
                                    </w:pPr>
                                    <w:r>
                                      <w:rPr>
                                        <w:rFonts w:hint="eastAsia"/>
                                        <w:sz w:val="21"/>
                                        <w:szCs w:val="21"/>
                                      </w:rPr>
                                      <w:t>生活用水</w:t>
                                    </w:r>
                                  </w:p>
                                </w:txbxContent>
                              </wps:txbx>
                              <wps:bodyPr vert="horz" wrap="square" anchor="t" upright="1"/>
                            </wps:wsp>
                            <wps:wsp>
                              <wps:cNvPr id="523" name="直线 3528"/>
                              <wps:cNvCnPr/>
                              <wps:spPr>
                                <a:xfrm>
                                  <a:off x="1964405" y="651019"/>
                                  <a:ext cx="643623" cy="0"/>
                                </a:xfrm>
                                <a:prstGeom prst="line">
                                  <a:avLst/>
                                </a:prstGeom>
                                <a:ln w="9525" cap="flat" cmpd="sng">
                                  <a:solidFill>
                                    <a:srgbClr val="000000"/>
                                  </a:solidFill>
                                  <a:prstDash val="solid"/>
                                  <a:headEnd type="none" w="med" len="med"/>
                                  <a:tailEnd type="triangle" w="med" len="med"/>
                                </a:ln>
                              </wps:spPr>
                              <wps:bodyPr/>
                            </wps:wsp>
                            <wps:wsp>
                              <wps:cNvPr id="524" name="矩形 3529"/>
                              <wps:cNvSpPr/>
                              <wps:spPr>
                                <a:xfrm>
                                  <a:off x="2056130" y="376555"/>
                                  <a:ext cx="575945" cy="297180"/>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2.8</w:t>
                                    </w:r>
                                  </w:p>
                                </w:txbxContent>
                              </wps:txbx>
                              <wps:bodyPr vert="horz" wrap="square" anchor="t" upright="1"/>
                            </wps:wsp>
                            <wps:wsp>
                              <wps:cNvPr id="526" name="自选图形 3534"/>
                              <wps:cNvCnPr/>
                              <wps:spPr>
                                <a:xfrm flipV="1">
                                  <a:off x="1460424" y="230662"/>
                                  <a:ext cx="324485" cy="268605"/>
                                </a:xfrm>
                                <a:prstGeom prst="curvedConnector3">
                                  <a:avLst>
                                    <a:gd name="adj1" fmla="val 57878"/>
                                  </a:avLst>
                                </a:prstGeom>
                                <a:ln w="9525" cap="flat" cmpd="sng">
                                  <a:solidFill>
                                    <a:srgbClr val="000000"/>
                                  </a:solidFill>
                                  <a:prstDash val="dash"/>
                                  <a:headEnd type="none" w="med" len="med"/>
                                  <a:tailEnd type="triangle" w="med" len="med"/>
                                </a:ln>
                              </wps:spPr>
                              <wps:bodyPr/>
                            </wps:wsp>
                            <wps:wsp>
                              <wps:cNvPr id="527" name="矩形 3535"/>
                              <wps:cNvSpPr/>
                              <wps:spPr>
                                <a:xfrm>
                                  <a:off x="1684711" y="15367"/>
                                  <a:ext cx="503569" cy="297180"/>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0.7</w:t>
                                    </w:r>
                                  </w:p>
                                </w:txbxContent>
                              </wps:txbx>
                              <wps:bodyPr vert="horz" wrap="square" anchor="t" upright="1"/>
                            </wps:wsp>
                            <wps:wsp>
                              <wps:cNvPr id="528" name="矩形 3538"/>
                              <wps:cNvSpPr/>
                              <wps:spPr>
                                <a:xfrm>
                                  <a:off x="2583815" y="495300"/>
                                  <a:ext cx="915670" cy="2997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宋体"/>
                                        <w:sz w:val="21"/>
                                        <w:szCs w:val="21"/>
                                        <w:lang w:val="en-US" w:eastAsia="zh-CN"/>
                                      </w:rPr>
                                    </w:pPr>
                                    <w:r>
                                      <w:rPr>
                                        <w:rFonts w:hint="eastAsia"/>
                                        <w:sz w:val="21"/>
                                        <w:szCs w:val="21"/>
                                        <w:lang w:val="en-US" w:eastAsia="zh-CN"/>
                                      </w:rPr>
                                      <w:t>化粪池</w:t>
                                    </w:r>
                                  </w:p>
                                </w:txbxContent>
                              </wps:txbx>
                              <wps:bodyPr vert="horz" wrap="square" anchor="t" upright="1"/>
                            </wps:wsp>
                            <wps:wsp>
                              <wps:cNvPr id="529" name="矩形 3542"/>
                              <wps:cNvSpPr/>
                              <wps:spPr>
                                <a:xfrm>
                                  <a:off x="3905250" y="457835"/>
                                  <a:ext cx="1160145" cy="4070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jc w:val="center"/>
                                      <w:rPr>
                                        <w:sz w:val="21"/>
                                        <w:szCs w:val="21"/>
                                      </w:rPr>
                                    </w:pPr>
                                    <w:r>
                                      <w:rPr>
                                        <w:rFonts w:hint="eastAsia"/>
                                        <w:sz w:val="21"/>
                                        <w:szCs w:val="21"/>
                                      </w:rPr>
                                      <w:t>繁昌县第二污水处理厂</w:t>
                                    </w:r>
                                  </w:p>
                                </w:txbxContent>
                              </wps:txbx>
                              <wps:bodyPr vert="horz" wrap="square" anchor="t" upright="1"/>
                            </wps:wsp>
                            <wps:wsp>
                              <wps:cNvPr id="533" name="矩形 3535"/>
                              <wps:cNvSpPr/>
                              <wps:spPr>
                                <a:xfrm>
                                  <a:off x="735803" y="339166"/>
                                  <a:ext cx="503569" cy="297180"/>
                                </a:xfrm>
                                <a:prstGeom prst="rect">
                                  <a:avLst/>
                                </a:prstGeom>
                                <a:noFill/>
                                <a:ln>
                                  <a:noFill/>
                                </a:ln>
                              </wps:spPr>
                              <wps:txbx>
                                <w:txbxContent>
                                  <w:p>
                                    <w:pPr>
                                      <w:rPr>
                                        <w:rFonts w:hint="default"/>
                                        <w:sz w:val="21"/>
                                        <w:szCs w:val="21"/>
                                        <w:lang w:val="en-US"/>
                                      </w:rPr>
                                    </w:pPr>
                                    <w:r>
                                      <w:rPr>
                                        <w:rFonts w:hint="eastAsia"/>
                                        <w:sz w:val="21"/>
                                        <w:szCs w:val="21"/>
                                        <w:lang w:val="en-US" w:eastAsia="zh-CN"/>
                                      </w:rPr>
                                      <w:t>3.5</w:t>
                                    </w:r>
                                  </w:p>
                                </w:txbxContent>
                              </wps:txbx>
                              <wps:bodyPr vert="horz" wrap="square" anchor="t" upright="1"/>
                            </wps:wsp>
                            <wps:wsp>
                              <wps:cNvPr id="540" name="直接箭头连接符 246"/>
                              <wps:cNvCnPr/>
                              <wps:spPr>
                                <a:xfrm>
                                  <a:off x="3507751" y="644297"/>
                                  <a:ext cx="405320" cy="3537"/>
                                </a:xfrm>
                                <a:prstGeom prst="straightConnector1">
                                  <a:avLst/>
                                </a:prstGeom>
                                <a:ln w="9525" cap="flat" cmpd="sng">
                                  <a:solidFill>
                                    <a:srgbClr val="000000"/>
                                  </a:solidFill>
                                  <a:prstDash val="solid"/>
                                  <a:headEnd type="none" w="med" len="med"/>
                                  <a:tailEnd type="triangle" w="med" len="med"/>
                                </a:ln>
                              </wps:spPr>
                              <wps:bodyPr/>
                            </wps:wsp>
                            <wps:wsp>
                              <wps:cNvPr id="541" name="矩形 3529"/>
                              <wps:cNvSpPr/>
                              <wps:spPr>
                                <a:xfrm>
                                  <a:off x="3461392" y="347627"/>
                                  <a:ext cx="576023" cy="297180"/>
                                </a:xfrm>
                                <a:prstGeom prst="rect">
                                  <a:avLst/>
                                </a:prstGeom>
                                <a:noFill/>
                                <a:ln>
                                  <a:noFill/>
                                </a:ln>
                              </wps:spPr>
                              <wps:txbx>
                                <w:txbxContent>
                                  <w:p>
                                    <w:pPr>
                                      <w:rPr>
                                        <w:rFonts w:hint="default" w:eastAsia="宋体"/>
                                        <w:sz w:val="21"/>
                                        <w:szCs w:val="21"/>
                                        <w:lang w:val="en-US" w:eastAsia="zh-CN"/>
                                      </w:rPr>
                                    </w:pPr>
                                    <w:r>
                                      <w:rPr>
                                        <w:rFonts w:hint="eastAsia"/>
                                        <w:sz w:val="21"/>
                                        <w:szCs w:val="21"/>
                                        <w:lang w:val="en-US" w:eastAsia="zh-CN"/>
                                      </w:rPr>
                                      <w:t>2.8</w:t>
                                    </w:r>
                                  </w:p>
                                </w:txbxContent>
                              </wps:txbx>
                              <wps:bodyPr vert="horz" wrap="square" anchor="t" upright="1"/>
                            </wps:wsp>
                            <wps:wsp>
                              <wps:cNvPr id="8" name="直线 3528"/>
                              <wps:cNvCnPr/>
                              <wps:spPr>
                                <a:xfrm>
                                  <a:off x="535940" y="666750"/>
                                  <a:ext cx="643890" cy="0"/>
                                </a:xfrm>
                                <a:prstGeom prst="line">
                                  <a:avLst/>
                                </a:prstGeom>
                                <a:ln w="9525" cap="flat" cmpd="sng">
                                  <a:solidFill>
                                    <a:srgbClr val="000000"/>
                                  </a:solidFill>
                                  <a:prstDash val="solid"/>
                                  <a:headEnd type="none" w="med" len="med"/>
                                  <a:tailEnd type="triangle" w="med" len="med"/>
                                </a:ln>
                              </wps:spPr>
                              <wps:bodyPr/>
                            </wps:wsp>
                          </wpc:wpc>
                        </a:graphicData>
                      </a:graphic>
                    </wp:anchor>
                  </w:drawing>
                </mc:Choice>
                <mc:Fallback>
                  <w:pict>
                    <v:group id="画布 3517" o:spid="_x0000_s1026" o:spt="203" style="position:absolute;left:0pt;margin-left:-218.7pt;margin-top:2.15pt;height:92.4pt;width:435.35pt;mso-position-horizontal-relative:char;mso-position-vertical-relative:line;z-index:251663360;mso-width-relative:page;mso-height-relative:page;" coordsize="5528945,1173480" editas="canvas" o:gfxdata="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">
                      <o:lock v:ext="edit" aspectratio="f"/>
                      <v:shape id="画布 3517" o:spid="_x0000_s1026" style="position:absolute;left:0;top:0;height:1173480;width:5528945;"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&#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">
                        <v:fill on="f" focussize="0,0"/>
                        <v:stroke on="f"/>
                        <v:imagedata o:title=""/>
                        <o:lock v:ext="edit" aspectratio="t"/>
                      </v:shape>
                      <v:rect id="矩形 3527" o:spid="_x0000_s1026" o:spt="1" style="position:absolute;left:1174674;top:507365;height:318770;width:789940;" fillcolor="#FFFFFF" filled="t" stroked="t" coordsize="21600,21600" o:gfxdata="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oQAgC2AAAAAoBAAAPAAAAAAAAAAEAIAAAACIAAABkcnMvZG93bnJldi54bWxQSwECFAAU&#10;AAAACACHTuJAIS+c2SoCAABdBAAADgAAAAAAAAABACAAAAAnAQAAZHJzL2Uyb0RvYy54bWxQSwUG&#10;AAAAAAYABgBZAQAAwwUAAAAA&#10;">
                        <v:fill on="t" focussize="0,0"/>
                        <v:stroke color="#000000" joinstyle="miter"/>
                        <v:imagedata o:title=""/>
                        <o:lock v:ext="edit" aspectratio="f"/>
                        <v:textbox>
                          <w:txbxContent>
                            <w:p>
                              <w:pPr>
                                <w:jc w:val="center"/>
                                <w:rPr>
                                  <w:sz w:val="21"/>
                                  <w:szCs w:val="21"/>
                                </w:rPr>
                              </w:pPr>
                              <w:r>
                                <w:rPr>
                                  <w:rFonts w:hint="eastAsia"/>
                                  <w:sz w:val="21"/>
                                  <w:szCs w:val="21"/>
                                </w:rPr>
                                <w:t>生活用水</w:t>
                              </w:r>
                            </w:p>
                          </w:txbxContent>
                        </v:textbox>
                      </v:rect>
                      <v:line id="直线 3528" o:spid="_x0000_s1026" o:spt="20" style="position:absolute;left:1964405;top:651019;height:0;width:643623;" filled="f" stroked="t" coordsize="21600,21600" o:gfxdata="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42/e/aAAAACgEAAA8AAAAAAAAAAQAgAAAAIgAAAGRycy9kb3ducmV2Lnht&#10;bFBLAQIUABQAAAAIAIdO4kCL2MiI9wEAAOIDAAAOAAAAAAAAAAEAIAAAACkBAABkcnMvZTJvRG9j&#10;LnhtbFBLBQYAAAAABgAGAFkBAACSBQAAAAA=&#10;">
                        <v:fill on="f" focussize="0,0"/>
                        <v:stroke color="#000000" joinstyle="round" endarrow="block"/>
                        <v:imagedata o:title=""/>
                        <o:lock v:ext="edit" aspectratio="f"/>
                      </v:line>
                      <v:rect id="矩形 3529" o:spid="_x0000_s1026" o:spt="1" style="position:absolute;left:2056130;top:376555;height:297180;width:575945;"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zHJfXbAAAACgEAAA8AAAAAAAAAAQAgAAAAIgAA&#10;AGRycy9kb3ducmV2LnhtbFBLAQIUABQAAAAIAIdO4kBvRgqGzAEAAHUDAAAOAAAAAAAAAAEAIAAA&#10;ACoBAABkcnMvZTJvRG9jLnhtbFBLBQYAAAAABgAGAFkBAABoBQ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2.8</w:t>
                              </w:r>
                            </w:p>
                          </w:txbxContent>
                        </v:textbox>
                      </v:rect>
                      <v:shape id="自选图形 3534" o:spid="_x0000_s1026" o:spt="38" type="#_x0000_t38" style="position:absolute;left:1460424;top:230662;flip:y;height:268605;width:324485;" filled="f" stroked="t" coordsize="21600,21600" o:gfxdata="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MNcsTHaAAAACgEAAA8AAAAAAAAAAQAgAAAAIgAAAGRycy9kb3ducmV2LnhtbFBL&#10;AQIUABQAAAAIAIdO4kAfCXmtLQIAAC8EAAAOAAAAAAAAAAEAIAAAACkBAABkcnMvZTJvRG9jLnht&#10;bFBLBQYAAAAABgAGAFkBAADIBQAAAAA=&#10;" adj="12502">
                        <v:fill on="f" focussize="0,0"/>
                        <v:stroke color="#000000" joinstyle="round" dashstyle="dash" endarrow="block"/>
                        <v:imagedata o:title=""/>
                        <o:lock v:ext="edit" aspectratio="f"/>
                      </v:shape>
                      <v:rect id="矩形 3535" o:spid="_x0000_s1026" o:spt="1" style="position:absolute;left:1684711;top:15367;height:297180;width:503569;"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PMcl9dsAAAAKAQAADwAAAAAAAAABACAAAAAiAAAA&#10;ZHJzL2Rvd25yZXYueG1sUEsBAhQAFAAAAAgAh07iQDLgV/vLAQAAdAMAAA4AAAAAAAAAAQAgAAAA&#10;KgEAAGRycy9lMm9Eb2MueG1sUEsFBgAAAAAGAAYAWQEAAGcFA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0.7</w:t>
                              </w:r>
                            </w:p>
                          </w:txbxContent>
                        </v:textbox>
                      </v:rect>
                      <v:rect id="矩形 3538" o:spid="_x0000_s1026" o:spt="1" style="position:absolute;left:2583815;top:495300;height:299720;width:915670;" fillcolor="#FFFFFF" filled="t" stroked="t" coordsize="21600,21600" o:gfxdata="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aEAIAtgAAAAKAQAADwAAAAAAAAABACAAAAAiAAAAZHJzL2Rvd25yZXYueG1sUEsBAhQAFAAA&#10;AAgAh07iQG7JxCgoAgAAXQQAAA4AAAAAAAAAAQAgAAAAJwEAAGRycy9lMm9Eb2MueG1sUEsFBgAA&#10;AAAGAAYAWQEAAME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宋体"/>
                                  <w:sz w:val="21"/>
                                  <w:szCs w:val="21"/>
                                  <w:lang w:val="en-US" w:eastAsia="zh-CN"/>
                                </w:rPr>
                              </w:pPr>
                              <w:r>
                                <w:rPr>
                                  <w:rFonts w:hint="eastAsia"/>
                                  <w:sz w:val="21"/>
                                  <w:szCs w:val="21"/>
                                  <w:lang w:val="en-US" w:eastAsia="zh-CN"/>
                                </w:rPr>
                                <w:t>化粪池</w:t>
                              </w:r>
                            </w:p>
                          </w:txbxContent>
                        </v:textbox>
                      </v:rect>
                      <v:rect id="矩形 3542" o:spid="_x0000_s1026" o:spt="1" style="position:absolute;left:3905250;top:457835;height:407035;width:1160145;" fillcolor="#FFFFFF" filled="t" stroked="t" coordsize="21600,21600" o:gfxdata="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oQAgC2AAAAAoBAAAPAAAAAAAAAAEAIAAAACIAAABkcnMvZG93bnJldi54bWxQSwECFAAU&#10;AAAACACHTuJAFKQESCoCAABeBAAADgAAAAAAAAABACAAAAAnAQAAZHJzL2Uyb0RvYy54bWxQSwUG&#10;AAAAAAYABgBZAQAAwwUAAAAA&#10;">
                        <v:fill on="t" focussize="0,0"/>
                        <v:stroke color="#000000" joinstyle="miter"/>
                        <v:imagedata o:title=""/>
                        <o:lock v:ext="edit" aspectratio="f"/>
                        <v:textbox>
                          <w:txbxContent>
                            <w:p>
                              <w:pPr>
                                <w:snapToGrid w:val="0"/>
                                <w:jc w:val="center"/>
                                <w:rPr>
                                  <w:sz w:val="21"/>
                                  <w:szCs w:val="21"/>
                                </w:rPr>
                              </w:pPr>
                              <w:r>
                                <w:rPr>
                                  <w:rFonts w:hint="eastAsia"/>
                                  <w:sz w:val="21"/>
                                  <w:szCs w:val="21"/>
                                </w:rPr>
                                <w:t>繁昌县第二污水处理厂</w:t>
                              </w:r>
                            </w:p>
                          </w:txbxContent>
                        </v:textbox>
                      </v:rect>
                      <v:rect id="矩形 3535" o:spid="_x0000_s1026" o:spt="1" style="position:absolute;left:735803;top:339166;height:297180;width:503569;"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8xyX12wAAAAoBAAAPAAAAAAAAAAEAIAAAACIAAABk&#10;cnMvZG93bnJldi54bWxQSwECFAAUAAAACACHTuJAgunvwMoBAAB0AwAADgAAAAAAAAABACAAAAAq&#10;AQAAZHJzL2Uyb0RvYy54bWxQSwUGAAAAAAYABgBZAQAAZgUAAAAA&#10;">
                        <v:fill on="f" focussize="0,0"/>
                        <v:stroke on="f"/>
                        <v:imagedata o:title=""/>
                        <o:lock v:ext="edit" aspectratio="f"/>
                        <v:textbox>
                          <w:txbxContent>
                            <w:p>
                              <w:pPr>
                                <w:rPr>
                                  <w:rFonts w:hint="default"/>
                                  <w:sz w:val="21"/>
                                  <w:szCs w:val="21"/>
                                  <w:lang w:val="en-US"/>
                                </w:rPr>
                              </w:pPr>
                              <w:r>
                                <w:rPr>
                                  <w:rFonts w:hint="eastAsia"/>
                                  <w:sz w:val="21"/>
                                  <w:szCs w:val="21"/>
                                  <w:lang w:val="en-US" w:eastAsia="zh-CN"/>
                                </w:rPr>
                                <w:t>3.5</w:t>
                              </w:r>
                            </w:p>
                          </w:txbxContent>
                        </v:textbox>
                      </v:rect>
                      <v:shape id="直接箭头连接符 246" o:spid="_x0000_s1026" o:spt="32" type="#_x0000_t32" style="position:absolute;left:3507751;top:644297;height:3537;width:405320;" filled="f" stroked="t" coordsize="21600,21600" o:gfxdata="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NKPxDaAAAACgEA&#10;AA8AAAAAAAAAAQAgAAAAIgAAAGRycy9kb3ducmV2LnhtbFBLAQIUABQAAAAIAIdO4kCI+3UdGAIA&#10;AAEEAAAOAAAAAAAAAAEAIAAAACkBAABkcnMvZTJvRG9jLnhtbFBLBQYAAAAABgAGAFkBAACzBQAA&#10;AAA=&#10;">
                        <v:fill on="f" focussize="0,0"/>
                        <v:stroke color="#000000" joinstyle="round" endarrow="block"/>
                        <v:imagedata o:title=""/>
                        <o:lock v:ext="edit" aspectratio="f"/>
                      </v:shape>
                      <v:rect id="矩形 3529" o:spid="_x0000_s1026" o:spt="1" style="position:absolute;left:3461392;top:347627;height:297180;width:576023;" filled="f" stroked="f" coordsize="21600,21600" o:gfxdata="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PMcl9dsAAAAKAQAADwAAAAAAAAABACAAAAAiAAAA&#10;ZHJzL2Rvd25yZXYueG1sUEsBAhQAFAAAAAgAh07iQHT/7WnLAQAAdQMAAA4AAAAAAAAAAQAgAAAA&#10;KgEAAGRycy9lMm9Eb2MueG1sUEsFBgAAAAAGAAYAWQEAAGcFAAAAAA==&#10;">
                        <v:fill on="f" focussize="0,0"/>
                        <v:stroke on="f"/>
                        <v:imagedata o:title=""/>
                        <o:lock v:ext="edit" aspectratio="f"/>
                        <v:textbox>
                          <w:txbxContent>
                            <w:p>
                              <w:pPr>
                                <w:rPr>
                                  <w:rFonts w:hint="default" w:eastAsia="宋体"/>
                                  <w:sz w:val="21"/>
                                  <w:szCs w:val="21"/>
                                  <w:lang w:val="en-US" w:eastAsia="zh-CN"/>
                                </w:rPr>
                              </w:pPr>
                              <w:r>
                                <w:rPr>
                                  <w:rFonts w:hint="eastAsia"/>
                                  <w:sz w:val="21"/>
                                  <w:szCs w:val="21"/>
                                  <w:lang w:val="en-US" w:eastAsia="zh-CN"/>
                                </w:rPr>
                                <w:t>2.8</w:t>
                              </w:r>
                            </w:p>
                          </w:txbxContent>
                        </v:textbox>
                      </v:rect>
                      <v:line id="直线 3528" o:spid="_x0000_s1026" o:spt="20" style="position:absolute;left:535940;top:666750;height:0;width:643890;" filled="f" stroked="t" coordsize="21600,21600" o:gfxdata="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AKKv9sAAAAKAQAADwAAAAAAAAABACAAAAAiAAAAZHJzL2Rvd25yZXYueG1s&#10;UEsBAhQAFAAAAAgAh07iQL8xC2z1AQAA3wMAAA4AAAAAAAAAAQAgAAAAKgEAAGRycy9lMm9Eb2Mu&#10;eG1sUEsFBgAAAAAGAAYAWQEAAJEFAAAAAA==&#10;">
                        <v:fill on="f" focussize="0,0"/>
                        <v:stroke color="#000000" joinstyle="round" endarrow="block"/>
                        <v:imagedata o:title=""/>
                        <o:lock v:ext="edit" aspectratio="f"/>
                      </v:line>
                    </v:group>
                  </w:pict>
                </mc:Fallback>
              </mc:AlternateContent>
            </w:r>
          </w:p>
          <w:p>
            <w:pPr>
              <w:spacing w:line="360" w:lineRule="auto"/>
              <w:jc w:val="center"/>
              <w:rPr>
                <w:rFonts w:ascii="Times New Roman" w:hAnsi="Times New Roman" w:eastAsia="宋体"/>
                <w:b/>
                <w:bCs/>
                <w:caps w:val="0"/>
                <w:color w:val="000000" w:themeColor="text1"/>
                <w:sz w:val="24"/>
                <w:highlight w:val="none"/>
                <w14:textFill>
                  <w14:solidFill>
                    <w14:schemeClr w14:val="tx1"/>
                  </w14:solidFill>
                </w14:textFill>
              </w:rPr>
            </w:pPr>
          </w:p>
          <w:p>
            <w:pPr>
              <w:spacing w:line="360" w:lineRule="auto"/>
              <w:jc w:val="center"/>
              <w:rPr>
                <w:rFonts w:ascii="Times New Roman" w:hAnsi="Times New Roman" w:eastAsia="宋体"/>
                <w:b/>
                <w:bCs/>
                <w:caps w:val="0"/>
                <w:color w:val="000000" w:themeColor="text1"/>
                <w:sz w:val="24"/>
                <w:highlight w:val="none"/>
                <w14:textFill>
                  <w14:solidFill>
                    <w14:schemeClr w14:val="tx1"/>
                  </w14:solidFill>
                </w14:textFill>
              </w:rPr>
            </w:pPr>
          </w:p>
          <w:p>
            <w:pPr>
              <w:spacing w:line="360" w:lineRule="auto"/>
              <w:jc w:val="center"/>
              <w:rPr>
                <w:rFonts w:ascii="Times New Roman" w:hAnsi="Times New Roman" w:eastAsia="宋体"/>
                <w:b/>
                <w:bCs/>
                <w:caps w:val="0"/>
                <w:color w:val="000000" w:themeColor="text1"/>
                <w:sz w:val="24"/>
                <w:highlight w:val="none"/>
                <w14:textFill>
                  <w14:solidFill>
                    <w14:schemeClr w14:val="tx1"/>
                  </w14:solidFill>
                </w14:textFill>
              </w:rPr>
            </w:pPr>
          </w:p>
          <w:p>
            <w:pPr>
              <w:spacing w:before="156" w:beforeLines="50" w:line="360" w:lineRule="auto"/>
              <w:jc w:val="center"/>
              <w:rPr>
                <w:rFonts w:ascii="Times New Roman" w:hAnsi="Times New Roman" w:eastAsia="宋体"/>
                <w:b/>
                <w:bCs/>
                <w:caps w:val="0"/>
                <w:color w:val="000000" w:themeColor="text1"/>
                <w:sz w:val="24"/>
                <w:highlight w:val="none"/>
                <w14:textFill>
                  <w14:solidFill>
                    <w14:schemeClr w14:val="tx1"/>
                  </w14:solidFill>
                </w14:textFill>
              </w:rPr>
            </w:pPr>
            <w:r>
              <w:rPr>
                <w:rFonts w:hint="eastAsia" w:ascii="Times New Roman" w:hAnsi="Times New Roman" w:eastAsia="宋体"/>
                <w:b/>
                <w:bCs/>
                <w:caps w:val="0"/>
                <w:color w:val="000000" w:themeColor="text1"/>
                <w:sz w:val="24"/>
                <w:highlight w:val="none"/>
                <w14:textFill>
                  <w14:solidFill>
                    <w14:schemeClr w14:val="tx1"/>
                  </w14:solidFill>
                </w14:textFill>
              </w:rPr>
              <w:t>图</w:t>
            </w:r>
            <w:r>
              <w:rPr>
                <w:rFonts w:ascii="Times New Roman" w:hAnsi="Times New Roman" w:eastAsia="宋体"/>
                <w:b/>
                <w:bCs/>
                <w:caps w:val="0"/>
                <w:color w:val="000000" w:themeColor="text1"/>
                <w:sz w:val="24"/>
                <w:highlight w:val="none"/>
                <w14:textFill>
                  <w14:solidFill>
                    <w14:schemeClr w14:val="tx1"/>
                  </w14:solidFill>
                </w14:textFill>
              </w:rPr>
              <w:t>5-</w:t>
            </w:r>
            <w:r>
              <w:rPr>
                <w:rFonts w:hint="eastAsia" w:ascii="Times New Roman" w:hAnsi="Times New Roman" w:eastAsia="宋体"/>
                <w:b/>
                <w:bCs/>
                <w:caps w:val="0"/>
                <w:color w:val="000000" w:themeColor="text1"/>
                <w:sz w:val="24"/>
                <w:highlight w:val="none"/>
                <w14:textFill>
                  <w14:solidFill>
                    <w14:schemeClr w14:val="tx1"/>
                  </w14:solidFill>
                </w14:textFill>
              </w:rPr>
              <w:t>2</w:t>
            </w:r>
            <w:r>
              <w:rPr>
                <w:rFonts w:ascii="Times New Roman" w:hAnsi="Times New Roman" w:eastAsia="宋体"/>
                <w:b/>
                <w:bCs/>
                <w:caps w:val="0"/>
                <w:color w:val="000000" w:themeColor="text1"/>
                <w:sz w:val="24"/>
                <w:highlight w:val="none"/>
                <w14:textFill>
                  <w14:solidFill>
                    <w14:schemeClr w14:val="tx1"/>
                  </w14:solidFill>
                </w14:textFill>
              </w:rPr>
              <w:t xml:space="preserve">  </w:t>
            </w:r>
            <w:r>
              <w:rPr>
                <w:rFonts w:hint="eastAsia" w:ascii="Times New Roman" w:hAnsi="Times New Roman" w:eastAsia="宋体"/>
                <w:b/>
                <w:bCs/>
                <w:caps w:val="0"/>
                <w:color w:val="000000" w:themeColor="text1"/>
                <w:sz w:val="24"/>
                <w:highlight w:val="none"/>
                <w14:textFill>
                  <w14:solidFill>
                    <w14:schemeClr w14:val="tx1"/>
                  </w14:solidFill>
                </w14:textFill>
              </w:rPr>
              <w:t>项目水平衡图（</w:t>
            </w:r>
            <w:r>
              <w:rPr>
                <w:rFonts w:ascii="Times New Roman" w:hAnsi="Times New Roman" w:eastAsia="宋体"/>
                <w:b/>
                <w:bCs/>
                <w:caps w:val="0"/>
                <w:color w:val="000000" w:themeColor="text1"/>
                <w:sz w:val="24"/>
                <w:highlight w:val="none"/>
                <w14:textFill>
                  <w14:solidFill>
                    <w14:schemeClr w14:val="tx1"/>
                  </w14:solidFill>
                </w14:textFill>
              </w:rPr>
              <w:t>m</w:t>
            </w:r>
            <w:r>
              <w:rPr>
                <w:rFonts w:ascii="Times New Roman" w:hAnsi="Times New Roman" w:eastAsia="宋体"/>
                <w:b/>
                <w:bCs/>
                <w:caps w:val="0"/>
                <w:color w:val="000000" w:themeColor="text1"/>
                <w:sz w:val="24"/>
                <w:highlight w:val="none"/>
                <w:vertAlign w:val="superscript"/>
                <w14:textFill>
                  <w14:solidFill>
                    <w14:schemeClr w14:val="tx1"/>
                  </w14:solidFill>
                </w14:textFill>
              </w:rPr>
              <w:t>3</w:t>
            </w:r>
            <w:r>
              <w:rPr>
                <w:rFonts w:ascii="Times New Roman" w:hAnsi="Times New Roman" w:eastAsia="宋体"/>
                <w:b/>
                <w:bCs/>
                <w:caps w:val="0"/>
                <w:color w:val="000000" w:themeColor="text1"/>
                <w:sz w:val="24"/>
                <w:highlight w:val="none"/>
                <w14:textFill>
                  <w14:solidFill>
                    <w14:schemeClr w14:val="tx1"/>
                  </w14:solidFill>
                </w14:textFill>
              </w:rPr>
              <w:t>/d</w:t>
            </w:r>
            <w:r>
              <w:rPr>
                <w:rFonts w:hint="eastAsia" w:ascii="Times New Roman" w:hAnsi="Times New Roman" w:eastAsia="宋体"/>
                <w:b/>
                <w:bCs/>
                <w:caps w:val="0"/>
                <w:color w:val="000000" w:themeColor="text1"/>
                <w:sz w:val="24"/>
                <w:highlight w:val="none"/>
                <w14:textFill>
                  <w14:solidFill>
                    <w14:schemeClr w14:val="tx1"/>
                  </w14:solidFill>
                </w14:textFill>
              </w:rPr>
              <w:t>）</w:t>
            </w:r>
          </w:p>
          <w:p>
            <w:pPr>
              <w:autoSpaceDE w:val="0"/>
              <w:autoSpaceDN w:val="0"/>
              <w:adjustRightInd w:val="0"/>
              <w:spacing w:line="460" w:lineRule="exact"/>
              <w:ind w:firstLine="472" w:firstLineChars="196"/>
              <w:rPr>
                <w:rFonts w:ascii="Times New Roman" w:hAnsi="Times New Roman" w:eastAsia="宋体"/>
                <w:b/>
                <w:bCs/>
                <w:caps w:val="0"/>
                <w:color w:val="000000" w:themeColor="text1"/>
                <w:sz w:val="24"/>
                <w:highlight w:val="none"/>
                <w14:textFill>
                  <w14:solidFill>
                    <w14:schemeClr w14:val="tx1"/>
                  </w14:solidFill>
                </w14:textFill>
              </w:rPr>
            </w:pP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2</w:t>
            </w:r>
            <w:r>
              <w:rPr>
                <w:rFonts w:ascii="Times New Roman" w:hAnsi="Times New Roman" w:eastAsia="宋体"/>
                <w:b/>
                <w:bCs/>
                <w:caps w:val="0"/>
                <w:color w:val="000000" w:themeColor="text1"/>
                <w:sz w:val="24"/>
                <w:highlight w:val="none"/>
                <w14:textFill>
                  <w14:solidFill>
                    <w14:schemeClr w14:val="tx1"/>
                  </w14:solidFill>
                </w14:textFill>
              </w:rPr>
              <w:t>.3、噪声</w:t>
            </w:r>
          </w:p>
          <w:p>
            <w:pPr>
              <w:spacing w:line="460" w:lineRule="exact"/>
              <w:ind w:firstLine="480" w:firstLineChars="200"/>
              <w:rPr>
                <w:rFonts w:ascii="Times New Roman" w:hAnsi="Times New Roman" w:eastAsia="宋体"/>
                <w:bCs/>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本项目噪声源主要是车间内的各种生产设备及风机等，各设备噪声值在75~90dB（A）间，噪声源强见表</w:t>
            </w:r>
            <w:r>
              <w:rPr>
                <w:rFonts w:ascii="Times New Roman" w:hAnsi="Times New Roman" w:eastAsia="宋体"/>
                <w:bCs/>
                <w:caps w:val="0"/>
                <w:color w:val="000000" w:themeColor="text1"/>
                <w:sz w:val="24"/>
                <w:highlight w:val="none"/>
                <w14:textFill>
                  <w14:solidFill>
                    <w14:schemeClr w14:val="tx1"/>
                  </w14:solidFill>
                </w14:textFill>
              </w:rPr>
              <w:t>5-</w:t>
            </w:r>
            <w:r>
              <w:rPr>
                <w:rFonts w:hint="eastAsia" w:ascii="Times New Roman" w:hAnsi="Times New Roman" w:eastAsia="宋体"/>
                <w:bCs/>
                <w:caps w:val="0"/>
                <w:color w:val="000000" w:themeColor="text1"/>
                <w:sz w:val="24"/>
                <w:highlight w:val="none"/>
                <w:lang w:val="en-US" w:eastAsia="zh-CN"/>
                <w14:textFill>
                  <w14:solidFill>
                    <w14:schemeClr w14:val="tx1"/>
                  </w14:solidFill>
                </w14:textFill>
              </w:rPr>
              <w:t>4</w:t>
            </w:r>
            <w:r>
              <w:rPr>
                <w:rFonts w:ascii="Times New Roman" w:hAnsi="Times New Roman" w:eastAsia="宋体"/>
                <w:bCs/>
                <w:caps w:val="0"/>
                <w:color w:val="000000" w:themeColor="text1"/>
                <w:sz w:val="24"/>
                <w:highlight w:val="none"/>
                <w14:textFill>
                  <w14:solidFill>
                    <w14:schemeClr w14:val="tx1"/>
                  </w14:solidFill>
                </w14:textFill>
              </w:rPr>
              <w:t>。</w:t>
            </w:r>
          </w:p>
          <w:p>
            <w:pPr>
              <w:spacing w:line="460" w:lineRule="exact"/>
              <w:jc w:val="center"/>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表5-</w:t>
            </w: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4</w:t>
            </w:r>
            <w:r>
              <w:rPr>
                <w:rFonts w:ascii="Times New Roman" w:hAnsi="Times New Roman" w:eastAsia="宋体"/>
                <w:b/>
                <w:bCs/>
                <w:caps w:val="0"/>
                <w:color w:val="000000" w:themeColor="text1"/>
                <w:sz w:val="24"/>
                <w:highlight w:val="none"/>
                <w14:textFill>
                  <w14:solidFill>
                    <w14:schemeClr w14:val="tx1"/>
                  </w14:solidFill>
                </w14:textFill>
              </w:rPr>
              <w:t xml:space="preserve"> 主要</w:t>
            </w:r>
            <w:r>
              <w:rPr>
                <w:rFonts w:ascii="Times New Roman" w:hAnsi="Times New Roman" w:eastAsia="宋体"/>
                <w:b/>
                <w:caps w:val="0"/>
                <w:color w:val="000000" w:themeColor="text1"/>
                <w:sz w:val="24"/>
                <w:highlight w:val="none"/>
                <w14:textFill>
                  <w14:solidFill>
                    <w14:schemeClr w14:val="tx1"/>
                  </w14:solidFill>
                </w14:textFill>
              </w:rPr>
              <w:t xml:space="preserve">噪声源强一览表  </w:t>
            </w:r>
          </w:p>
          <w:tbl>
            <w:tblPr>
              <w:tblStyle w:val="32"/>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1380"/>
              <w:gridCol w:w="2286"/>
              <w:gridCol w:w="2553"/>
              <w:gridCol w:w="2036"/>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9" w:hRule="exact"/>
                <w:jc w:val="center"/>
              </w:trPr>
              <w:tc>
                <w:tcPr>
                  <w:tcW w:w="387"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序号</w:t>
                  </w:r>
                </w:p>
              </w:tc>
              <w:tc>
                <w:tcPr>
                  <w:tcW w:w="771"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设备名称</w:t>
                  </w:r>
                </w:p>
              </w:tc>
              <w:tc>
                <w:tcPr>
                  <w:tcW w:w="1277"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声级值（dB（A））</w:t>
                  </w:r>
                </w:p>
              </w:tc>
              <w:tc>
                <w:tcPr>
                  <w:tcW w:w="1426"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治理措施</w:t>
                  </w:r>
                </w:p>
              </w:tc>
              <w:tc>
                <w:tcPr>
                  <w:tcW w:w="1137" w:type="pct"/>
                  <w:tcBorders>
                    <w:tl2br w:val="nil"/>
                    <w:tr2bl w:val="nil"/>
                  </w:tcBorders>
                  <w:vAlign w:val="center"/>
                </w:tcPr>
                <w:p>
                  <w:pPr>
                    <w:spacing w:line="32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隔声、降噪效果dB(A)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87" w:type="pct"/>
                  <w:tcBorders>
                    <w:tl2br w:val="nil"/>
                    <w:tr2bl w:val="nil"/>
                  </w:tcBorders>
                  <w:vAlign w:val="center"/>
                </w:tcPr>
                <w:p>
                  <w:pPr>
                    <w:spacing w:line="320" w:lineRule="exact"/>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w:t>
                  </w:r>
                </w:p>
              </w:tc>
              <w:tc>
                <w:tcPr>
                  <w:tcW w:w="771" w:type="pct"/>
                  <w:tcBorders>
                    <w:tl2br w:val="nil"/>
                    <w:tr2bl w:val="nil"/>
                  </w:tcBorders>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抛丸机</w:t>
                  </w:r>
                </w:p>
              </w:tc>
              <w:tc>
                <w:tcPr>
                  <w:tcW w:w="1277"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75~80</w:t>
                  </w:r>
                </w:p>
              </w:tc>
              <w:tc>
                <w:tcPr>
                  <w:tcW w:w="1426" w:type="pct"/>
                  <w:vMerge w:val="restart"/>
                  <w:tcBorders>
                    <w:tl2br w:val="nil"/>
                    <w:tr2bl w:val="nil"/>
                  </w:tcBorders>
                  <w:vAlign w:val="center"/>
                </w:tcPr>
                <w:p>
                  <w:pPr>
                    <w:widowControl/>
                    <w:spacing w:line="320" w:lineRule="exact"/>
                    <w:jc w:val="left"/>
                    <w:rPr>
                      <w:rFonts w:ascii="Times New Roman" w:hAnsi="Times New Roman" w:eastAsia="宋体"/>
                      <w:caps w:val="0"/>
                      <w:color w:val="000000" w:themeColor="text1"/>
                      <w:sz w:val="21"/>
                      <w:szCs w:val="21"/>
                      <w:highlight w:val="none"/>
                      <w14:textFill>
                        <w14:solidFill>
                          <w14:schemeClr w14:val="tx1"/>
                        </w14:solidFill>
                      </w14:textFill>
                    </w:rPr>
                  </w:pPr>
                </w:p>
              </w:tc>
              <w:tc>
                <w:tcPr>
                  <w:tcW w:w="1137" w:type="pct"/>
                  <w:tcBorders>
                    <w:tl2br w:val="nil"/>
                    <w:tr2bl w:val="nil"/>
                  </w:tcBorders>
                  <w:vAlign w:val="center"/>
                </w:tcPr>
                <w:p>
                  <w:pPr>
                    <w:widowControl/>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87" w:type="pct"/>
                  <w:tcBorders>
                    <w:tl2br w:val="nil"/>
                    <w:tr2bl w:val="nil"/>
                  </w:tcBorders>
                  <w:vAlign w:val="center"/>
                </w:tcPr>
                <w:p>
                  <w:pPr>
                    <w:spacing w:line="320" w:lineRule="exact"/>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w:t>
                  </w:r>
                </w:p>
              </w:tc>
              <w:tc>
                <w:tcPr>
                  <w:tcW w:w="771" w:type="pct"/>
                  <w:tcBorders>
                    <w:tl2br w:val="nil"/>
                    <w:tr2bl w:val="nil"/>
                  </w:tcBorders>
                  <w:vAlign w:val="center"/>
                </w:tcPr>
                <w:p>
                  <w:pPr>
                    <w:widowControl/>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加工中心</w:t>
                  </w:r>
                </w:p>
              </w:tc>
              <w:tc>
                <w:tcPr>
                  <w:tcW w:w="1277"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75~80</w:t>
                  </w:r>
                </w:p>
              </w:tc>
              <w:tc>
                <w:tcPr>
                  <w:tcW w:w="1426" w:type="pct"/>
                  <w:vMerge w:val="continue"/>
                  <w:tcBorders>
                    <w:tl2br w:val="nil"/>
                    <w:tr2bl w:val="nil"/>
                  </w:tcBorders>
                  <w:vAlign w:val="center"/>
                </w:tcPr>
                <w:p>
                  <w:pPr>
                    <w:widowControl/>
                    <w:spacing w:line="320" w:lineRule="exact"/>
                    <w:jc w:val="left"/>
                    <w:rPr>
                      <w:rFonts w:ascii="Times New Roman" w:hAnsi="Times New Roman" w:eastAsia="宋体"/>
                      <w:caps w:val="0"/>
                      <w:color w:val="000000" w:themeColor="text1"/>
                      <w:sz w:val="21"/>
                      <w:szCs w:val="21"/>
                      <w:highlight w:val="none"/>
                      <w14:textFill>
                        <w14:solidFill>
                          <w14:schemeClr w14:val="tx1"/>
                        </w14:solidFill>
                      </w14:textFill>
                    </w:rPr>
                  </w:pPr>
                </w:p>
              </w:tc>
              <w:tc>
                <w:tcPr>
                  <w:tcW w:w="1137" w:type="pct"/>
                  <w:tcBorders>
                    <w:tl2br w:val="nil"/>
                    <w:tr2bl w:val="nil"/>
                  </w:tcBorders>
                  <w:vAlign w:val="center"/>
                </w:tcPr>
                <w:p>
                  <w:pPr>
                    <w:widowControl/>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87" w:type="pct"/>
                  <w:tcBorders>
                    <w:tl2br w:val="nil"/>
                    <w:tr2bl w:val="nil"/>
                  </w:tcBorders>
                  <w:vAlign w:val="center"/>
                </w:tcPr>
                <w:p>
                  <w:pPr>
                    <w:spacing w:line="320" w:lineRule="exact"/>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3</w:t>
                  </w:r>
                </w:p>
              </w:tc>
              <w:tc>
                <w:tcPr>
                  <w:tcW w:w="771" w:type="pct"/>
                  <w:tcBorders>
                    <w:tl2br w:val="nil"/>
                    <w:tr2bl w:val="nil"/>
                  </w:tcBorders>
                  <w:vAlign w:val="center"/>
                </w:tcPr>
                <w:p>
                  <w:pPr>
                    <w:widowControl/>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风机</w:t>
                  </w:r>
                </w:p>
              </w:tc>
              <w:tc>
                <w:tcPr>
                  <w:tcW w:w="1277"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80~90</w:t>
                  </w:r>
                </w:p>
              </w:tc>
              <w:tc>
                <w:tcPr>
                  <w:tcW w:w="1426" w:type="pct"/>
                  <w:vMerge w:val="continue"/>
                  <w:tcBorders>
                    <w:tl2br w:val="nil"/>
                    <w:tr2bl w:val="nil"/>
                  </w:tcBorders>
                  <w:vAlign w:val="center"/>
                </w:tcPr>
                <w:p>
                  <w:pPr>
                    <w:widowControl/>
                    <w:spacing w:line="320" w:lineRule="exact"/>
                    <w:jc w:val="left"/>
                    <w:rPr>
                      <w:rFonts w:ascii="Times New Roman" w:hAnsi="Times New Roman" w:eastAsia="宋体"/>
                      <w:caps w:val="0"/>
                      <w:color w:val="000000" w:themeColor="text1"/>
                      <w:sz w:val="21"/>
                      <w:szCs w:val="21"/>
                      <w:highlight w:val="none"/>
                      <w14:textFill>
                        <w14:solidFill>
                          <w14:schemeClr w14:val="tx1"/>
                        </w14:solidFill>
                      </w14:textFill>
                    </w:rPr>
                  </w:pPr>
                </w:p>
              </w:tc>
              <w:tc>
                <w:tcPr>
                  <w:tcW w:w="1137" w:type="pct"/>
                  <w:tcBorders>
                    <w:tl2br w:val="nil"/>
                    <w:tr2bl w:val="nil"/>
                  </w:tcBorders>
                  <w:vAlign w:val="center"/>
                </w:tcPr>
                <w:p>
                  <w:pPr>
                    <w:widowControl/>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≥25</w:t>
                  </w:r>
                </w:p>
              </w:tc>
            </w:tr>
          </w:tbl>
          <w:p>
            <w:pPr>
              <w:spacing w:line="360" w:lineRule="auto"/>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2</w:t>
            </w:r>
            <w:r>
              <w:rPr>
                <w:rFonts w:ascii="Times New Roman" w:hAnsi="Times New Roman" w:eastAsia="宋体"/>
                <w:b/>
                <w:caps w:val="0"/>
                <w:color w:val="000000" w:themeColor="text1"/>
                <w:sz w:val="24"/>
                <w:highlight w:val="none"/>
                <w14:textFill>
                  <w14:solidFill>
                    <w14:schemeClr w14:val="tx1"/>
                  </w14:solidFill>
                </w14:textFill>
              </w:rPr>
              <w:t>.4、固废</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本</w:t>
            </w:r>
            <w:r>
              <w:rPr>
                <w:rFonts w:ascii="Times New Roman" w:hAnsi="Times New Roman" w:eastAsia="宋体"/>
                <w:caps w:val="0"/>
                <w:color w:val="000000" w:themeColor="text1"/>
                <w:sz w:val="24"/>
                <w:szCs w:val="24"/>
                <w:highlight w:val="none"/>
                <w14:textFill>
                  <w14:solidFill>
                    <w14:schemeClr w14:val="tx1"/>
                  </w14:solidFill>
                </w14:textFill>
              </w:rPr>
              <w:t>项目产生的固体废物包括</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机加工工序产生的金属屑、</w:t>
            </w:r>
            <w:r>
              <w:rPr>
                <w:rFonts w:ascii="Times New Roman" w:hAnsi="Times New Roman" w:eastAsia="宋体"/>
                <w:caps w:val="0"/>
                <w:color w:val="000000" w:themeColor="text1"/>
                <w:sz w:val="24"/>
                <w:szCs w:val="24"/>
                <w:highlight w:val="none"/>
                <w14:textFill>
                  <w14:solidFill>
                    <w14:schemeClr w14:val="tx1"/>
                  </w14:solidFill>
                </w14:textFill>
              </w:rPr>
              <w:t>废油和废桶，设备维修过程中产生的含油抹布手套，活性炭吸附装置产生的废活性炭，</w:t>
            </w:r>
            <w:r>
              <w:rPr>
                <w:rFonts w:ascii="Times New Roman" w:hAnsi="Times New Roman" w:eastAsia="宋体"/>
                <w:caps w:val="0"/>
                <w:color w:val="000000" w:themeColor="text1"/>
                <w:spacing w:val="4"/>
                <w:kern w:val="18"/>
                <w:sz w:val="24"/>
                <w:szCs w:val="24"/>
                <w:highlight w:val="none"/>
                <w14:textFill>
                  <w14:solidFill>
                    <w14:schemeClr w14:val="tx1"/>
                  </w14:solidFill>
                </w14:textFill>
              </w:rPr>
              <w:t>除尘设备收集粉尘</w:t>
            </w:r>
            <w:r>
              <w:rPr>
                <w:rFonts w:hint="eastAsia" w:ascii="Times New Roman" w:hAnsi="Times New Roman" w:eastAsia="宋体"/>
                <w:caps w:val="0"/>
                <w:color w:val="000000" w:themeColor="text1"/>
                <w:spacing w:val="4"/>
                <w:kern w:val="18"/>
                <w:sz w:val="24"/>
                <w:szCs w:val="24"/>
                <w:highlight w:val="none"/>
                <w14:textFill>
                  <w14:solidFill>
                    <w14:schemeClr w14:val="tx1"/>
                  </w14:solidFill>
                </w14:textFill>
              </w:rPr>
              <w:t>，</w:t>
            </w:r>
            <w:r>
              <w:rPr>
                <w:rFonts w:ascii="Times New Roman" w:hAnsi="Times New Roman" w:eastAsia="宋体"/>
                <w:caps w:val="0"/>
                <w:color w:val="000000" w:themeColor="text1"/>
                <w:sz w:val="24"/>
                <w:szCs w:val="24"/>
                <w:highlight w:val="none"/>
                <w14:textFill>
                  <w14:solidFill>
                    <w14:schemeClr w14:val="tx1"/>
                  </w14:solidFill>
                </w14:textFill>
              </w:rPr>
              <w:t>职工生活过程中产生的生活垃圾。</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本项目</w:t>
            </w:r>
            <w:r>
              <w:rPr>
                <w:rFonts w:ascii="Times New Roman" w:hAnsi="Times New Roman" w:eastAsia="宋体"/>
                <w:caps w:val="0"/>
                <w:color w:val="000000" w:themeColor="text1"/>
                <w:sz w:val="24"/>
                <w:szCs w:val="24"/>
                <w:highlight w:val="none"/>
                <w14:textFill>
                  <w14:solidFill>
                    <w14:schemeClr w14:val="tx1"/>
                  </w14:solidFill>
                </w14:textFill>
              </w:rPr>
              <w:t>各种固体废物产生量及处理处置情况见下表。</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①生活垃圾</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根据《环境保护实用数据手册》的相关数据，垃圾产生量按0.5kg/(人·d)，</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本</w:t>
            </w:r>
            <w:r>
              <w:rPr>
                <w:rFonts w:ascii="Times New Roman" w:hAnsi="Times New Roman" w:eastAsia="宋体"/>
                <w:caps w:val="0"/>
                <w:color w:val="000000" w:themeColor="text1"/>
                <w:sz w:val="24"/>
                <w:szCs w:val="24"/>
                <w:highlight w:val="none"/>
                <w14:textFill>
                  <w14:solidFill>
                    <w14:schemeClr w14:val="tx1"/>
                  </w14:solidFill>
                </w14:textFill>
              </w:rPr>
              <w:t>项目定员</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50</w:t>
            </w:r>
            <w:r>
              <w:rPr>
                <w:rFonts w:ascii="Times New Roman" w:hAnsi="Times New Roman" w:eastAsia="宋体"/>
                <w:caps w:val="0"/>
                <w:color w:val="000000" w:themeColor="text1"/>
                <w:sz w:val="24"/>
                <w:szCs w:val="24"/>
                <w:highlight w:val="none"/>
                <w14:textFill>
                  <w14:solidFill>
                    <w14:schemeClr w14:val="tx1"/>
                  </w14:solidFill>
                </w14:textFill>
              </w:rPr>
              <w:t>人，年工作日为300天，则生活垃圾产生量为</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7.5</w:t>
            </w:r>
            <w:r>
              <w:rPr>
                <w:rFonts w:ascii="Times New Roman" w:hAnsi="Times New Roman" w:eastAsia="宋体"/>
                <w:caps w:val="0"/>
                <w:color w:val="000000" w:themeColor="text1"/>
                <w:sz w:val="24"/>
                <w:szCs w:val="24"/>
                <w:highlight w:val="none"/>
                <w14:textFill>
                  <w14:solidFill>
                    <w14:schemeClr w14:val="tx1"/>
                  </w14:solidFill>
                </w14:textFill>
              </w:rPr>
              <w:t>t/a，均统一存放于厂区垃圾箱内，由环卫部门定期运送至垃圾处理场处理。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②废活性炭</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计算得知，活性炭吸附有机废气量为</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0.2754</w:t>
            </w:r>
            <w:r>
              <w:rPr>
                <w:rFonts w:ascii="Times New Roman" w:hAnsi="Times New Roman" w:eastAsia="宋体"/>
                <w:caps w:val="0"/>
                <w:color w:val="000000" w:themeColor="text1"/>
                <w:sz w:val="24"/>
                <w:szCs w:val="24"/>
                <w:highlight w:val="none"/>
                <w14:textFill>
                  <w14:solidFill>
                    <w14:schemeClr w14:val="tx1"/>
                  </w14:solidFill>
                </w14:textFill>
              </w:rPr>
              <w:t>t/a，有机废气吸附量按1t活性炭吸附0.</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25</w:t>
            </w:r>
            <w:r>
              <w:rPr>
                <w:rFonts w:ascii="Times New Roman" w:hAnsi="Times New Roman" w:eastAsia="宋体"/>
                <w:caps w:val="0"/>
                <w:color w:val="000000" w:themeColor="text1"/>
                <w:sz w:val="24"/>
                <w:szCs w:val="24"/>
                <w:highlight w:val="none"/>
                <w14:textFill>
                  <w14:solidFill>
                    <w14:schemeClr w14:val="tx1"/>
                  </w14:solidFill>
                </w14:textFill>
              </w:rPr>
              <w:t xml:space="preserve"> t有机废气计算，则活性炭的使用量为</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1.1016</w:t>
            </w:r>
            <w:r>
              <w:rPr>
                <w:rFonts w:ascii="Times New Roman" w:hAnsi="Times New Roman" w:eastAsia="宋体"/>
                <w:caps w:val="0"/>
                <w:color w:val="000000" w:themeColor="text1"/>
                <w:sz w:val="24"/>
                <w:szCs w:val="24"/>
                <w:highlight w:val="none"/>
                <w14:textFill>
                  <w14:solidFill>
                    <w14:schemeClr w14:val="tx1"/>
                  </w14:solidFill>
                </w14:textFill>
              </w:rPr>
              <w:t>t/a。活性炭吸附装置一次性填充量为</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0.1</w:t>
            </w:r>
            <w:r>
              <w:rPr>
                <w:rFonts w:ascii="Times New Roman" w:hAnsi="Times New Roman" w:eastAsia="宋体"/>
                <w:caps w:val="0"/>
                <w:color w:val="000000" w:themeColor="text1"/>
                <w:sz w:val="24"/>
                <w:szCs w:val="24"/>
                <w:highlight w:val="none"/>
                <w14:textFill>
                  <w14:solidFill>
                    <w14:schemeClr w14:val="tx1"/>
                  </w14:solidFill>
                </w14:textFill>
              </w:rPr>
              <w:t xml:space="preserve"> t，更换频率为每个月更换一次，则本项目废活性炭产生量为</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1.377</w:t>
            </w:r>
            <w:r>
              <w:rPr>
                <w:rFonts w:ascii="Times New Roman" w:hAnsi="Times New Roman" w:eastAsia="宋体"/>
                <w:caps w:val="0"/>
                <w:color w:val="000000" w:themeColor="text1"/>
                <w:sz w:val="24"/>
                <w:szCs w:val="24"/>
                <w:highlight w:val="none"/>
                <w14:textFill>
                  <w14:solidFill>
                    <w14:schemeClr w14:val="tx1"/>
                  </w14:solidFill>
                </w14:textFill>
              </w:rPr>
              <w:t xml:space="preserve"> t/a。按《国家危险废物名录》（2016年8月1日起施行），废活性炭属于危险废弃（废物类别HW49），由资质单位统一处理。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③含油抹布手套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本项目废手套年产生量为0.001 t/a，按《国家危险废物名录》，</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交由环卫部门处理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④</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废边角料</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根据建设单位提供资料，项目</w:t>
            </w:r>
            <w:r>
              <w:rPr>
                <w:rFonts w:hint="eastAsia" w:ascii="Times New Roman" w:hAnsi="Times New Roman" w:eastAsia="宋体" w:cs="宋体"/>
                <w:caps w:val="0"/>
                <w:color w:val="000000" w:themeColor="text1"/>
                <w:sz w:val="24"/>
                <w:szCs w:val="24"/>
                <w:highlight w:val="none"/>
                <w:lang w:val="en-US" w:eastAsia="zh-CN"/>
                <w14:textFill>
                  <w14:solidFill>
                    <w14:schemeClr w14:val="tx1"/>
                  </w14:solidFill>
                </w14:textFill>
              </w:rPr>
              <w:t>机加工过程产生的废边角料</w:t>
            </w:r>
            <w:r>
              <w:rPr>
                <w:rFonts w:hint="eastAsia" w:ascii="Times New Roman" w:hAnsi="Times New Roman" w:eastAsia="宋体"/>
                <w:caps w:val="0"/>
                <w:color w:val="000000" w:themeColor="text1"/>
                <w:sz w:val="24"/>
                <w:szCs w:val="24"/>
                <w:highlight w:val="none"/>
                <w14:textFill>
                  <w14:solidFill>
                    <w14:schemeClr w14:val="tx1"/>
                  </w14:solidFill>
                </w14:textFill>
              </w:rPr>
              <w:t>约</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aps w:val="0"/>
                <w:color w:val="000000" w:themeColor="text1"/>
                <w:sz w:val="24"/>
                <w:szCs w:val="24"/>
                <w:highlight w:val="none"/>
                <w14:textFill>
                  <w14:solidFill>
                    <w14:schemeClr w14:val="tx1"/>
                  </w14:solidFill>
                </w14:textFill>
              </w:rPr>
              <w:t xml:space="preserve"> t/a。集中收集后交由物资回收部门统一处理。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⑤</w:t>
            </w:r>
            <w:r>
              <w:rPr>
                <w:rFonts w:hint="eastAsia" w:ascii="Times New Roman" w:hAnsi="Times New Roman" w:eastAsia="宋体"/>
                <w:caps w:val="0"/>
                <w:color w:val="000000" w:themeColor="text1"/>
                <w:sz w:val="24"/>
                <w:szCs w:val="24"/>
                <w:highlight w:val="none"/>
                <w14:textFill>
                  <w14:solidFill>
                    <w14:schemeClr w14:val="tx1"/>
                  </w14:solidFill>
                </w14:textFill>
              </w:rPr>
              <w:t>除尘装置收集粉尘</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经上文计算分析得知，</w:t>
            </w:r>
            <w:r>
              <w:rPr>
                <w:rFonts w:hint="eastAsia" w:ascii="Times New Roman" w:hAnsi="Times New Roman" w:eastAsia="宋体"/>
                <w:caps w:val="0"/>
                <w:color w:val="000000" w:themeColor="text1"/>
                <w:sz w:val="24"/>
                <w:szCs w:val="24"/>
                <w:highlight w:val="none"/>
                <w14:textFill>
                  <w14:solidFill>
                    <w14:schemeClr w14:val="tx1"/>
                  </w14:solidFill>
                </w14:textFill>
              </w:rPr>
              <w:t>除尘装置收集粉尘为</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0.891</w:t>
            </w:r>
            <w:r>
              <w:rPr>
                <w:rFonts w:hint="eastAsia" w:ascii="Times New Roman" w:hAnsi="Times New Roman" w:eastAsia="宋体"/>
                <w:caps w:val="0"/>
                <w:color w:val="000000" w:themeColor="text1"/>
                <w:sz w:val="24"/>
                <w:szCs w:val="24"/>
                <w:highlight w:val="none"/>
                <w14:textFill>
                  <w14:solidFill>
                    <w14:schemeClr w14:val="tx1"/>
                  </w14:solidFill>
                </w14:textFill>
              </w:rPr>
              <w:t xml:space="preserve"> t/a，集中收集后交由物资回收部门统一处理。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⑥</w:t>
            </w:r>
            <w:r>
              <w:rPr>
                <w:rFonts w:hint="eastAsia" w:ascii="Times New Roman" w:hAnsi="Times New Roman" w:eastAsia="宋体"/>
                <w:caps w:val="0"/>
                <w:color w:val="000000" w:themeColor="text1"/>
                <w:sz w:val="24"/>
                <w:szCs w:val="24"/>
                <w:highlight w:val="none"/>
                <w14:textFill>
                  <w14:solidFill>
                    <w14:schemeClr w14:val="tx1"/>
                  </w14:solidFill>
                </w14:textFill>
              </w:rPr>
              <w:t>废桶、废油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机加工工序产生的废油和废桶</w:t>
            </w:r>
            <w:r>
              <w:rPr>
                <w:rFonts w:hint="eastAsia" w:ascii="Times New Roman" w:hAnsi="Times New Roman" w:eastAsia="宋体"/>
                <w:caps w:val="0"/>
                <w:color w:val="000000" w:themeColor="text1"/>
                <w:sz w:val="24"/>
                <w:szCs w:val="24"/>
                <w:highlight w:val="none"/>
                <w14:textFill>
                  <w14:solidFill>
                    <w14:schemeClr w14:val="tx1"/>
                  </w14:solidFill>
                </w14:textFill>
              </w:rPr>
              <w:t>分别为</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1.35</w:t>
            </w:r>
            <w:r>
              <w:rPr>
                <w:rFonts w:hint="eastAsia" w:ascii="Times New Roman" w:hAnsi="Times New Roman" w:eastAsia="宋体"/>
                <w:caps w:val="0"/>
                <w:color w:val="000000" w:themeColor="text1"/>
                <w:sz w:val="24"/>
                <w:szCs w:val="24"/>
                <w:highlight w:val="none"/>
                <w14:textFill>
                  <w14:solidFill>
                    <w14:schemeClr w14:val="tx1"/>
                  </w14:solidFill>
                </w14:textFill>
              </w:rPr>
              <w:t>t/a、0.</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aps w:val="0"/>
                <w:color w:val="000000" w:themeColor="text1"/>
                <w:sz w:val="24"/>
                <w:szCs w:val="24"/>
                <w:highlight w:val="none"/>
                <w14:textFill>
                  <w14:solidFill>
                    <w14:schemeClr w14:val="tx1"/>
                  </w14:solidFill>
                </w14:textFill>
              </w:rPr>
              <w:t>t/a</w:t>
            </w:r>
            <w:r>
              <w:rPr>
                <w:rFonts w:ascii="Times New Roman" w:hAnsi="Times New Roman" w:eastAsia="宋体"/>
                <w:caps w:val="0"/>
                <w:color w:val="000000" w:themeColor="text1"/>
                <w:sz w:val="24"/>
                <w:szCs w:val="24"/>
                <w:highlight w:val="none"/>
                <w14:textFill>
                  <w14:solidFill>
                    <w14:schemeClr w14:val="tx1"/>
                  </w14:solidFill>
                </w14:textFill>
              </w:rPr>
              <w:t>，按《国家危险废物名录》（2016年8月1日起施行），</w:t>
            </w:r>
            <w:r>
              <w:rPr>
                <w:rFonts w:hint="eastAsia" w:ascii="Times New Roman" w:hAnsi="Times New Roman" w:eastAsia="宋体"/>
                <w:caps w:val="0"/>
                <w:color w:val="000000" w:themeColor="text1"/>
                <w:sz w:val="24"/>
                <w:szCs w:val="24"/>
                <w:highlight w:val="none"/>
                <w14:textFill>
                  <w14:solidFill>
                    <w14:schemeClr w14:val="tx1"/>
                  </w14:solidFill>
                </w14:textFill>
              </w:rPr>
              <w:t>废桶和废油</w:t>
            </w:r>
            <w:r>
              <w:rPr>
                <w:rFonts w:ascii="Times New Roman" w:hAnsi="Times New Roman" w:eastAsia="宋体"/>
                <w:caps w:val="0"/>
                <w:color w:val="000000" w:themeColor="text1"/>
                <w:sz w:val="24"/>
                <w:szCs w:val="24"/>
                <w:highlight w:val="none"/>
                <w14:textFill>
                  <w14:solidFill>
                    <w14:schemeClr w14:val="tx1"/>
                  </w14:solidFill>
                </w14:textFill>
              </w:rPr>
              <w:t>属于危险废弃（废物类别</w:t>
            </w:r>
            <w:r>
              <w:rPr>
                <w:rFonts w:hint="eastAsia" w:ascii="Times New Roman" w:hAnsi="Times New Roman" w:eastAsia="宋体"/>
                <w:caps w:val="0"/>
                <w:color w:val="000000" w:themeColor="text1"/>
                <w:sz w:val="24"/>
                <w:szCs w:val="24"/>
                <w:highlight w:val="none"/>
                <w14:textFill>
                  <w14:solidFill>
                    <w14:schemeClr w14:val="tx1"/>
                  </w14:solidFill>
                </w14:textFill>
              </w:rPr>
              <w:t>HW08</w:t>
            </w:r>
            <w:r>
              <w:rPr>
                <w:rFonts w:ascii="Times New Roman" w:hAnsi="Times New Roman" w:eastAsia="宋体"/>
                <w:caps w:val="0"/>
                <w:color w:val="000000" w:themeColor="text1"/>
                <w:sz w:val="24"/>
                <w:szCs w:val="24"/>
                <w:highlight w:val="none"/>
                <w14:textFill>
                  <w14:solidFill>
                    <w14:schemeClr w14:val="tx1"/>
                  </w14:solidFill>
                </w14:textFill>
              </w:rPr>
              <w:t>），由资质单位统一处理。</w:t>
            </w:r>
          </w:p>
          <w:p>
            <w:pPr>
              <w:spacing w:line="360" w:lineRule="auto"/>
              <w:ind w:firstLine="480"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本项目固体废物产生与处置情况见下表。</w:t>
            </w:r>
          </w:p>
          <w:p>
            <w:pPr>
              <w:ind w:firstLine="482"/>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表5-</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5</w:t>
            </w:r>
            <w:r>
              <w:rPr>
                <w:rFonts w:ascii="Times New Roman" w:hAnsi="Times New Roman" w:eastAsia="宋体"/>
                <w:b/>
                <w:caps w:val="0"/>
                <w:color w:val="000000" w:themeColor="text1"/>
                <w:sz w:val="24"/>
                <w:highlight w:val="none"/>
                <w14:textFill>
                  <w14:solidFill>
                    <w14:schemeClr w14:val="tx1"/>
                  </w14:solidFill>
                </w14:textFill>
              </w:rPr>
              <w:t xml:space="preserve"> 项目固体废物产生量及处理方式</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5"/>
              <w:gridCol w:w="1258"/>
              <w:gridCol w:w="1787"/>
              <w:gridCol w:w="1525"/>
              <w:gridCol w:w="1500"/>
              <w:gridCol w:w="13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序号</w:t>
                  </w:r>
                </w:p>
              </w:tc>
              <w:tc>
                <w:tcPr>
                  <w:tcW w:w="1258" w:type="dxa"/>
                  <w:noWrap w:val="0"/>
                  <w:vAlign w:val="center"/>
                </w:tcPr>
                <w:p>
                  <w:pPr>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名称</w:t>
                  </w:r>
                </w:p>
              </w:tc>
              <w:tc>
                <w:tcPr>
                  <w:tcW w:w="1787"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类别及代码</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产生量（t/a）</w:t>
                  </w:r>
                </w:p>
              </w:tc>
              <w:tc>
                <w:tcPr>
                  <w:tcW w:w="1500"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处置方式</w:t>
                  </w: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hint="eastAsia" w:ascii="Times New Roman" w:hAnsi="Times New Roman" w:eastAsia="宋体"/>
                      <w:caps w:val="0"/>
                      <w:color w:val="000000" w:themeColor="text1"/>
                      <w:sz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highlight w:val="none"/>
                      <w:lang w:val="en-US" w:eastAsia="zh-CN"/>
                      <w14:textFill>
                        <w14:solidFill>
                          <w14:schemeClr w14:val="tx1"/>
                        </w14:solidFill>
                      </w14:textFill>
                    </w:rPr>
                    <w:t>1</w:t>
                  </w:r>
                </w:p>
              </w:tc>
              <w:tc>
                <w:tcPr>
                  <w:tcW w:w="1258" w:type="dxa"/>
                  <w:noWrap w:val="0"/>
                  <w:vAlign w:val="center"/>
                </w:tcPr>
                <w:p>
                  <w:pPr>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除尘设备收集粉尘</w:t>
                  </w:r>
                </w:p>
              </w:tc>
              <w:tc>
                <w:tcPr>
                  <w:tcW w:w="1787"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一般工业固废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0.891</w:t>
                  </w:r>
                </w:p>
              </w:tc>
              <w:tc>
                <w:tcPr>
                  <w:tcW w:w="1500" w:type="dxa"/>
                  <w:noWrap w:val="0"/>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物资单位回收</w:t>
                  </w: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hint="eastAsia" w:ascii="Times New Roman" w:hAnsi="Times New Roman" w:eastAsia="宋体"/>
                      <w:caps w:val="0"/>
                      <w:color w:val="000000" w:themeColor="text1"/>
                      <w:sz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highlight w:val="none"/>
                      <w:lang w:val="en-US" w:eastAsia="zh-CN"/>
                      <w14:textFill>
                        <w14:solidFill>
                          <w14:schemeClr w14:val="tx1"/>
                        </w14:solidFill>
                      </w14:textFill>
                    </w:rPr>
                    <w:t>2</w:t>
                  </w:r>
                </w:p>
              </w:tc>
              <w:tc>
                <w:tcPr>
                  <w:tcW w:w="1258" w:type="dxa"/>
                  <w:noWrap w:val="0"/>
                  <w:vAlign w:val="center"/>
                </w:tcPr>
                <w:p>
                  <w:pPr>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废桶</w:t>
                  </w:r>
                </w:p>
              </w:tc>
              <w:tc>
                <w:tcPr>
                  <w:tcW w:w="1787" w:type="dxa"/>
                  <w:noWrap w:val="0"/>
                  <w:vAlign w:val="center"/>
                </w:tcPr>
                <w:p>
                  <w:pPr>
                    <w:tabs>
                      <w:tab w:val="left" w:pos="0"/>
                    </w:tabs>
                    <w:spacing w:line="240" w:lineRule="atLeast"/>
                    <w:ind w:firstLine="0" w:firstLineChars="0"/>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危险废物（HW08 900-249-08）</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0.1</w:t>
                  </w:r>
                </w:p>
              </w:tc>
              <w:tc>
                <w:tcPr>
                  <w:tcW w:w="1500" w:type="dxa"/>
                  <w:vMerge w:val="restart"/>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交由资质单位处理</w:t>
                  </w: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hint="eastAsia" w:ascii="Times New Roman" w:hAnsi="Times New Roman" w:eastAsia="宋体"/>
                      <w:caps w:val="0"/>
                      <w:color w:val="000000" w:themeColor="text1"/>
                      <w:sz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highlight w:val="none"/>
                      <w:lang w:val="en-US" w:eastAsia="zh-CN"/>
                      <w14:textFill>
                        <w14:solidFill>
                          <w14:schemeClr w14:val="tx1"/>
                        </w14:solidFill>
                      </w14:textFill>
                    </w:rPr>
                    <w:t>3</w:t>
                  </w:r>
                </w:p>
              </w:tc>
              <w:tc>
                <w:tcPr>
                  <w:tcW w:w="1258" w:type="dxa"/>
                  <w:noWrap w:val="0"/>
                  <w:vAlign w:val="center"/>
                </w:tcPr>
                <w:p>
                  <w:pPr>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废活性炭</w:t>
                  </w:r>
                </w:p>
              </w:tc>
              <w:tc>
                <w:tcPr>
                  <w:tcW w:w="1787" w:type="dxa"/>
                  <w:noWrap w:val="0"/>
                  <w:vAlign w:val="center"/>
                </w:tcPr>
                <w:p>
                  <w:pPr>
                    <w:spacing w:line="240" w:lineRule="atLeast"/>
                    <w:ind w:firstLine="0" w:firstLineChars="0"/>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危险废物（HW49 900-041-49）</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1.377</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hint="eastAsia" w:ascii="Times New Roman" w:hAnsi="Times New Roman" w:eastAsia="宋体"/>
                      <w:caps w:val="0"/>
                      <w:color w:val="000000" w:themeColor="text1"/>
                      <w:sz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highlight w:val="none"/>
                      <w:lang w:val="en-US" w:eastAsia="zh-CN"/>
                      <w14:textFill>
                        <w14:solidFill>
                          <w14:schemeClr w14:val="tx1"/>
                        </w14:solidFill>
                      </w14:textFill>
                    </w:rPr>
                    <w:t>4</w:t>
                  </w:r>
                </w:p>
              </w:tc>
              <w:tc>
                <w:tcPr>
                  <w:tcW w:w="1258" w:type="dxa"/>
                  <w:noWrap w:val="0"/>
                  <w:vAlign w:val="center"/>
                </w:tcPr>
                <w:p>
                  <w:pPr>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废油</w:t>
                  </w:r>
                </w:p>
              </w:tc>
              <w:tc>
                <w:tcPr>
                  <w:tcW w:w="1787" w:type="dxa"/>
                  <w:noWrap w:val="0"/>
                  <w:vAlign w:val="center"/>
                </w:tcPr>
                <w:p>
                  <w:pPr>
                    <w:spacing w:line="240" w:lineRule="atLeast"/>
                    <w:ind w:firstLine="0" w:firstLineChars="0"/>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危险废物（HW08 900-249-08）</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1.35</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hint="eastAsia" w:ascii="Times New Roman" w:hAnsi="Times New Roman" w:eastAsia="宋体"/>
                      <w:caps w:val="0"/>
                      <w:color w:val="000000" w:themeColor="text1"/>
                      <w:sz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highlight w:val="none"/>
                      <w:lang w:val="en-US" w:eastAsia="zh-CN"/>
                      <w14:textFill>
                        <w14:solidFill>
                          <w14:schemeClr w14:val="tx1"/>
                        </w14:solidFill>
                      </w14:textFill>
                    </w:rPr>
                    <w:t>5</w:t>
                  </w:r>
                </w:p>
              </w:tc>
              <w:tc>
                <w:tcPr>
                  <w:tcW w:w="1258" w:type="dxa"/>
                  <w:noWrap w:val="0"/>
                  <w:vAlign w:val="center"/>
                </w:tcPr>
                <w:p>
                  <w:pPr>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含油抹布手套</w:t>
                  </w:r>
                </w:p>
              </w:tc>
              <w:tc>
                <w:tcPr>
                  <w:tcW w:w="1787" w:type="dxa"/>
                  <w:noWrap w:val="0"/>
                  <w:vAlign w:val="center"/>
                </w:tcPr>
                <w:p>
                  <w:pPr>
                    <w:tabs>
                      <w:tab w:val="left" w:pos="0"/>
                    </w:tabs>
                    <w:spacing w:line="240" w:lineRule="atLeast"/>
                    <w:ind w:firstLine="0" w:firstLineChars="0"/>
                    <w:jc w:val="center"/>
                    <w:rPr>
                      <w:rFonts w:hint="eastAsia" w:ascii="Times New Roman" w:hAnsi="Times New Roman" w:eastAsia="宋体"/>
                      <w:caps w:val="0"/>
                      <w:color w:val="000000" w:themeColor="text1"/>
                      <w:spacing w:val="4"/>
                      <w:kern w:val="18"/>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危险废物</w:t>
                  </w:r>
                </w:p>
              </w:tc>
              <w:tc>
                <w:tcPr>
                  <w:tcW w:w="1525"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0.001</w:t>
                  </w:r>
                </w:p>
              </w:tc>
              <w:tc>
                <w:tcPr>
                  <w:tcW w:w="1500" w:type="dxa"/>
                  <w:vMerge w:val="restart"/>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委托环卫部门定期清运</w:t>
                  </w: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hint="eastAsia" w:ascii="Times New Roman" w:hAnsi="Times New Roman" w:eastAsia="宋体"/>
                      <w:caps w:val="0"/>
                      <w:color w:val="000000" w:themeColor="text1"/>
                      <w:sz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highlight w:val="none"/>
                      <w:lang w:val="en-US" w:eastAsia="zh-CN"/>
                      <w14:textFill>
                        <w14:solidFill>
                          <w14:schemeClr w14:val="tx1"/>
                        </w14:solidFill>
                      </w14:textFill>
                    </w:rPr>
                    <w:t>6</w:t>
                  </w:r>
                </w:p>
              </w:tc>
              <w:tc>
                <w:tcPr>
                  <w:tcW w:w="1258" w:type="dxa"/>
                  <w:noWrap w:val="0"/>
                  <w:vAlign w:val="center"/>
                </w:tcPr>
                <w:p>
                  <w:pPr>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生活垃圾</w:t>
                  </w:r>
                </w:p>
              </w:tc>
              <w:tc>
                <w:tcPr>
                  <w:tcW w:w="1787"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7.5</w:t>
                  </w:r>
                </w:p>
              </w:tc>
              <w:tc>
                <w:tcPr>
                  <w:tcW w:w="1500" w:type="dxa"/>
                  <w:vMerge w:val="continue"/>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p>
              </w:tc>
              <w:tc>
                <w:tcPr>
                  <w:tcW w:w="1340"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5" w:type="dxa"/>
                  <w:noWrap w:val="0"/>
                  <w:vAlign w:val="center"/>
                </w:tcPr>
                <w:p>
                  <w:pPr>
                    <w:spacing w:line="240" w:lineRule="atLeast"/>
                    <w:ind w:firstLine="0" w:firstLineChars="0"/>
                    <w:jc w:val="center"/>
                    <w:rPr>
                      <w:rFonts w:hint="default" w:ascii="Times New Roman" w:hAnsi="Times New Roman" w:eastAsia="宋体"/>
                      <w:caps w:val="0"/>
                      <w:color w:val="000000" w:themeColor="text1"/>
                      <w:sz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highlight w:val="none"/>
                      <w:lang w:val="en-US" w:eastAsia="zh-CN"/>
                      <w14:textFill>
                        <w14:solidFill>
                          <w14:schemeClr w14:val="tx1"/>
                        </w14:solidFill>
                      </w14:textFill>
                    </w:rPr>
                    <w:t>7</w:t>
                  </w:r>
                </w:p>
              </w:tc>
              <w:tc>
                <w:tcPr>
                  <w:tcW w:w="1258" w:type="dxa"/>
                  <w:noWrap w:val="0"/>
                  <w:vAlign w:val="center"/>
                </w:tcPr>
                <w:p>
                  <w:pPr>
                    <w:spacing w:line="240" w:lineRule="atLeast"/>
                    <w:ind w:firstLine="0" w:firstLineChars="0"/>
                    <w:jc w:val="cente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金属屑</w:t>
                  </w:r>
                </w:p>
              </w:tc>
              <w:tc>
                <w:tcPr>
                  <w:tcW w:w="1787" w:type="dxa"/>
                  <w:noWrap w:val="0"/>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一般工业固废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0.2</w:t>
                  </w:r>
                </w:p>
              </w:tc>
              <w:tc>
                <w:tcPr>
                  <w:tcW w:w="1500" w:type="dxa"/>
                  <w:noWrap w:val="0"/>
                  <w:vAlign w:val="center"/>
                </w:tcPr>
                <w:p>
                  <w:pPr>
                    <w:tabs>
                      <w:tab w:val="left" w:pos="0"/>
                    </w:tabs>
                    <w:spacing w:line="240" w:lineRule="atLeast"/>
                    <w:ind w:firstLine="0" w:firstLineChars="0"/>
                    <w:jc w:val="center"/>
                    <w:rPr>
                      <w:rFonts w:ascii="Times New Roman" w:hAnsi="Times New Roman" w:eastAsia="宋体"/>
                      <w:caps w:val="0"/>
                      <w:color w:val="000000" w:themeColor="text1"/>
                      <w:spacing w:val="4"/>
                      <w:kern w:val="18"/>
                      <w:sz w:val="21"/>
                      <w:szCs w:val="21"/>
                      <w:highlight w:val="none"/>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物资单位回收</w:t>
                  </w:r>
                </w:p>
              </w:tc>
              <w:tc>
                <w:tcPr>
                  <w:tcW w:w="1340" w:type="dxa"/>
                  <w:noWrap w:val="0"/>
                  <w:vAlign w:val="center"/>
                </w:tcPr>
                <w:p>
                  <w:pPr>
                    <w:tabs>
                      <w:tab w:val="left" w:pos="0"/>
                    </w:tabs>
                    <w:spacing w:line="240" w:lineRule="atLeast"/>
                    <w:ind w:firstLine="0" w:firstLineChars="0"/>
                    <w:jc w:val="cente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0</w:t>
                  </w:r>
                </w:p>
              </w:tc>
            </w:tr>
          </w:tbl>
          <w:p>
            <w:pPr>
              <w:spacing w:line="360" w:lineRule="auto"/>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2.5</w:t>
            </w:r>
            <w:r>
              <w:rPr>
                <w:rFonts w:ascii="Times New Roman" w:hAnsi="Times New Roman" w:eastAsia="宋体"/>
                <w:b/>
                <w:caps w:val="0"/>
                <w:color w:val="000000" w:themeColor="text1"/>
                <w:sz w:val="24"/>
                <w:highlight w:val="none"/>
                <w14:textFill>
                  <w14:solidFill>
                    <w14:schemeClr w14:val="tx1"/>
                  </w14:solidFill>
                </w14:textFill>
              </w:rPr>
              <w:t>、建设项目污染物排放量汇总</w:t>
            </w:r>
          </w:p>
          <w:p>
            <w:pPr>
              <w:pStyle w:val="11"/>
              <w:spacing w:line="360" w:lineRule="auto"/>
              <w:ind w:firstLine="436" w:firstLineChars="200"/>
              <w:rPr>
                <w:rFonts w:ascii="Times New Roman" w:hAnsi="Times New Roman" w:eastAsia="宋体"/>
                <w:caps w:val="0"/>
                <w:color w:val="000000" w:themeColor="text1"/>
                <w:spacing w:val="-11"/>
                <w:sz w:val="24"/>
                <w:highlight w:val="none"/>
                <w14:textFill>
                  <w14:solidFill>
                    <w14:schemeClr w14:val="tx1"/>
                  </w14:solidFill>
                </w14:textFill>
              </w:rPr>
            </w:pPr>
            <w:r>
              <w:rPr>
                <w:rFonts w:ascii="Times New Roman" w:hAnsi="Times New Roman" w:eastAsia="宋体"/>
                <w:caps w:val="0"/>
                <w:color w:val="000000" w:themeColor="text1"/>
                <w:spacing w:val="-11"/>
                <w:sz w:val="24"/>
                <w:highlight w:val="none"/>
                <w14:textFill>
                  <w14:solidFill>
                    <w14:schemeClr w14:val="tx1"/>
                  </w14:solidFill>
                </w14:textFill>
              </w:rPr>
              <w:t>本项目污染物排放量汇总见表5-</w:t>
            </w:r>
            <w:r>
              <w:rPr>
                <w:rFonts w:hint="eastAsia" w:ascii="Times New Roman" w:hAnsi="Times New Roman" w:eastAsia="宋体"/>
                <w:caps w:val="0"/>
                <w:color w:val="000000" w:themeColor="text1"/>
                <w:spacing w:val="-11"/>
                <w:sz w:val="24"/>
                <w:highlight w:val="none"/>
                <w:lang w:val="en-US" w:eastAsia="zh-CN"/>
                <w14:textFill>
                  <w14:solidFill>
                    <w14:schemeClr w14:val="tx1"/>
                  </w14:solidFill>
                </w14:textFill>
              </w:rPr>
              <w:t>6</w:t>
            </w:r>
            <w:r>
              <w:rPr>
                <w:rFonts w:ascii="Times New Roman" w:hAnsi="Times New Roman" w:eastAsia="宋体"/>
                <w:caps w:val="0"/>
                <w:color w:val="000000" w:themeColor="text1"/>
                <w:spacing w:val="-11"/>
                <w:sz w:val="24"/>
                <w:highlight w:val="none"/>
                <w14:textFill>
                  <w14:solidFill>
                    <w14:schemeClr w14:val="tx1"/>
                  </w14:solidFill>
                </w14:textFill>
              </w:rPr>
              <w:t>。</w:t>
            </w:r>
          </w:p>
          <w:p>
            <w:pPr>
              <w:pStyle w:val="40"/>
              <w:jc w:val="center"/>
              <w:rPr>
                <w:rFonts w:ascii="Times New Roman" w:hAnsi="Times New Roman" w:eastAsia="宋体" w:cs="Times New Roman"/>
                <w:b/>
                <w:caps w:val="0"/>
                <w:color w:val="000000" w:themeColor="text1"/>
                <w:highlight w:val="none"/>
                <w14:textFill>
                  <w14:solidFill>
                    <w14:schemeClr w14:val="tx1"/>
                  </w14:solidFill>
                </w14:textFill>
              </w:rPr>
            </w:pPr>
            <w:r>
              <w:rPr>
                <w:rFonts w:ascii="Times New Roman" w:hAnsi="Times New Roman" w:eastAsia="宋体" w:cs="Times New Roman"/>
                <w:b/>
                <w:caps w:val="0"/>
                <w:color w:val="000000" w:themeColor="text1"/>
                <w:highlight w:val="none"/>
                <w14:textFill>
                  <w14:solidFill>
                    <w14:schemeClr w14:val="tx1"/>
                  </w14:solidFill>
                </w14:textFill>
              </w:rPr>
              <w:t>表5-</w:t>
            </w:r>
            <w:r>
              <w:rPr>
                <w:rFonts w:hint="eastAsia" w:ascii="Times New Roman" w:hAnsi="Times New Roman" w:eastAsia="宋体" w:cs="Times New Roman"/>
                <w:b/>
                <w:caps w:val="0"/>
                <w:color w:val="000000" w:themeColor="text1"/>
                <w:highlight w:val="none"/>
                <w:lang w:val="en-US" w:eastAsia="zh-CN"/>
                <w14:textFill>
                  <w14:solidFill>
                    <w14:schemeClr w14:val="tx1"/>
                  </w14:solidFill>
                </w14:textFill>
              </w:rPr>
              <w:t>6</w:t>
            </w:r>
            <w:r>
              <w:rPr>
                <w:rFonts w:ascii="Times New Roman" w:hAnsi="Times New Roman" w:eastAsia="宋体" w:cs="Times New Roman"/>
                <w:b/>
                <w:caps w:val="0"/>
                <w:color w:val="000000" w:themeColor="text1"/>
                <w:highlight w:val="none"/>
                <w14:textFill>
                  <w14:solidFill>
                    <w14:schemeClr w14:val="tx1"/>
                  </w14:solidFill>
                </w14:textFill>
              </w:rPr>
              <w:t xml:space="preserve"> </w:t>
            </w:r>
            <w:r>
              <w:rPr>
                <w:rFonts w:hint="eastAsia" w:ascii="Times New Roman" w:hAnsi="Times New Roman" w:eastAsia="宋体" w:cs="Times New Roman"/>
                <w:b/>
                <w:caps w:val="0"/>
                <w:color w:val="000000" w:themeColor="text1"/>
                <w:highlight w:val="none"/>
                <w:lang w:val="en-US" w:eastAsia="zh-CN"/>
                <w14:textFill>
                  <w14:solidFill>
                    <w14:schemeClr w14:val="tx1"/>
                  </w14:solidFill>
                </w14:textFill>
              </w:rPr>
              <w:t>改扩建后项目</w:t>
            </w:r>
            <w:r>
              <w:rPr>
                <w:rFonts w:ascii="Times New Roman" w:hAnsi="Times New Roman" w:eastAsia="宋体" w:cs="Times New Roman"/>
                <w:b/>
                <w:caps w:val="0"/>
                <w:color w:val="000000" w:themeColor="text1"/>
                <w:highlight w:val="none"/>
                <w14:textFill>
                  <w14:solidFill>
                    <w14:schemeClr w14:val="tx1"/>
                  </w14:solidFill>
                </w14:textFill>
              </w:rPr>
              <w:t>污染物排放量</w:t>
            </w:r>
            <w:r>
              <w:rPr>
                <w:rFonts w:hint="eastAsia" w:ascii="Times New Roman" w:hAnsi="Times New Roman" w:eastAsia="宋体" w:cs="Times New Roman"/>
                <w:b/>
                <w:caps w:val="0"/>
                <w:color w:val="000000" w:themeColor="text1"/>
                <w:highlight w:val="none"/>
                <w:lang w:val="en-US" w:eastAsia="zh-CN"/>
                <w14:textFill>
                  <w14:solidFill>
                    <w14:schemeClr w14:val="tx1"/>
                  </w14:solidFill>
                </w14:textFill>
              </w:rPr>
              <w:t>三本账</w:t>
            </w:r>
            <w:r>
              <w:rPr>
                <w:rFonts w:ascii="Times New Roman" w:hAnsi="Times New Roman" w:eastAsia="宋体" w:cs="Times New Roman"/>
                <w:b/>
                <w:caps w:val="0"/>
                <w:color w:val="000000" w:themeColor="text1"/>
                <w:highlight w:val="none"/>
                <w14:textFill>
                  <w14:solidFill>
                    <w14:schemeClr w14:val="tx1"/>
                  </w14:solidFill>
                </w14:textFill>
              </w:rPr>
              <w:t xml:space="preserve">  单位：t/a</w:t>
            </w:r>
          </w:p>
          <w:tbl>
            <w:tblPr>
              <w:tblStyle w:val="32"/>
              <w:tblpPr w:leftFromText="180" w:rightFromText="180" w:vertAnchor="text" w:horzAnchor="page" w:tblpX="119" w:tblpY="313"/>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9"/>
              <w:gridCol w:w="2144"/>
              <w:gridCol w:w="1405"/>
              <w:gridCol w:w="1273"/>
              <w:gridCol w:w="1273"/>
              <w:gridCol w:w="1162"/>
              <w:gridCol w:w="1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02" w:type="pct"/>
                  <w:vMerge w:val="restart"/>
                  <w:vAlign w:val="center"/>
                </w:tcPr>
                <w:p>
                  <w:pPr>
                    <w:adjustRightInd w:val="0"/>
                    <w:snapToGrid w:val="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种</w:t>
                  </w:r>
                </w:p>
                <w:p>
                  <w:pPr>
                    <w:adjustRightInd w:val="0"/>
                    <w:snapToGrid w:val="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类</w:t>
                  </w:r>
                </w:p>
              </w:tc>
              <w:tc>
                <w:tcPr>
                  <w:tcW w:w="1200" w:type="pct"/>
                  <w:vMerge w:val="restart"/>
                  <w:vAlign w:val="center"/>
                </w:tcPr>
                <w:p>
                  <w:pPr>
                    <w:adjustRightInd w:val="0"/>
                    <w:snapToGrid w:val="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污染物名称</w:t>
                  </w:r>
                </w:p>
              </w:tc>
              <w:tc>
                <w:tcPr>
                  <w:tcW w:w="786" w:type="pct"/>
                  <w:vAlign w:val="center"/>
                </w:tcPr>
                <w:p>
                  <w:pPr>
                    <w:adjustRightInd w:val="0"/>
                    <w:snapToGrid w:val="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项目</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改扩建</w:t>
                  </w:r>
                  <w:r>
                    <w:rPr>
                      <w:rFonts w:ascii="Times New Roman" w:hAnsi="Times New Roman" w:eastAsia="宋体"/>
                      <w:color w:val="000000" w:themeColor="text1"/>
                      <w:sz w:val="21"/>
                      <w:szCs w:val="21"/>
                      <w:highlight w:val="none"/>
                      <w14:textFill>
                        <w14:solidFill>
                          <w14:schemeClr w14:val="tx1"/>
                        </w14:solidFill>
                      </w14:textFill>
                    </w:rPr>
                    <w:t>前</w:t>
                  </w:r>
                </w:p>
              </w:tc>
              <w:tc>
                <w:tcPr>
                  <w:tcW w:w="2074" w:type="pct"/>
                  <w:gridSpan w:val="3"/>
                  <w:vAlign w:val="center"/>
                </w:tcPr>
                <w:p>
                  <w:pPr>
                    <w:adjustRightInd w:val="0"/>
                    <w:snapToGrid w:val="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项目</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改扩建</w:t>
                  </w:r>
                  <w:r>
                    <w:rPr>
                      <w:rFonts w:ascii="Times New Roman" w:hAnsi="Times New Roman" w:eastAsia="宋体"/>
                      <w:color w:val="000000" w:themeColor="text1"/>
                      <w:sz w:val="21"/>
                      <w:szCs w:val="21"/>
                      <w:highlight w:val="none"/>
                      <w14:textFill>
                        <w14:solidFill>
                          <w14:schemeClr w14:val="tx1"/>
                        </w14:solidFill>
                      </w14:textFill>
                    </w:rPr>
                    <w:t>后</w:t>
                  </w:r>
                </w:p>
              </w:tc>
              <w:tc>
                <w:tcPr>
                  <w:tcW w:w="636" w:type="pct"/>
                  <w:vMerge w:val="restart"/>
                  <w:vAlign w:val="center"/>
                </w:tcPr>
                <w:p>
                  <w:pPr>
                    <w:adjustRightInd w:val="0"/>
                    <w:snapToGrid w:val="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排放增减量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02" w:type="pct"/>
                  <w:vMerge w:val="continue"/>
                  <w:vAlign w:val="center"/>
                </w:tcPr>
                <w:p>
                  <w:pPr>
                    <w:adjustRightInd w:val="0"/>
                    <w:snapToGrid w:val="0"/>
                    <w:jc w:val="center"/>
                    <w:rPr>
                      <w:rFonts w:ascii="Times New Roman" w:hAnsi="Times New Roman" w:eastAsia="宋体"/>
                      <w:color w:val="000000" w:themeColor="text1"/>
                      <w:sz w:val="21"/>
                      <w:szCs w:val="21"/>
                      <w:highlight w:val="none"/>
                      <w14:textFill>
                        <w14:solidFill>
                          <w14:schemeClr w14:val="tx1"/>
                        </w14:solidFill>
                      </w14:textFill>
                    </w:rPr>
                  </w:pPr>
                </w:p>
              </w:tc>
              <w:tc>
                <w:tcPr>
                  <w:tcW w:w="1200" w:type="pct"/>
                  <w:vMerge w:val="continue"/>
                  <w:vAlign w:val="center"/>
                </w:tcPr>
                <w:p>
                  <w:pPr>
                    <w:adjustRightInd w:val="0"/>
                    <w:snapToGrid w:val="0"/>
                    <w:jc w:val="center"/>
                    <w:rPr>
                      <w:rFonts w:ascii="Times New Roman" w:hAnsi="Times New Roman" w:eastAsia="宋体"/>
                      <w:color w:val="000000" w:themeColor="text1"/>
                      <w:sz w:val="21"/>
                      <w:szCs w:val="21"/>
                      <w:highlight w:val="none"/>
                      <w14:textFill>
                        <w14:solidFill>
                          <w14:schemeClr w14:val="tx1"/>
                        </w14:solidFill>
                      </w14:textFill>
                    </w:rPr>
                  </w:pPr>
                </w:p>
              </w:tc>
              <w:tc>
                <w:tcPr>
                  <w:tcW w:w="786" w:type="pct"/>
                  <w:vAlign w:val="center"/>
                </w:tcPr>
                <w:p>
                  <w:pPr>
                    <w:adjustRightInd w:val="0"/>
                    <w:snapToGrid w:val="0"/>
                    <w:ind w:left="-143" w:leftChars="-51" w:right="-143" w:rightChars="-51"/>
                    <w:jc w:val="center"/>
                    <w:rPr>
                      <w:rFonts w:hint="eastAsia" w:ascii="Times New Roman" w:hAnsi="Times New Roman" w:eastAsia="宋体"/>
                      <w:color w:val="000000" w:themeColor="text1"/>
                      <w:sz w:val="21"/>
                      <w:szCs w:val="21"/>
                      <w:highlight w:val="none"/>
                      <w:lang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排放量</w:t>
                  </w:r>
                </w:p>
              </w:tc>
              <w:tc>
                <w:tcPr>
                  <w:tcW w:w="712" w:type="pct"/>
                  <w:vAlign w:val="center"/>
                </w:tcPr>
                <w:p>
                  <w:pPr>
                    <w:adjustRightInd w:val="0"/>
                    <w:snapToGrid w:val="0"/>
                    <w:ind w:left="-143" w:leftChars="-51" w:right="-143" w:rightChars="-51"/>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产生量</w:t>
                  </w:r>
                </w:p>
              </w:tc>
              <w:tc>
                <w:tcPr>
                  <w:tcW w:w="712" w:type="pct"/>
                  <w:vAlign w:val="center"/>
                </w:tcPr>
                <w:p>
                  <w:pPr>
                    <w:adjustRightInd w:val="0"/>
                    <w:snapToGrid w:val="0"/>
                    <w:ind w:left="-143" w:leftChars="-51" w:right="-143" w:rightChars="-51"/>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削减量</w:t>
                  </w:r>
                </w:p>
              </w:tc>
              <w:tc>
                <w:tcPr>
                  <w:tcW w:w="649" w:type="pct"/>
                  <w:vAlign w:val="center"/>
                </w:tcPr>
                <w:p>
                  <w:pPr>
                    <w:adjustRightInd w:val="0"/>
                    <w:snapToGrid w:val="0"/>
                    <w:ind w:left="-143" w:leftChars="-51" w:right="-112" w:rightChars="-4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排放量</w:t>
                  </w:r>
                </w:p>
              </w:tc>
              <w:tc>
                <w:tcPr>
                  <w:tcW w:w="636" w:type="pct"/>
                  <w:vMerge w:val="continue"/>
                  <w:vAlign w:val="center"/>
                </w:tcPr>
                <w:p>
                  <w:pPr>
                    <w:adjustRightInd w:val="0"/>
                    <w:snapToGrid w:val="0"/>
                    <w:jc w:val="center"/>
                    <w:rPr>
                      <w:rFonts w:ascii="Times New Roman" w:hAnsi="Times New Roman" w:eastAsia="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restart"/>
                  <w:vAlign w:val="center"/>
                </w:tcPr>
                <w:p>
                  <w:pPr>
                    <w:adjustRightInd w:val="0"/>
                    <w:snapToGrid w:val="0"/>
                    <w:jc w:val="center"/>
                    <w:rPr>
                      <w:rFonts w:hint="eastAsia" w:ascii="Times New Roman" w:hAnsi="Times New Roman" w:eastAsia="宋体"/>
                      <w:color w:val="000000" w:themeColor="text1"/>
                      <w:sz w:val="21"/>
                      <w:szCs w:val="21"/>
                      <w:highlight w:val="none"/>
                      <w:lang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废气</w:t>
                  </w:r>
                </w:p>
              </w:tc>
              <w:tc>
                <w:tcPr>
                  <w:tcW w:w="1200" w:type="pct"/>
                  <w:vAlign w:val="center"/>
                </w:tcPr>
                <w:p>
                  <w:pPr>
                    <w:adjustRightInd w:val="0"/>
                    <w:snapToGrid w:val="0"/>
                    <w:jc w:val="center"/>
                    <w:rPr>
                      <w:rFonts w:hint="eastAsia" w:ascii="Times New Roman" w:hAnsi="Times New Roman" w:eastAsia="宋体"/>
                      <w:color w:val="000000" w:themeColor="text1"/>
                      <w:sz w:val="21"/>
                      <w:szCs w:val="21"/>
                      <w:highlight w:val="none"/>
                      <w:vertAlign w:val="subscript"/>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vertAlign w:val="baseline"/>
                      <w:lang w:val="en-US" w:eastAsia="zh-CN"/>
                      <w14:textFill>
                        <w14:solidFill>
                          <w14:schemeClr w14:val="tx1"/>
                        </w14:solidFill>
                      </w14:textFill>
                    </w:rPr>
                    <w:t>颗粒物</w:t>
                  </w:r>
                </w:p>
              </w:tc>
              <w:tc>
                <w:tcPr>
                  <w:tcW w:w="786"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0.677</w:t>
                  </w:r>
                </w:p>
              </w:tc>
              <w:tc>
                <w:tcPr>
                  <w:tcW w:w="712"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4..137</w:t>
                  </w:r>
                </w:p>
              </w:tc>
              <w:tc>
                <w:tcPr>
                  <w:tcW w:w="712"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3.351</w:t>
                  </w:r>
                </w:p>
              </w:tc>
              <w:tc>
                <w:tcPr>
                  <w:tcW w:w="649"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0.786</w:t>
                  </w:r>
                </w:p>
              </w:tc>
              <w:tc>
                <w:tcPr>
                  <w:tcW w:w="636"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非甲烷总烃</w:t>
                  </w:r>
                </w:p>
              </w:tc>
              <w:tc>
                <w:tcPr>
                  <w:tcW w:w="786"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0.0096</w:t>
                  </w:r>
                </w:p>
              </w:tc>
              <w:tc>
                <w:tcPr>
                  <w:tcW w:w="712"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0.393</w:t>
                  </w:r>
                </w:p>
              </w:tc>
              <w:tc>
                <w:tcPr>
                  <w:tcW w:w="712"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0.3184</w:t>
                  </w:r>
                </w:p>
              </w:tc>
              <w:tc>
                <w:tcPr>
                  <w:tcW w:w="649"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0.0746</w:t>
                  </w:r>
                </w:p>
              </w:tc>
              <w:tc>
                <w:tcPr>
                  <w:tcW w:w="636" w:type="pct"/>
                  <w:vAlign w:val="center"/>
                </w:tcPr>
                <w:p>
                  <w:pPr>
                    <w:adjustRightInd w:val="0"/>
                    <w:snapToGrid w:val="0"/>
                    <w:jc w:val="center"/>
                    <w:rPr>
                      <w:rFonts w:hint="default" w:ascii="Times New Roman" w:hAnsi="Times New Roman" w:eastAsia="宋体"/>
                      <w:color w:val="000000" w:themeColor="text1"/>
                      <w:sz w:val="21"/>
                      <w:szCs w:val="21"/>
                      <w:highlight w:val="none"/>
                      <w:lang w:val="en-US"/>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二甲苯</w:t>
                  </w:r>
                </w:p>
              </w:tc>
              <w:tc>
                <w:tcPr>
                  <w:tcW w:w="786"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w:t>
                  </w:r>
                </w:p>
              </w:tc>
              <w:tc>
                <w:tcPr>
                  <w:tcW w:w="712"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1.39</w:t>
                  </w:r>
                </w:p>
              </w:tc>
              <w:tc>
                <w:tcPr>
                  <w:tcW w:w="712"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126</w:t>
                  </w:r>
                </w:p>
              </w:tc>
              <w:tc>
                <w:tcPr>
                  <w:tcW w:w="649"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0.264</w:t>
                  </w:r>
                </w:p>
              </w:tc>
              <w:tc>
                <w:tcPr>
                  <w:tcW w:w="636" w:type="pct"/>
                  <w:vAlign w:val="center"/>
                </w:tcPr>
                <w:p>
                  <w:pPr>
                    <w:adjustRightInd w:val="0"/>
                    <w:snapToGrid w:val="0"/>
                    <w:jc w:val="center"/>
                    <w:rPr>
                      <w:rFonts w:hint="default" w:ascii="Times New Roman" w:hAnsi="Times New Roman" w:eastAsia="宋体"/>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SO</w:t>
                  </w:r>
                  <w:r>
                    <w:rPr>
                      <w:rFonts w:ascii="Times New Roman" w:hAnsi="Times New Roman" w:eastAsia="宋体"/>
                      <w:color w:val="000000" w:themeColor="text1"/>
                      <w:sz w:val="21"/>
                      <w:szCs w:val="21"/>
                      <w:highlight w:val="none"/>
                      <w:vertAlign w:val="subscript"/>
                      <w14:textFill>
                        <w14:solidFill>
                          <w14:schemeClr w14:val="tx1"/>
                        </w14:solidFill>
                      </w14:textFill>
                    </w:rPr>
                    <w:t>2</w:t>
                  </w:r>
                </w:p>
              </w:tc>
              <w:tc>
                <w:tcPr>
                  <w:tcW w:w="786" w:type="pct"/>
                  <w:vAlign w:val="center"/>
                </w:tcPr>
                <w:p>
                  <w:pPr>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olor w:val="000000" w:themeColor="text1"/>
                      <w:sz w:val="21"/>
                      <w:szCs w:val="21"/>
                      <w:highlight w:val="none"/>
                      <w:lang w:val="en-US" w:eastAsia="zh-CN"/>
                      <w14:textFill>
                        <w14:solidFill>
                          <w14:schemeClr w14:val="tx1"/>
                        </w14:solidFill>
                      </w14:textFill>
                    </w:rPr>
                    <w:t>0.024</w:t>
                  </w:r>
                </w:p>
              </w:tc>
              <w:tc>
                <w:tcPr>
                  <w:tcW w:w="712" w:type="pct"/>
                  <w:vAlign w:val="center"/>
                </w:tcPr>
                <w:p>
                  <w:pPr>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olor w:val="000000" w:themeColor="text1"/>
                      <w:sz w:val="21"/>
                      <w:szCs w:val="21"/>
                      <w:highlight w:val="none"/>
                      <w:lang w:val="en-US" w:eastAsia="zh-CN"/>
                      <w14:textFill>
                        <w14:solidFill>
                          <w14:schemeClr w14:val="tx1"/>
                        </w14:solidFill>
                      </w14:textFill>
                    </w:rPr>
                    <w:t>0.024</w:t>
                  </w:r>
                </w:p>
              </w:tc>
              <w:tc>
                <w:tcPr>
                  <w:tcW w:w="712"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w:t>
                  </w:r>
                </w:p>
              </w:tc>
              <w:tc>
                <w:tcPr>
                  <w:tcW w:w="649" w:type="pct"/>
                  <w:vAlign w:val="center"/>
                </w:tcPr>
                <w:p>
                  <w:pPr>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olor w:val="000000" w:themeColor="text1"/>
                      <w:sz w:val="21"/>
                      <w:szCs w:val="21"/>
                      <w:highlight w:val="none"/>
                      <w:lang w:val="en-US" w:eastAsia="zh-CN"/>
                      <w14:textFill>
                        <w14:solidFill>
                          <w14:schemeClr w14:val="tx1"/>
                        </w14:solidFill>
                      </w14:textFill>
                    </w:rPr>
                    <w:t>0.024</w:t>
                  </w:r>
                </w:p>
              </w:tc>
              <w:tc>
                <w:tcPr>
                  <w:tcW w:w="636"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NOx</w:t>
                  </w:r>
                </w:p>
              </w:tc>
              <w:tc>
                <w:tcPr>
                  <w:tcW w:w="786" w:type="pct"/>
                  <w:vAlign w:val="center"/>
                </w:tcPr>
                <w:p>
                  <w:pPr>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olor w:val="000000" w:themeColor="text1"/>
                      <w:sz w:val="21"/>
                      <w:szCs w:val="21"/>
                      <w:highlight w:val="none"/>
                      <w:lang w:val="en-US" w:eastAsia="zh-CN"/>
                      <w14:textFill>
                        <w14:solidFill>
                          <w14:schemeClr w14:val="tx1"/>
                        </w14:solidFill>
                      </w14:textFill>
                    </w:rPr>
                    <w:t>0.206</w:t>
                  </w:r>
                </w:p>
              </w:tc>
              <w:tc>
                <w:tcPr>
                  <w:tcW w:w="712" w:type="pct"/>
                  <w:vAlign w:val="center"/>
                </w:tcPr>
                <w:p>
                  <w:pPr>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olor w:val="000000" w:themeColor="text1"/>
                      <w:sz w:val="21"/>
                      <w:szCs w:val="21"/>
                      <w:highlight w:val="none"/>
                      <w:lang w:val="en-US" w:eastAsia="zh-CN"/>
                      <w14:textFill>
                        <w14:solidFill>
                          <w14:schemeClr w14:val="tx1"/>
                        </w14:solidFill>
                      </w14:textFill>
                    </w:rPr>
                    <w:t>0.206</w:t>
                  </w:r>
                </w:p>
              </w:tc>
              <w:tc>
                <w:tcPr>
                  <w:tcW w:w="712"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w:t>
                  </w:r>
                </w:p>
              </w:tc>
              <w:tc>
                <w:tcPr>
                  <w:tcW w:w="649" w:type="pct"/>
                  <w:vAlign w:val="center"/>
                </w:tcPr>
                <w:p>
                  <w:pPr>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olor w:val="000000" w:themeColor="text1"/>
                      <w:sz w:val="21"/>
                      <w:szCs w:val="21"/>
                      <w:highlight w:val="none"/>
                      <w:lang w:val="en-US" w:eastAsia="zh-CN"/>
                      <w14:textFill>
                        <w14:solidFill>
                          <w14:schemeClr w14:val="tx1"/>
                        </w14:solidFill>
                      </w14:textFill>
                    </w:rPr>
                    <w:t>0.206</w:t>
                  </w:r>
                </w:p>
              </w:tc>
              <w:tc>
                <w:tcPr>
                  <w:tcW w:w="636"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restar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废水</w:t>
                  </w:r>
                </w:p>
              </w:tc>
              <w:tc>
                <w:tcPr>
                  <w:tcW w:w="1200" w:type="pct"/>
                  <w:vAlign w:val="center"/>
                </w:tcPr>
                <w:p>
                  <w:pPr>
                    <w:widowControl/>
                    <w:jc w:val="center"/>
                    <w:textAlignment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废水量</w:t>
                  </w:r>
                </w:p>
              </w:tc>
              <w:tc>
                <w:tcPr>
                  <w:tcW w:w="786"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2760</w:t>
                  </w:r>
                </w:p>
              </w:tc>
              <w:tc>
                <w:tcPr>
                  <w:tcW w:w="712"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3600</w:t>
                  </w:r>
                </w:p>
              </w:tc>
              <w:tc>
                <w:tcPr>
                  <w:tcW w:w="712" w:type="pct"/>
                  <w:vAlign w:val="center"/>
                </w:tcPr>
                <w:p>
                  <w:pPr>
                    <w:keepNext w:val="0"/>
                    <w:keepLines w:val="0"/>
                    <w:widowControl/>
                    <w:suppressLineNumbers w:val="0"/>
                    <w:jc w:val="center"/>
                    <w:textAlignment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i w:val="0"/>
                      <w:caps w:val="0"/>
                      <w:color w:val="000000" w:themeColor="text1"/>
                      <w:kern w:val="0"/>
                      <w:sz w:val="21"/>
                      <w:szCs w:val="21"/>
                      <w:highlight w:val="none"/>
                      <w:u w:val="none"/>
                      <w:lang w:val="en-US" w:eastAsia="zh-CN" w:bidi="ar"/>
                      <w14:textFill>
                        <w14:solidFill>
                          <w14:schemeClr w14:val="tx1"/>
                        </w14:solidFill>
                      </w14:textFill>
                    </w:rPr>
                    <w:t>0</w:t>
                  </w:r>
                </w:p>
              </w:tc>
              <w:tc>
                <w:tcPr>
                  <w:tcW w:w="649"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3600</w:t>
                  </w:r>
                </w:p>
              </w:tc>
              <w:tc>
                <w:tcPr>
                  <w:tcW w:w="636"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widowControl/>
                    <w:jc w:val="center"/>
                    <w:textAlignment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COD</w:t>
                  </w:r>
                </w:p>
              </w:tc>
              <w:tc>
                <w:tcPr>
                  <w:tcW w:w="786"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0.276</w:t>
                  </w:r>
                </w:p>
              </w:tc>
              <w:tc>
                <w:tcPr>
                  <w:tcW w:w="712"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1.260</w:t>
                  </w:r>
                </w:p>
              </w:tc>
              <w:tc>
                <w:tcPr>
                  <w:tcW w:w="712" w:type="pct"/>
                  <w:vAlign w:val="center"/>
                </w:tcPr>
                <w:p>
                  <w:pPr>
                    <w:keepNext w:val="0"/>
                    <w:keepLines w:val="0"/>
                    <w:widowControl/>
                    <w:suppressLineNumbers w:val="0"/>
                    <w:jc w:val="center"/>
                    <w:textAlignment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i w:val="0"/>
                      <w:caps w:val="0"/>
                      <w:color w:val="000000" w:themeColor="text1"/>
                      <w:kern w:val="0"/>
                      <w:sz w:val="21"/>
                      <w:szCs w:val="21"/>
                      <w:highlight w:val="none"/>
                      <w:u w:val="none"/>
                      <w:lang w:val="en-US" w:eastAsia="zh-CN" w:bidi="ar"/>
                      <w14:textFill>
                        <w14:solidFill>
                          <w14:schemeClr w14:val="tx1"/>
                        </w14:solidFill>
                      </w14:textFill>
                    </w:rPr>
                    <w:t>-</w:t>
                  </w:r>
                  <w:r>
                    <w:rPr>
                      <w:rFonts w:hint="eastAsia" w:ascii="Times New Roman" w:hAnsi="Times New Roman" w:eastAsia="宋体" w:cs="宋体"/>
                      <w:i w:val="0"/>
                      <w:caps w:val="0"/>
                      <w:color w:val="000000" w:themeColor="text1"/>
                      <w:kern w:val="0"/>
                      <w:sz w:val="21"/>
                      <w:szCs w:val="21"/>
                      <w:highlight w:val="none"/>
                      <w:u w:val="none"/>
                      <w:lang w:val="en-US" w:eastAsia="zh-CN" w:bidi="ar"/>
                      <w14:textFill>
                        <w14:solidFill>
                          <w14:schemeClr w14:val="tx1"/>
                        </w14:solidFill>
                      </w14:textFill>
                    </w:rPr>
                    <w:t>0.</w:t>
                  </w:r>
                  <w:r>
                    <w:rPr>
                      <w:rFonts w:hint="eastAsia" w:ascii="Times New Roman" w:hAnsi="Times New Roman" w:eastAsia="宋体" w:cs="宋体"/>
                      <w:i w:val="0"/>
                      <w:caps w:val="0"/>
                      <w:color w:val="000000" w:themeColor="text1"/>
                      <w:kern w:val="0"/>
                      <w:sz w:val="21"/>
                      <w:szCs w:val="21"/>
                      <w:highlight w:val="none"/>
                      <w:u w:val="none"/>
                      <w:lang w:val="en-US" w:eastAsia="zh-CN" w:bidi="ar"/>
                      <w14:textFill>
                        <w14:solidFill>
                          <w14:schemeClr w14:val="tx1"/>
                        </w14:solidFill>
                      </w14:textFill>
                    </w:rPr>
                    <w:t>9</w:t>
                  </w:r>
                </w:p>
              </w:tc>
              <w:tc>
                <w:tcPr>
                  <w:tcW w:w="649"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360</w:t>
                  </w:r>
                </w:p>
              </w:tc>
              <w:tc>
                <w:tcPr>
                  <w:tcW w:w="636"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widowControl/>
                    <w:jc w:val="center"/>
                    <w:textAlignment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lang w:bidi="ar"/>
                      <w14:textFill>
                        <w14:solidFill>
                          <w14:schemeClr w14:val="tx1"/>
                        </w14:solidFill>
                      </w14:textFill>
                    </w:rPr>
                    <w:t>NH</w:t>
                  </w:r>
                  <w:r>
                    <w:rPr>
                      <w:rFonts w:ascii="Times New Roman" w:hAnsi="Times New Roman" w:eastAsia="宋体"/>
                      <w:caps w:val="0"/>
                      <w:color w:val="000000" w:themeColor="text1"/>
                      <w:kern w:val="0"/>
                      <w:sz w:val="21"/>
                      <w:szCs w:val="21"/>
                      <w:highlight w:val="none"/>
                      <w:vertAlign w:val="subscript"/>
                      <w:lang w:bidi="ar"/>
                      <w14:textFill>
                        <w14:solidFill>
                          <w14:schemeClr w14:val="tx1"/>
                        </w14:solidFill>
                      </w14:textFill>
                    </w:rPr>
                    <w:t>3</w:t>
                  </w:r>
                  <w:r>
                    <w:rPr>
                      <w:rFonts w:ascii="Times New Roman" w:hAnsi="Times New Roman" w:eastAsia="宋体"/>
                      <w:caps w:val="0"/>
                      <w:color w:val="000000" w:themeColor="text1"/>
                      <w:kern w:val="0"/>
                      <w:sz w:val="21"/>
                      <w:szCs w:val="21"/>
                      <w:highlight w:val="none"/>
                      <w:lang w:bidi="ar"/>
                      <w14:textFill>
                        <w14:solidFill>
                          <w14:schemeClr w14:val="tx1"/>
                        </w14:solidFill>
                      </w14:textFill>
                    </w:rPr>
                    <w:t>-N</w:t>
                  </w:r>
                </w:p>
              </w:tc>
              <w:tc>
                <w:tcPr>
                  <w:tcW w:w="786"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0.04</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w:t>
                  </w:r>
                </w:p>
              </w:tc>
              <w:tc>
                <w:tcPr>
                  <w:tcW w:w="712"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0.1</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26</w:t>
                  </w:r>
                </w:p>
              </w:tc>
              <w:tc>
                <w:tcPr>
                  <w:tcW w:w="712" w:type="pct"/>
                  <w:vAlign w:val="center"/>
                </w:tcPr>
                <w:p>
                  <w:pPr>
                    <w:keepNext w:val="0"/>
                    <w:keepLines w:val="0"/>
                    <w:widowControl/>
                    <w:suppressLineNumbers w:val="0"/>
                    <w:jc w:val="center"/>
                    <w:textAlignment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宋体"/>
                      <w:i w:val="0"/>
                      <w:caps w:val="0"/>
                      <w:color w:val="000000" w:themeColor="text1"/>
                      <w:kern w:val="0"/>
                      <w:sz w:val="21"/>
                      <w:szCs w:val="21"/>
                      <w:highlight w:val="none"/>
                      <w:u w:val="none"/>
                      <w:lang w:val="en-US" w:eastAsia="zh-CN" w:bidi="ar"/>
                      <w14:textFill>
                        <w14:solidFill>
                          <w14:schemeClr w14:val="tx1"/>
                        </w14:solidFill>
                      </w14:textFill>
                    </w:rPr>
                    <w:t>-</w:t>
                  </w:r>
                  <w:r>
                    <w:rPr>
                      <w:rFonts w:hint="eastAsia" w:ascii="Times New Roman" w:hAnsi="Times New Roman" w:eastAsia="宋体" w:cs="宋体"/>
                      <w:i w:val="0"/>
                      <w:caps w:val="0"/>
                      <w:color w:val="000000" w:themeColor="text1"/>
                      <w:kern w:val="0"/>
                      <w:sz w:val="21"/>
                      <w:szCs w:val="21"/>
                      <w:highlight w:val="none"/>
                      <w:u w:val="none"/>
                      <w:lang w:val="en-US" w:eastAsia="zh-CN" w:bidi="ar"/>
                      <w14:textFill>
                        <w14:solidFill>
                          <w14:schemeClr w14:val="tx1"/>
                        </w14:solidFill>
                      </w14:textFill>
                    </w:rPr>
                    <w:t>0.0</w:t>
                  </w:r>
                  <w:r>
                    <w:rPr>
                      <w:rFonts w:hint="eastAsia" w:ascii="Times New Roman" w:hAnsi="Times New Roman" w:eastAsia="宋体" w:cs="宋体"/>
                      <w:i w:val="0"/>
                      <w:caps w:val="0"/>
                      <w:color w:val="000000" w:themeColor="text1"/>
                      <w:kern w:val="0"/>
                      <w:sz w:val="21"/>
                      <w:szCs w:val="21"/>
                      <w:highlight w:val="none"/>
                      <w:u w:val="none"/>
                      <w:lang w:val="en-US" w:eastAsia="zh-CN" w:bidi="ar"/>
                      <w14:textFill>
                        <w14:solidFill>
                          <w14:schemeClr w14:val="tx1"/>
                        </w14:solidFill>
                      </w14:textFill>
                    </w:rPr>
                    <w:t>72</w:t>
                  </w:r>
                </w:p>
              </w:tc>
              <w:tc>
                <w:tcPr>
                  <w:tcW w:w="649"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54</w:t>
                  </w:r>
                </w:p>
              </w:tc>
              <w:tc>
                <w:tcPr>
                  <w:tcW w:w="636"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302" w:type="pct"/>
                  <w:vMerge w:val="restar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固废</w:t>
                  </w:r>
                </w:p>
              </w:tc>
              <w:tc>
                <w:tcPr>
                  <w:tcW w:w="1200" w:type="pct"/>
                  <w:vAlign w:val="center"/>
                </w:tcPr>
                <w:p>
                  <w:pPr>
                    <w:spacing w:line="240" w:lineRule="atLeast"/>
                    <w:ind w:firstLine="0" w:firstLineChars="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金属屑</w:t>
                  </w:r>
                </w:p>
              </w:tc>
              <w:tc>
                <w:tcPr>
                  <w:tcW w:w="786" w:type="pct"/>
                  <w:vAlign w:val="center"/>
                </w:tcPr>
                <w:p>
                  <w:pPr>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712" w:type="pct"/>
                  <w:vAlign w:val="center"/>
                </w:tcPr>
                <w:p>
                  <w:pPr>
                    <w:tabs>
                      <w:tab w:val="left" w:pos="0"/>
                    </w:tabs>
                    <w:spacing w:line="240" w:lineRule="atLeast"/>
                    <w:ind w:firstLine="0" w:firstLineChars="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0.2</w:t>
                  </w:r>
                </w:p>
              </w:tc>
              <w:tc>
                <w:tcPr>
                  <w:tcW w:w="1273" w:type="dxa"/>
                  <w:vAlign w:val="center"/>
                </w:tcPr>
                <w:p>
                  <w:pPr>
                    <w:tabs>
                      <w:tab w:val="left" w:pos="0"/>
                    </w:tabs>
                    <w:spacing w:line="240" w:lineRule="atLeast"/>
                    <w:ind w:firstLine="0" w:firstLineChars="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-0.2</w:t>
                  </w:r>
                </w:p>
              </w:tc>
              <w:tc>
                <w:tcPr>
                  <w:tcW w:w="649"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636" w:type="pct"/>
                  <w:vAlign w:val="center"/>
                </w:tcPr>
                <w:p>
                  <w:pPr>
                    <w:adjustRightInd w:val="0"/>
                    <w:snapToGrid w:val="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spacing w:line="240" w:lineRule="atLeast"/>
                    <w:ind w:firstLine="0" w:firstLineChars="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除尘设备收集粉尘</w:t>
                  </w:r>
                </w:p>
              </w:tc>
              <w:tc>
                <w:tcPr>
                  <w:tcW w:w="786" w:type="pct"/>
                  <w:vAlign w:val="center"/>
                </w:tcPr>
                <w:p>
                  <w:pPr>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712" w:type="pct"/>
                  <w:vAlign w:val="center"/>
                </w:tcPr>
                <w:p>
                  <w:pPr>
                    <w:tabs>
                      <w:tab w:val="left" w:pos="0"/>
                    </w:tabs>
                    <w:spacing w:line="240" w:lineRule="atLeast"/>
                    <w:ind w:firstLine="0" w:firstLineChars="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0.891</w:t>
                  </w:r>
                </w:p>
              </w:tc>
              <w:tc>
                <w:tcPr>
                  <w:tcW w:w="1273" w:type="dxa"/>
                  <w:vAlign w:val="center"/>
                </w:tcPr>
                <w:p>
                  <w:pPr>
                    <w:tabs>
                      <w:tab w:val="left" w:pos="0"/>
                    </w:tabs>
                    <w:spacing w:line="240" w:lineRule="atLeast"/>
                    <w:ind w:firstLine="0" w:firstLineChars="0"/>
                    <w:jc w:val="center"/>
                    <w:rPr>
                      <w:rFonts w:hint="default"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-0.891</w:t>
                  </w:r>
                </w:p>
              </w:tc>
              <w:tc>
                <w:tcPr>
                  <w:tcW w:w="649"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636"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spacing w:line="240" w:lineRule="atLeast"/>
                    <w:ind w:firstLine="0" w:firstLineChars="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废桶</w:t>
                  </w:r>
                </w:p>
              </w:tc>
              <w:tc>
                <w:tcPr>
                  <w:tcW w:w="786" w:type="pct"/>
                  <w:vAlign w:val="center"/>
                </w:tcPr>
                <w:p>
                  <w:pPr>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712" w:type="pct"/>
                  <w:vAlign w:val="center"/>
                </w:tcPr>
                <w:p>
                  <w:pPr>
                    <w:tabs>
                      <w:tab w:val="left" w:pos="0"/>
                    </w:tabs>
                    <w:spacing w:line="240" w:lineRule="atLeast"/>
                    <w:ind w:firstLine="0" w:firstLineChars="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0.1</w:t>
                  </w:r>
                </w:p>
              </w:tc>
              <w:tc>
                <w:tcPr>
                  <w:tcW w:w="1273" w:type="dxa"/>
                  <w:vAlign w:val="center"/>
                </w:tcPr>
                <w:p>
                  <w:pPr>
                    <w:tabs>
                      <w:tab w:val="left" w:pos="0"/>
                    </w:tabs>
                    <w:spacing w:line="240" w:lineRule="atLeast"/>
                    <w:ind w:firstLine="0" w:firstLineChars="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w:t>
                  </w:r>
                  <w:r>
                    <w:rPr>
                      <w:rFonts w:ascii="Times New Roman" w:hAnsi="Times New Roman" w:eastAsia="宋体"/>
                      <w:caps w:val="0"/>
                      <w:color w:val="000000" w:themeColor="text1"/>
                      <w:spacing w:val="4"/>
                      <w:kern w:val="18"/>
                      <w:sz w:val="21"/>
                      <w:szCs w:val="21"/>
                      <w:highlight w:val="none"/>
                      <w14:textFill>
                        <w14:solidFill>
                          <w14:schemeClr w14:val="tx1"/>
                        </w14:solidFill>
                      </w14:textFill>
                    </w:rPr>
                    <w:t>0.1</w:t>
                  </w:r>
                </w:p>
              </w:tc>
              <w:tc>
                <w:tcPr>
                  <w:tcW w:w="649"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636"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spacing w:line="240" w:lineRule="atLeast"/>
                    <w:ind w:firstLine="0" w:firstLineChars="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废活性炭</w:t>
                  </w:r>
                </w:p>
              </w:tc>
              <w:tc>
                <w:tcPr>
                  <w:tcW w:w="786" w:type="pct"/>
                  <w:vAlign w:val="center"/>
                </w:tcPr>
                <w:p>
                  <w:pPr>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712" w:type="pct"/>
                  <w:vAlign w:val="center"/>
                </w:tcPr>
                <w:p>
                  <w:pPr>
                    <w:tabs>
                      <w:tab w:val="left" w:pos="0"/>
                    </w:tabs>
                    <w:spacing w:line="240" w:lineRule="atLeast"/>
                    <w:ind w:firstLine="0" w:firstLineChars="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1.377</w:t>
                  </w:r>
                </w:p>
              </w:tc>
              <w:tc>
                <w:tcPr>
                  <w:tcW w:w="1273" w:type="dxa"/>
                  <w:vAlign w:val="center"/>
                </w:tcPr>
                <w:p>
                  <w:pPr>
                    <w:tabs>
                      <w:tab w:val="left" w:pos="0"/>
                    </w:tabs>
                    <w:spacing w:line="240" w:lineRule="atLeast"/>
                    <w:ind w:firstLine="0" w:firstLineChars="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-1.377</w:t>
                  </w:r>
                </w:p>
              </w:tc>
              <w:tc>
                <w:tcPr>
                  <w:tcW w:w="649"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636"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spacing w:line="240" w:lineRule="atLeast"/>
                    <w:ind w:firstLine="0" w:firstLineChars="0"/>
                    <w:jc w:val="center"/>
                    <w:rPr>
                      <w:rFonts w:hint="eastAsia"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废油</w:t>
                  </w:r>
                </w:p>
              </w:tc>
              <w:tc>
                <w:tcPr>
                  <w:tcW w:w="786" w:type="pct"/>
                  <w:vAlign w:val="center"/>
                </w:tcPr>
                <w:p>
                  <w:pPr>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712" w:type="pct"/>
                  <w:vAlign w:val="center"/>
                </w:tcPr>
                <w:p>
                  <w:pPr>
                    <w:tabs>
                      <w:tab w:val="left" w:pos="0"/>
                    </w:tabs>
                    <w:spacing w:line="240" w:lineRule="atLeast"/>
                    <w:ind w:firstLine="0" w:firstLineChars="0"/>
                    <w:jc w:val="cente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1.35</w:t>
                  </w:r>
                </w:p>
              </w:tc>
              <w:tc>
                <w:tcPr>
                  <w:tcW w:w="1273" w:type="dxa"/>
                  <w:vAlign w:val="center"/>
                </w:tcPr>
                <w:p>
                  <w:pPr>
                    <w:tabs>
                      <w:tab w:val="left" w:pos="0"/>
                    </w:tabs>
                    <w:spacing w:line="240" w:lineRule="atLeast"/>
                    <w:ind w:firstLine="0" w:firstLineChars="0"/>
                    <w:jc w:val="cente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-1.35</w:t>
                  </w:r>
                </w:p>
              </w:tc>
              <w:tc>
                <w:tcPr>
                  <w:tcW w:w="649"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636"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spacing w:line="240" w:lineRule="atLeast"/>
                    <w:ind w:firstLine="0" w:firstLineChars="0"/>
                    <w:jc w:val="center"/>
                    <w:rPr>
                      <w:rFonts w:hint="eastAsia"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含油抹布手套</w:t>
                  </w:r>
                </w:p>
              </w:tc>
              <w:tc>
                <w:tcPr>
                  <w:tcW w:w="786" w:type="pct"/>
                  <w:vAlign w:val="center"/>
                </w:tcPr>
                <w:p>
                  <w:pPr>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712" w:type="pct"/>
                  <w:vAlign w:val="center"/>
                </w:tcPr>
                <w:p>
                  <w:pPr>
                    <w:tabs>
                      <w:tab w:val="left" w:pos="0"/>
                    </w:tabs>
                    <w:spacing w:line="240" w:lineRule="atLeast"/>
                    <w:ind w:firstLine="0" w:firstLineChars="0"/>
                    <w:jc w:val="cente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0.001</w:t>
                  </w:r>
                </w:p>
              </w:tc>
              <w:tc>
                <w:tcPr>
                  <w:tcW w:w="1273" w:type="dxa"/>
                  <w:vAlign w:val="center"/>
                </w:tcPr>
                <w:p>
                  <w:pPr>
                    <w:tabs>
                      <w:tab w:val="left" w:pos="0"/>
                    </w:tabs>
                    <w:spacing w:line="240" w:lineRule="atLeast"/>
                    <w:ind w:firstLine="0" w:firstLineChars="0"/>
                    <w:jc w:val="cente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w:t>
                  </w:r>
                  <w:r>
                    <w:rPr>
                      <w:rFonts w:ascii="Times New Roman" w:hAnsi="Times New Roman" w:eastAsia="宋体"/>
                      <w:caps w:val="0"/>
                      <w:color w:val="000000" w:themeColor="text1"/>
                      <w:spacing w:val="4"/>
                      <w:kern w:val="18"/>
                      <w:sz w:val="21"/>
                      <w:szCs w:val="21"/>
                      <w:highlight w:val="none"/>
                      <w14:textFill>
                        <w14:solidFill>
                          <w14:schemeClr w14:val="tx1"/>
                        </w14:solidFill>
                      </w14:textFill>
                    </w:rPr>
                    <w:t>0.001</w:t>
                  </w:r>
                </w:p>
              </w:tc>
              <w:tc>
                <w:tcPr>
                  <w:tcW w:w="649"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636"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302" w:type="pct"/>
                  <w:vMerge w:val="continue"/>
                  <w:vAlign w:val="center"/>
                </w:tcPr>
                <w:p>
                  <w:pPr>
                    <w:adjustRightInd w:val="0"/>
                    <w:snapToGrid w:val="0"/>
                    <w:jc w:val="center"/>
                    <w:rPr>
                      <w:rFonts w:hint="eastAsia" w:ascii="Times New Roman" w:hAnsi="Times New Roman" w:eastAsia="宋体"/>
                      <w:color w:val="000000" w:themeColor="text1"/>
                      <w:sz w:val="21"/>
                      <w:szCs w:val="21"/>
                      <w:highlight w:val="none"/>
                      <w14:textFill>
                        <w14:solidFill>
                          <w14:schemeClr w14:val="tx1"/>
                        </w14:solidFill>
                      </w14:textFill>
                    </w:rPr>
                  </w:pPr>
                </w:p>
              </w:tc>
              <w:tc>
                <w:tcPr>
                  <w:tcW w:w="1200" w:type="pct"/>
                  <w:vAlign w:val="center"/>
                </w:tcPr>
                <w:p>
                  <w:pPr>
                    <w:spacing w:line="240" w:lineRule="atLeast"/>
                    <w:ind w:firstLine="0" w:firstLineChars="0"/>
                    <w:jc w:val="center"/>
                    <w:rPr>
                      <w:rFonts w:hint="eastAsia"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生活垃圾</w:t>
                  </w:r>
                </w:p>
              </w:tc>
              <w:tc>
                <w:tcPr>
                  <w:tcW w:w="786" w:type="pct"/>
                  <w:vAlign w:val="center"/>
                </w:tcPr>
                <w:p>
                  <w:pPr>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712" w:type="pct"/>
                  <w:vAlign w:val="center"/>
                </w:tcPr>
                <w:p>
                  <w:pPr>
                    <w:tabs>
                      <w:tab w:val="left" w:pos="0"/>
                    </w:tabs>
                    <w:spacing w:line="240" w:lineRule="atLeast"/>
                    <w:ind w:firstLine="0" w:firstLineChars="0"/>
                    <w:jc w:val="center"/>
                    <w:rPr>
                      <w:rFonts w:hint="default"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7.5</w:t>
                  </w:r>
                </w:p>
              </w:tc>
              <w:tc>
                <w:tcPr>
                  <w:tcW w:w="1273" w:type="dxa"/>
                  <w:vAlign w:val="center"/>
                </w:tcPr>
                <w:p>
                  <w:pPr>
                    <w:tabs>
                      <w:tab w:val="left" w:pos="0"/>
                    </w:tabs>
                    <w:spacing w:line="240" w:lineRule="atLeast"/>
                    <w:ind w:firstLine="0" w:firstLineChars="0"/>
                    <w:jc w:val="center"/>
                    <w:rPr>
                      <w:rFonts w:hint="eastAsia" w:ascii="Times New Roman" w:hAnsi="Times New Roman" w:eastAsia="宋体" w:cs="宋体"/>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-7.5</w:t>
                  </w:r>
                </w:p>
              </w:tc>
              <w:tc>
                <w:tcPr>
                  <w:tcW w:w="649"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c>
                <w:tcPr>
                  <w:tcW w:w="636" w:type="pct"/>
                  <w:vAlign w:val="center"/>
                </w:tcPr>
                <w:p>
                  <w:pPr>
                    <w:adjustRightInd w:val="0"/>
                    <w:snapToGrid w:val="0"/>
                    <w:jc w:val="center"/>
                    <w:rPr>
                      <w:rFonts w:hint="eastAsia" w:ascii="Times New Roman" w:hAnsi="Times New Roman" w:eastAsia="宋体"/>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olor w:val="000000" w:themeColor="text1"/>
                      <w:sz w:val="21"/>
                      <w:szCs w:val="21"/>
                      <w:highlight w:val="none"/>
                      <w:lang w:val="en-US" w:eastAsia="zh-CN"/>
                      <w14:textFill>
                        <w14:solidFill>
                          <w14:schemeClr w14:val="tx1"/>
                        </w14:solidFill>
                      </w14:textFill>
                    </w:rPr>
                    <w:t>0</w:t>
                  </w:r>
                </w:p>
              </w:tc>
            </w:tr>
          </w:tbl>
          <w:p>
            <w:pPr>
              <w:pStyle w:val="40"/>
              <w:jc w:val="center"/>
              <w:rPr>
                <w:rFonts w:ascii="Times New Roman" w:hAnsi="Times New Roman" w:eastAsia="宋体" w:cs="Times New Roman"/>
                <w:b/>
                <w:caps w:val="0"/>
                <w:color w:val="000000" w:themeColor="text1"/>
                <w:highlight w:val="none"/>
                <w14:textFill>
                  <w14:solidFill>
                    <w14:schemeClr w14:val="tx1"/>
                  </w14:solidFill>
                </w14:textFill>
              </w:rPr>
            </w:pPr>
          </w:p>
          <w:p>
            <w:pPr>
              <w:pStyle w:val="40"/>
              <w:rPr>
                <w:rFonts w:ascii="Times New Roman" w:hAnsi="Times New Roman" w:eastAsia="宋体" w:cs="Times New Roman"/>
                <w:caps w:val="0"/>
                <w:color w:val="000000" w:themeColor="text1"/>
                <w:highlight w:val="none"/>
                <w14:textFill>
                  <w14:solidFill>
                    <w14:schemeClr w14:val="tx1"/>
                  </w14:solidFill>
                </w14:textFill>
              </w:rPr>
            </w:pPr>
          </w:p>
        </w:tc>
      </w:tr>
    </w:tbl>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rPr>
          <w:rFonts w:ascii="Times New Roman" w:hAnsi="Times New Roman" w:eastAsia="宋体"/>
          <w:caps w:val="0"/>
          <w:color w:val="000000" w:themeColor="text1"/>
          <w:sz w:val="28"/>
          <w:szCs w:val="28"/>
          <w:highlight w:val="none"/>
          <w14:textFill>
            <w14:solidFill>
              <w14:schemeClr w14:val="tx1"/>
            </w14:solidFill>
          </w14:textFill>
        </w:rPr>
      </w:pPr>
      <w:r>
        <w:rPr>
          <w:rFonts w:ascii="Times New Roman" w:hAnsi="Times New Roman" w:eastAsia="宋体"/>
          <w:caps w:val="0"/>
          <w:color w:val="000000" w:themeColor="text1"/>
          <w:sz w:val="28"/>
          <w:szCs w:val="28"/>
          <w:highlight w:val="none"/>
          <w14:textFill>
            <w14:solidFill>
              <w14:schemeClr w14:val="tx1"/>
            </w14:solidFill>
          </w14:textFill>
        </w:rPr>
        <w:t>项目主要污染物产生及预计排放情况</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881"/>
        <w:gridCol w:w="1551"/>
        <w:gridCol w:w="2615"/>
        <w:gridCol w:w="2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422" w:type="pct"/>
            <w:vAlign w:val="center"/>
          </w:tcPr>
          <w:p>
            <w:pPr>
              <w:jc w:val="center"/>
              <w:rPr>
                <w:rFonts w:ascii="Times New Roman" w:hAnsi="Times New Roman" w:eastAsia="宋体"/>
                <w:b/>
                <w:bCs/>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内容</w:t>
            </w:r>
          </w:p>
          <w:p>
            <w:pPr>
              <w:jc w:val="center"/>
              <w:rPr>
                <w:rFonts w:ascii="Times New Roman" w:hAnsi="Times New Roman" w:eastAsia="宋体"/>
                <w:b/>
                <w:bCs/>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类型</w:t>
            </w:r>
          </w:p>
        </w:tc>
        <w:tc>
          <w:tcPr>
            <w:tcW w:w="1018" w:type="pct"/>
            <w:vAlign w:val="center"/>
          </w:tcPr>
          <w:p>
            <w:pPr>
              <w:jc w:val="center"/>
              <w:rPr>
                <w:rFonts w:ascii="Times New Roman" w:hAnsi="Times New Roman" w:eastAsia="宋体"/>
                <w:b/>
                <w:bCs/>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排放源</w:t>
            </w:r>
          </w:p>
        </w:tc>
        <w:tc>
          <w:tcPr>
            <w:tcW w:w="839" w:type="pct"/>
            <w:vAlign w:val="center"/>
          </w:tcPr>
          <w:p>
            <w:pPr>
              <w:jc w:val="center"/>
              <w:rPr>
                <w:rFonts w:ascii="Times New Roman" w:hAnsi="Times New Roman" w:eastAsia="宋体"/>
                <w:b/>
                <w:bCs/>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污染物名称</w:t>
            </w:r>
          </w:p>
        </w:tc>
        <w:tc>
          <w:tcPr>
            <w:tcW w:w="1415" w:type="pct"/>
            <w:vAlign w:val="center"/>
          </w:tcPr>
          <w:p>
            <w:pPr>
              <w:jc w:val="center"/>
              <w:rPr>
                <w:rFonts w:ascii="Times New Roman" w:hAnsi="Times New Roman" w:eastAsia="宋体"/>
                <w:b/>
                <w:bCs/>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处理前产生浓度及产生量</w:t>
            </w:r>
          </w:p>
        </w:tc>
        <w:tc>
          <w:tcPr>
            <w:tcW w:w="1303" w:type="pct"/>
            <w:vAlign w:val="center"/>
          </w:tcPr>
          <w:p>
            <w:pPr>
              <w:jc w:val="center"/>
              <w:rPr>
                <w:rFonts w:ascii="Times New Roman" w:hAnsi="Times New Roman" w:eastAsia="宋体"/>
                <w:b/>
                <w:bCs/>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排放浓度及排放量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422" w:type="pct"/>
            <w:vMerge w:val="restart"/>
            <w:vAlign w:val="center"/>
          </w:tcPr>
          <w:p>
            <w:pPr>
              <w:jc w:val="center"/>
              <w:textAlignment w:val="center"/>
              <w:rPr>
                <w:rFonts w:ascii="Times New Roman" w:hAnsi="Times New Roman" w:eastAsia="宋体"/>
                <w:bCs/>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大气污染物</w:t>
            </w:r>
          </w:p>
        </w:tc>
        <w:tc>
          <w:tcPr>
            <w:tcW w:w="1018" w:type="pct"/>
            <w:vAlign w:val="center"/>
          </w:tcPr>
          <w:p>
            <w:pPr>
              <w:jc w:val="center"/>
              <w:rPr>
                <w:rFonts w:ascii="Times New Roman" w:hAnsi="Times New Roman" w:eastAsia="宋体"/>
                <w:bCs/>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6</w:t>
            </w:r>
            <w:r>
              <w:rPr>
                <w:rFonts w:ascii="Times New Roman" w:hAnsi="Times New Roman" w:eastAsia="宋体"/>
                <w:caps w:val="0"/>
                <w:color w:val="000000" w:themeColor="text1"/>
                <w:sz w:val="24"/>
                <w:szCs w:val="24"/>
                <w:highlight w:val="none"/>
                <w14:textFill>
                  <w14:solidFill>
                    <w14:schemeClr w14:val="tx1"/>
                  </w14:solidFill>
                </w14:textFill>
              </w:rPr>
              <w:t>#排气筒</w:t>
            </w:r>
          </w:p>
        </w:tc>
        <w:tc>
          <w:tcPr>
            <w:tcW w:w="839" w:type="pct"/>
            <w:vAlign w:val="center"/>
          </w:tcPr>
          <w:p>
            <w:pPr>
              <w:jc w:val="center"/>
              <w:rPr>
                <w:rFonts w:ascii="Times New Roman" w:hAnsi="Times New Roman" w:eastAsia="宋体"/>
                <w:bCs/>
                <w:caps w:val="0"/>
                <w:color w:val="000000" w:themeColor="text1"/>
                <w:sz w:val="24"/>
                <w:szCs w:val="24"/>
                <w:highlight w:val="none"/>
                <w14:textFill>
                  <w14:solidFill>
                    <w14:schemeClr w14:val="tx1"/>
                  </w14:solidFill>
                </w14:textFill>
              </w:rPr>
            </w:pPr>
            <w:r>
              <w:rPr>
                <w:rFonts w:ascii="Times New Roman" w:hAnsi="Times New Roman" w:eastAsia="宋体"/>
                <w:bCs/>
                <w:caps w:val="0"/>
                <w:color w:val="000000" w:themeColor="text1"/>
                <w:sz w:val="24"/>
                <w:szCs w:val="24"/>
                <w:highlight w:val="none"/>
                <w14:textFill>
                  <w14:solidFill>
                    <w14:schemeClr w14:val="tx1"/>
                  </w14:solidFill>
                </w14:textFill>
              </w:rPr>
              <w:t>颗粒物</w:t>
            </w:r>
          </w:p>
        </w:tc>
        <w:tc>
          <w:tcPr>
            <w:tcW w:w="1415" w:type="pct"/>
            <w:vAlign w:val="center"/>
          </w:tcPr>
          <w:p>
            <w:pPr>
              <w:jc w:val="center"/>
              <w:rPr>
                <w:rFonts w:ascii="Times New Roman" w:hAnsi="Times New Roman" w:eastAsia="宋体"/>
                <w:bCs/>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75</w:t>
            </w:r>
            <w:r>
              <w:rPr>
                <w:rFonts w:ascii="Times New Roman" w:hAnsi="Times New Roman" w:eastAsia="宋体"/>
                <w:caps w:val="0"/>
                <w:color w:val="000000" w:themeColor="text1"/>
                <w:sz w:val="24"/>
                <w:szCs w:val="24"/>
                <w:highlight w:val="none"/>
                <w14:textFill>
                  <w14:solidFill>
                    <w14:schemeClr w14:val="tx1"/>
                  </w14:solidFill>
                </w14:textFill>
              </w:rPr>
              <w:t>mg/m</w:t>
            </w:r>
            <w:r>
              <w:rPr>
                <w:rFonts w:ascii="Times New Roman" w:hAnsi="Times New Roman" w:eastAsia="宋体"/>
                <w:caps w:val="0"/>
                <w:color w:val="000000" w:themeColor="text1"/>
                <w:sz w:val="24"/>
                <w:szCs w:val="24"/>
                <w:highlight w:val="none"/>
                <w:vertAlign w:val="superscript"/>
                <w14:textFill>
                  <w14:solidFill>
                    <w14:schemeClr w14:val="tx1"/>
                  </w14:solidFill>
                </w14:textFill>
              </w:rPr>
              <w:t>3</w:t>
            </w:r>
            <w:r>
              <w:rPr>
                <w:rFonts w:ascii="Times New Roman" w:hAnsi="Times New Roman" w:eastAsia="宋体"/>
                <w:caps w:val="0"/>
                <w:color w:val="000000" w:themeColor="text1"/>
                <w:sz w:val="24"/>
                <w:szCs w:val="24"/>
                <w:highlight w:val="none"/>
                <w14:textFill>
                  <w14:solidFill>
                    <w14:schemeClr w14:val="tx1"/>
                  </w14:solidFill>
                </w14:textFill>
              </w:rPr>
              <w:t>；</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0.9</w:t>
            </w:r>
            <w:r>
              <w:rPr>
                <w:rFonts w:ascii="Times New Roman" w:hAnsi="Times New Roman" w:eastAsia="宋体"/>
                <w:caps w:val="0"/>
                <w:color w:val="000000" w:themeColor="text1"/>
                <w:sz w:val="24"/>
                <w:szCs w:val="24"/>
                <w:highlight w:val="none"/>
                <w14:textFill>
                  <w14:solidFill>
                    <w14:schemeClr w14:val="tx1"/>
                  </w14:solidFill>
                </w14:textFill>
              </w:rPr>
              <w:t>t/a</w:t>
            </w:r>
          </w:p>
        </w:tc>
        <w:tc>
          <w:tcPr>
            <w:tcW w:w="1303" w:type="pct"/>
            <w:vAlign w:val="center"/>
          </w:tcPr>
          <w:p>
            <w:pPr>
              <w:jc w:val="center"/>
              <w:rPr>
                <w:rFonts w:ascii="Times New Roman" w:hAnsi="Times New Roman" w:eastAsia="宋体"/>
                <w:bCs/>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0.75</w:t>
            </w:r>
            <w:r>
              <w:rPr>
                <w:rFonts w:ascii="Times New Roman" w:hAnsi="Times New Roman" w:eastAsia="宋体"/>
                <w:caps w:val="0"/>
                <w:color w:val="000000" w:themeColor="text1"/>
                <w:sz w:val="24"/>
                <w:szCs w:val="24"/>
                <w:highlight w:val="none"/>
                <w14:textFill>
                  <w14:solidFill>
                    <w14:schemeClr w14:val="tx1"/>
                  </w14:solidFill>
                </w14:textFill>
              </w:rPr>
              <w:t>mg/m</w:t>
            </w:r>
            <w:r>
              <w:rPr>
                <w:rFonts w:ascii="Times New Roman" w:hAnsi="Times New Roman" w:eastAsia="宋体"/>
                <w:caps w:val="0"/>
                <w:color w:val="000000" w:themeColor="text1"/>
                <w:sz w:val="24"/>
                <w:szCs w:val="24"/>
                <w:highlight w:val="none"/>
                <w:vertAlign w:val="superscript"/>
                <w14:textFill>
                  <w14:solidFill>
                    <w14:schemeClr w14:val="tx1"/>
                  </w14:solidFill>
                </w14:textFill>
              </w:rPr>
              <w:t>3</w:t>
            </w:r>
            <w:r>
              <w:rPr>
                <w:rFonts w:ascii="Times New Roman" w:hAnsi="Times New Roman" w:eastAsia="宋体"/>
                <w:caps w:val="0"/>
                <w:color w:val="000000" w:themeColor="text1"/>
                <w:sz w:val="24"/>
                <w:szCs w:val="24"/>
                <w:highlight w:val="none"/>
                <w14:textFill>
                  <w14:solidFill>
                    <w14:schemeClr w14:val="tx1"/>
                  </w14:solidFill>
                </w14:textFill>
              </w:rPr>
              <w:t>；</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0.009</w:t>
            </w:r>
            <w:r>
              <w:rPr>
                <w:rFonts w:ascii="Times New Roman" w:hAnsi="Times New Roman" w:eastAsia="宋体"/>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highlight w:val="none"/>
                <w14:textFill>
                  <w14:solidFill>
                    <w14:schemeClr w14:val="tx1"/>
                  </w14:solidFill>
                </w14:textFill>
              </w:rPr>
            </w:pPr>
          </w:p>
        </w:tc>
        <w:tc>
          <w:tcPr>
            <w:tcW w:w="1018" w:type="pct"/>
            <w:vMerge w:val="restart"/>
            <w:vAlign w:val="center"/>
          </w:tcPr>
          <w:p>
            <w:pPr>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7</w:t>
            </w:r>
            <w:r>
              <w:rPr>
                <w:rFonts w:ascii="Times New Roman" w:hAnsi="Times New Roman" w:eastAsia="宋体"/>
                <w:caps w:val="0"/>
                <w:color w:val="000000" w:themeColor="text1"/>
                <w:sz w:val="24"/>
                <w:szCs w:val="24"/>
                <w:highlight w:val="none"/>
                <w14:textFill>
                  <w14:solidFill>
                    <w14:schemeClr w14:val="tx1"/>
                  </w14:solidFill>
                </w14:textFill>
              </w:rPr>
              <w:t>#排气筒</w:t>
            </w:r>
          </w:p>
        </w:tc>
        <w:tc>
          <w:tcPr>
            <w:tcW w:w="839" w:type="pct"/>
            <w:vAlign w:val="center"/>
          </w:tcPr>
          <w:p>
            <w:pPr>
              <w:jc w:val="center"/>
              <w:rPr>
                <w:rFonts w:hint="eastAsia" w:ascii="Times New Roman" w:hAnsi="Times New Roman" w:eastAsia="宋体"/>
                <w:bCs/>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bCs/>
                <w:caps w:val="0"/>
                <w:color w:val="000000" w:themeColor="text1"/>
                <w:sz w:val="24"/>
                <w:szCs w:val="24"/>
                <w:highlight w:val="none"/>
                <w:lang w:val="en-US" w:eastAsia="zh-CN"/>
                <w14:textFill>
                  <w14:solidFill>
                    <w14:schemeClr w14:val="tx1"/>
                  </w14:solidFill>
                </w14:textFill>
              </w:rPr>
              <w:t>非甲烷总烃</w:t>
            </w:r>
          </w:p>
        </w:tc>
        <w:tc>
          <w:tcPr>
            <w:tcW w:w="1415" w:type="pct"/>
            <w:vAlign w:val="center"/>
          </w:tcPr>
          <w:p>
            <w:pPr>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51</w:t>
            </w:r>
            <w:r>
              <w:rPr>
                <w:rFonts w:ascii="Times New Roman" w:hAnsi="Times New Roman" w:eastAsia="宋体"/>
                <w:caps w:val="0"/>
                <w:color w:val="000000" w:themeColor="text1"/>
                <w:sz w:val="24"/>
                <w:szCs w:val="24"/>
                <w:highlight w:val="none"/>
                <w14:textFill>
                  <w14:solidFill>
                    <w14:schemeClr w14:val="tx1"/>
                  </w14:solidFill>
                </w14:textFill>
              </w:rPr>
              <w:t>mg/m</w:t>
            </w:r>
            <w:r>
              <w:rPr>
                <w:rFonts w:ascii="Times New Roman" w:hAnsi="Times New Roman" w:eastAsia="宋体"/>
                <w:caps w:val="0"/>
                <w:color w:val="000000" w:themeColor="text1"/>
                <w:sz w:val="24"/>
                <w:szCs w:val="24"/>
                <w:highlight w:val="none"/>
                <w:vertAlign w:val="superscript"/>
                <w14:textFill>
                  <w14:solidFill>
                    <w14:schemeClr w14:val="tx1"/>
                  </w14:solidFill>
                </w14:textFill>
              </w:rPr>
              <w:t>3</w:t>
            </w:r>
            <w:r>
              <w:rPr>
                <w:rFonts w:ascii="Times New Roman" w:hAnsi="Times New Roman" w:eastAsia="宋体"/>
                <w:caps w:val="0"/>
                <w:color w:val="000000" w:themeColor="text1"/>
                <w:sz w:val="24"/>
                <w:szCs w:val="24"/>
                <w:highlight w:val="none"/>
                <w14:textFill>
                  <w14:solidFill>
                    <w14:schemeClr w14:val="tx1"/>
                  </w14:solidFill>
                </w14:textFill>
              </w:rPr>
              <w:t>；</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0.306</w:t>
            </w:r>
            <w:r>
              <w:rPr>
                <w:rFonts w:ascii="Times New Roman" w:hAnsi="Times New Roman" w:eastAsia="宋体"/>
                <w:caps w:val="0"/>
                <w:color w:val="000000" w:themeColor="text1"/>
                <w:sz w:val="24"/>
                <w:szCs w:val="24"/>
                <w:highlight w:val="none"/>
                <w14:textFill>
                  <w14:solidFill>
                    <w14:schemeClr w14:val="tx1"/>
                  </w14:solidFill>
                </w14:textFill>
              </w:rPr>
              <w:t>t/a</w:t>
            </w:r>
          </w:p>
        </w:tc>
        <w:tc>
          <w:tcPr>
            <w:tcW w:w="1303" w:type="pct"/>
            <w:vAlign w:val="center"/>
          </w:tcPr>
          <w:p>
            <w:pPr>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5.1</w:t>
            </w:r>
            <w:r>
              <w:rPr>
                <w:rFonts w:ascii="Times New Roman" w:hAnsi="Times New Roman" w:eastAsia="宋体"/>
                <w:caps w:val="0"/>
                <w:color w:val="000000" w:themeColor="text1"/>
                <w:sz w:val="24"/>
                <w:szCs w:val="24"/>
                <w:highlight w:val="none"/>
                <w14:textFill>
                  <w14:solidFill>
                    <w14:schemeClr w14:val="tx1"/>
                  </w14:solidFill>
                </w14:textFill>
              </w:rPr>
              <w:t>mg/m</w:t>
            </w:r>
            <w:r>
              <w:rPr>
                <w:rFonts w:ascii="Times New Roman" w:hAnsi="Times New Roman" w:eastAsia="宋体"/>
                <w:caps w:val="0"/>
                <w:color w:val="000000" w:themeColor="text1"/>
                <w:sz w:val="24"/>
                <w:szCs w:val="24"/>
                <w:highlight w:val="none"/>
                <w:vertAlign w:val="superscript"/>
                <w14:textFill>
                  <w14:solidFill>
                    <w14:schemeClr w14:val="tx1"/>
                  </w14:solidFill>
                </w14:textFill>
              </w:rPr>
              <w:t>3</w:t>
            </w:r>
            <w:r>
              <w:rPr>
                <w:rFonts w:ascii="Times New Roman" w:hAnsi="Times New Roman" w:eastAsia="宋体"/>
                <w:caps w:val="0"/>
                <w:color w:val="000000" w:themeColor="text1"/>
                <w:sz w:val="24"/>
                <w:szCs w:val="24"/>
                <w:highlight w:val="none"/>
                <w14:textFill>
                  <w14:solidFill>
                    <w14:schemeClr w14:val="tx1"/>
                  </w14:solidFill>
                </w14:textFill>
              </w:rPr>
              <w:t>；</w:t>
            </w: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0.031</w:t>
            </w:r>
            <w:r>
              <w:rPr>
                <w:rFonts w:ascii="Times New Roman" w:hAnsi="Times New Roman" w:eastAsia="宋体"/>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22" w:type="pct"/>
            <w:vMerge w:val="continue"/>
            <w:vAlign w:val="center"/>
          </w:tcPr>
          <w:p>
            <w:pPr>
              <w:jc w:val="center"/>
              <w:textAlignment w:val="center"/>
              <w:rPr>
                <w:rFonts w:ascii="Times New Roman" w:hAnsi="Times New Roman" w:eastAsia="宋体"/>
                <w:b/>
                <w:bCs/>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p>
        </w:tc>
        <w:tc>
          <w:tcPr>
            <w:tcW w:w="839" w:type="pct"/>
            <w:vAlign w:val="center"/>
          </w:tcPr>
          <w:p>
            <w:pPr>
              <w:jc w:val="center"/>
              <w:rPr>
                <w:rFonts w:hint="default" w:ascii="Times New Roman" w:hAnsi="Times New Roman" w:eastAsia="宋体"/>
                <w:bCs/>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bCs/>
                <w:caps w:val="0"/>
                <w:color w:val="000000" w:themeColor="text1"/>
                <w:sz w:val="24"/>
                <w:szCs w:val="24"/>
                <w:highlight w:val="none"/>
                <w:lang w:val="en-US" w:eastAsia="zh-CN"/>
                <w14:textFill>
                  <w14:solidFill>
                    <w14:schemeClr w14:val="tx1"/>
                  </w14:solidFill>
                </w14:textFill>
              </w:rPr>
              <w:t>二甲苯</w:t>
            </w:r>
          </w:p>
        </w:tc>
        <w:tc>
          <w:tcPr>
            <w:tcW w:w="1415" w:type="pct"/>
            <w:vAlign w:val="center"/>
          </w:tcPr>
          <w:p>
            <w:pPr>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104.2</w:t>
            </w:r>
            <w:r>
              <w:rPr>
                <w:rFonts w:ascii="Times New Roman" w:hAnsi="Times New Roman" w:eastAsia="宋体"/>
                <w:caps w:val="0"/>
                <w:color w:val="000000" w:themeColor="text1"/>
                <w:sz w:val="24"/>
                <w:szCs w:val="24"/>
                <w:highlight w:val="none"/>
                <w14:textFill>
                  <w14:solidFill>
                    <w14:schemeClr w14:val="tx1"/>
                  </w14:solidFill>
                </w14:textFill>
              </w:rPr>
              <w:t>mg/m</w:t>
            </w:r>
            <w:r>
              <w:rPr>
                <w:rFonts w:ascii="Times New Roman" w:hAnsi="Times New Roman" w:eastAsia="宋体"/>
                <w:caps w:val="0"/>
                <w:color w:val="000000" w:themeColor="text1"/>
                <w:sz w:val="24"/>
                <w:szCs w:val="24"/>
                <w:highlight w:val="none"/>
                <w:vertAlign w:val="superscript"/>
                <w14:textFill>
                  <w14:solidFill>
                    <w14:schemeClr w14:val="tx1"/>
                  </w14:solidFill>
                </w14:textFill>
              </w:rPr>
              <w:t>3</w:t>
            </w:r>
            <w:r>
              <w:rPr>
                <w:rFonts w:ascii="Times New Roman" w:hAnsi="Times New Roman" w:eastAsia="宋体"/>
                <w:caps w:val="0"/>
                <w:color w:val="000000" w:themeColor="text1"/>
                <w:sz w:val="24"/>
                <w:szCs w:val="24"/>
                <w:highlight w:val="none"/>
                <w14:textFill>
                  <w14:solidFill>
                    <w14:schemeClr w14:val="tx1"/>
                  </w14:solidFill>
                </w14:textFill>
              </w:rPr>
              <w:t>；</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251</w:t>
            </w:r>
            <w:r>
              <w:rPr>
                <w:rFonts w:ascii="Times New Roman" w:hAnsi="Times New Roman" w:eastAsia="宋体"/>
                <w:caps w:val="0"/>
                <w:color w:val="000000" w:themeColor="text1"/>
                <w:sz w:val="24"/>
                <w:szCs w:val="24"/>
                <w:highlight w:val="none"/>
                <w14:textFill>
                  <w14:solidFill>
                    <w14:schemeClr w14:val="tx1"/>
                  </w14:solidFill>
                </w14:textFill>
              </w:rPr>
              <w:t>t/a</w:t>
            </w:r>
          </w:p>
        </w:tc>
        <w:tc>
          <w:tcPr>
            <w:tcW w:w="1303" w:type="pct"/>
            <w:vAlign w:val="center"/>
          </w:tcPr>
          <w:p>
            <w:pPr>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10.42</w:t>
            </w:r>
            <w:r>
              <w:rPr>
                <w:rFonts w:ascii="Times New Roman" w:hAnsi="Times New Roman" w:eastAsia="宋体"/>
                <w:caps w:val="0"/>
                <w:color w:val="000000" w:themeColor="text1"/>
                <w:sz w:val="24"/>
                <w:szCs w:val="24"/>
                <w:highlight w:val="none"/>
                <w14:textFill>
                  <w14:solidFill>
                    <w14:schemeClr w14:val="tx1"/>
                  </w14:solidFill>
                </w14:textFill>
              </w:rPr>
              <w:t>mg/m</w:t>
            </w:r>
            <w:r>
              <w:rPr>
                <w:rFonts w:ascii="Times New Roman" w:hAnsi="Times New Roman" w:eastAsia="宋体"/>
                <w:caps w:val="0"/>
                <w:color w:val="000000" w:themeColor="text1"/>
                <w:sz w:val="24"/>
                <w:szCs w:val="24"/>
                <w:highlight w:val="none"/>
                <w:vertAlign w:val="superscript"/>
                <w14:textFill>
                  <w14:solidFill>
                    <w14:schemeClr w14:val="tx1"/>
                  </w14:solidFill>
                </w14:textFill>
              </w:rPr>
              <w:t>3</w:t>
            </w:r>
            <w:r>
              <w:rPr>
                <w:rFonts w:ascii="Times New Roman" w:hAnsi="Times New Roman" w:eastAsia="宋体"/>
                <w:caps w:val="0"/>
                <w:color w:val="000000" w:themeColor="text1"/>
                <w:sz w:val="24"/>
                <w:szCs w:val="24"/>
                <w:highlight w:val="none"/>
                <w14:textFill>
                  <w14:solidFill>
                    <w14:schemeClr w14:val="tx1"/>
                  </w14:solidFill>
                </w14:textFill>
              </w:rPr>
              <w:t>；</w:t>
            </w: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0.125</w:t>
            </w:r>
            <w:r>
              <w:rPr>
                <w:rFonts w:ascii="Times New Roman" w:hAnsi="Times New Roman" w:eastAsia="宋体"/>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22" w:type="pct"/>
            <w:vMerge w:val="continue"/>
            <w:vAlign w:val="center"/>
          </w:tcPr>
          <w:p>
            <w:pPr>
              <w:widowControl/>
              <w:jc w:val="center"/>
              <w:textAlignment w:val="center"/>
              <w:rPr>
                <w:rFonts w:ascii="Times New Roman" w:hAnsi="Times New Roman" w:eastAsia="宋体"/>
                <w:b/>
                <w:bCs/>
                <w:caps w:val="0"/>
                <w:color w:val="000000" w:themeColor="text1"/>
                <w:sz w:val="24"/>
                <w:szCs w:val="24"/>
                <w:highlight w:val="none"/>
                <w14:textFill>
                  <w14:solidFill>
                    <w14:schemeClr w14:val="tx1"/>
                  </w14:solidFill>
                </w14:textFill>
              </w:rPr>
            </w:pPr>
          </w:p>
        </w:tc>
        <w:tc>
          <w:tcPr>
            <w:tcW w:w="1018" w:type="pct"/>
            <w:vMerge w:val="restart"/>
            <w:vAlign w:val="center"/>
          </w:tcPr>
          <w:p>
            <w:pPr>
              <w:widowControl/>
              <w:jc w:val="center"/>
              <w:textAlignment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厂房</w:t>
            </w:r>
          </w:p>
        </w:tc>
        <w:tc>
          <w:tcPr>
            <w:tcW w:w="839"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bCs/>
                <w:caps w:val="0"/>
                <w:color w:val="000000" w:themeColor="text1"/>
                <w:sz w:val="24"/>
                <w:szCs w:val="24"/>
                <w:highlight w:val="none"/>
                <w14:textFill>
                  <w14:solidFill>
                    <w14:schemeClr w14:val="tx1"/>
                  </w14:solidFill>
                </w14:textFill>
              </w:rPr>
              <w:t>颗粒物</w:t>
            </w:r>
          </w:p>
        </w:tc>
        <w:tc>
          <w:tcPr>
            <w:tcW w:w="1415"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0.083kg/h，0.1</w:t>
            </w:r>
            <w:r>
              <w:rPr>
                <w:rFonts w:ascii="Times New Roman" w:hAnsi="Times New Roman" w:eastAsia="宋体"/>
                <w:caps w:val="0"/>
                <w:color w:val="000000" w:themeColor="text1"/>
                <w:sz w:val="24"/>
                <w:szCs w:val="24"/>
                <w:highlight w:val="none"/>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0.083kg/h，0.1</w:t>
            </w:r>
            <w:r>
              <w:rPr>
                <w:rFonts w:ascii="Times New Roman" w:hAnsi="Times New Roman" w:eastAsia="宋体"/>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22" w:type="pct"/>
            <w:vMerge w:val="continue"/>
            <w:vAlign w:val="center"/>
          </w:tcPr>
          <w:p>
            <w:pPr>
              <w:widowControl/>
              <w:jc w:val="center"/>
              <w:textAlignment w:val="center"/>
              <w:rPr>
                <w:rFonts w:ascii="Times New Roman" w:hAnsi="Times New Roman" w:eastAsia="宋体"/>
                <w:b/>
                <w:bCs/>
                <w:caps w:val="0"/>
                <w:color w:val="000000" w:themeColor="text1"/>
                <w:sz w:val="24"/>
                <w:szCs w:val="24"/>
                <w:highlight w:val="none"/>
                <w14:textFill>
                  <w14:solidFill>
                    <w14:schemeClr w14:val="tx1"/>
                  </w14:solidFill>
                </w14:textFill>
              </w:rPr>
            </w:pPr>
          </w:p>
        </w:tc>
        <w:tc>
          <w:tcPr>
            <w:tcW w:w="1018" w:type="pct"/>
            <w:vMerge w:val="continue"/>
            <w:vAlign w:val="center"/>
          </w:tcPr>
          <w:p>
            <w:pPr>
              <w:widowControl/>
              <w:jc w:val="center"/>
              <w:textAlignment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bCs/>
                <w:caps w:val="0"/>
                <w:color w:val="000000" w:themeColor="text1"/>
                <w:sz w:val="24"/>
                <w:szCs w:val="24"/>
                <w:highlight w:val="none"/>
                <w14:textFill>
                  <w14:solidFill>
                    <w14:schemeClr w14:val="tx1"/>
                  </w14:solidFill>
                </w14:textFill>
              </w:rPr>
              <w:t>非甲烷总烃</w:t>
            </w:r>
          </w:p>
        </w:tc>
        <w:tc>
          <w:tcPr>
            <w:tcW w:w="1415"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0.028kg/h，0.034</w:t>
            </w:r>
            <w:r>
              <w:rPr>
                <w:rFonts w:ascii="Times New Roman" w:hAnsi="Times New Roman" w:eastAsia="宋体"/>
                <w:caps w:val="0"/>
                <w:color w:val="000000" w:themeColor="text1"/>
                <w:sz w:val="24"/>
                <w:szCs w:val="24"/>
                <w:highlight w:val="none"/>
                <w14:textFill>
                  <w14:solidFill>
                    <w14:schemeClr w14:val="tx1"/>
                  </w14:solidFill>
                </w14:textFill>
              </w:rPr>
              <w:t>t/a</w:t>
            </w:r>
          </w:p>
        </w:tc>
        <w:tc>
          <w:tcPr>
            <w:tcW w:w="1303"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0.028kg/h，0.034</w:t>
            </w:r>
            <w:r>
              <w:rPr>
                <w:rFonts w:ascii="Times New Roman" w:hAnsi="Times New Roman" w:eastAsia="宋体"/>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22" w:type="pct"/>
            <w:vMerge w:val="continue"/>
            <w:vAlign w:val="center"/>
          </w:tcPr>
          <w:p>
            <w:pPr>
              <w:widowControl/>
              <w:jc w:val="center"/>
              <w:textAlignment w:val="center"/>
              <w:rPr>
                <w:rFonts w:ascii="Times New Roman" w:hAnsi="Times New Roman" w:eastAsia="宋体"/>
                <w:b/>
                <w:bCs/>
                <w:caps w:val="0"/>
                <w:color w:val="000000" w:themeColor="text1"/>
                <w:sz w:val="24"/>
                <w:szCs w:val="24"/>
                <w:highlight w:val="none"/>
                <w14:textFill>
                  <w14:solidFill>
                    <w14:schemeClr w14:val="tx1"/>
                  </w14:solidFill>
                </w14:textFill>
              </w:rPr>
            </w:pPr>
          </w:p>
        </w:tc>
        <w:tc>
          <w:tcPr>
            <w:tcW w:w="1018" w:type="pct"/>
            <w:vMerge w:val="continue"/>
            <w:vAlign w:val="center"/>
          </w:tcPr>
          <w:p>
            <w:pPr>
              <w:widowControl/>
              <w:jc w:val="center"/>
              <w:textAlignment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vAlign w:val="center"/>
          </w:tcPr>
          <w:p>
            <w:pPr>
              <w:jc w:val="center"/>
              <w:rPr>
                <w:rFonts w:hint="eastAsia" w:ascii="Times New Roman" w:hAnsi="Times New Roman" w:eastAsia="宋体"/>
                <w:bCs/>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bCs/>
                <w:caps w:val="0"/>
                <w:color w:val="000000" w:themeColor="text1"/>
                <w:sz w:val="24"/>
                <w:szCs w:val="24"/>
                <w:highlight w:val="none"/>
                <w:lang w:val="en-US" w:eastAsia="zh-CN"/>
                <w14:textFill>
                  <w14:solidFill>
                    <w14:schemeClr w14:val="tx1"/>
                  </w14:solidFill>
                </w14:textFill>
              </w:rPr>
              <w:t>二甲苯</w:t>
            </w:r>
          </w:p>
        </w:tc>
        <w:tc>
          <w:tcPr>
            <w:tcW w:w="1415" w:type="pct"/>
            <w:vAlign w:val="center"/>
          </w:tcPr>
          <w:p>
            <w:pPr>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0.116kg/h，0.139</w:t>
            </w:r>
            <w:r>
              <w:rPr>
                <w:rFonts w:ascii="Times New Roman" w:hAnsi="Times New Roman" w:eastAsia="宋体"/>
                <w:caps w:val="0"/>
                <w:color w:val="000000" w:themeColor="text1"/>
                <w:sz w:val="24"/>
                <w:szCs w:val="24"/>
                <w:highlight w:val="none"/>
                <w14:textFill>
                  <w14:solidFill>
                    <w14:schemeClr w14:val="tx1"/>
                  </w14:solidFill>
                </w14:textFill>
              </w:rPr>
              <w:t>t/a</w:t>
            </w:r>
          </w:p>
        </w:tc>
        <w:tc>
          <w:tcPr>
            <w:tcW w:w="1303" w:type="pct"/>
            <w:vAlign w:val="center"/>
          </w:tcPr>
          <w:p>
            <w:pPr>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0.116kg/h，0.139</w:t>
            </w:r>
            <w:r>
              <w:rPr>
                <w:rFonts w:ascii="Times New Roman" w:hAnsi="Times New Roman" w:eastAsia="宋体"/>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2" w:type="pct"/>
            <w:vMerge w:val="restar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水污染物</w:t>
            </w:r>
          </w:p>
        </w:tc>
        <w:tc>
          <w:tcPr>
            <w:tcW w:w="1018" w:type="pct"/>
            <w:vMerge w:val="restar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14:textFill>
                  <w14:solidFill>
                    <w14:schemeClr w14:val="tx1"/>
                  </w14:solidFill>
                </w14:textFill>
              </w:rPr>
              <w:t>生活污水</w:t>
            </w:r>
          </w:p>
        </w:tc>
        <w:tc>
          <w:tcPr>
            <w:tcW w:w="839"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废水量</w:t>
            </w:r>
          </w:p>
        </w:tc>
        <w:tc>
          <w:tcPr>
            <w:tcW w:w="1415"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840</w:t>
            </w:r>
            <w:r>
              <w:rPr>
                <w:rFonts w:ascii="Times New Roman" w:hAnsi="Times New Roman" w:eastAsia="宋体"/>
                <w:bCs/>
                <w:caps w:val="0"/>
                <w:color w:val="000000" w:themeColor="text1"/>
                <w:sz w:val="24"/>
                <w:szCs w:val="24"/>
                <w:highlight w:val="none"/>
                <w14:textFill>
                  <w14:solidFill>
                    <w14:schemeClr w14:val="tx1"/>
                  </w14:solidFill>
                </w14:textFill>
              </w:rPr>
              <w:t>t/a</w:t>
            </w:r>
          </w:p>
        </w:tc>
        <w:tc>
          <w:tcPr>
            <w:tcW w:w="1303"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840</w:t>
            </w:r>
            <w:r>
              <w:rPr>
                <w:rFonts w:ascii="Times New Roman" w:hAnsi="Times New Roman" w:eastAsia="宋体"/>
                <w:bCs/>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2"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COD</w:t>
            </w:r>
          </w:p>
        </w:tc>
        <w:tc>
          <w:tcPr>
            <w:tcW w:w="1415"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350mg/L；</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0.294</w:t>
            </w:r>
            <w:r>
              <w:rPr>
                <w:rFonts w:ascii="Times New Roman" w:hAnsi="Times New Roman" w:eastAsia="宋体"/>
                <w:caps w:val="0"/>
                <w:color w:val="000000" w:themeColor="text1"/>
                <w:sz w:val="24"/>
                <w:szCs w:val="24"/>
                <w:highlight w:val="none"/>
                <w14:textFill>
                  <w14:solidFill>
                    <w14:schemeClr w14:val="tx1"/>
                  </w14:solidFill>
                </w14:textFill>
              </w:rPr>
              <w:t>t/a</w:t>
            </w:r>
          </w:p>
        </w:tc>
        <w:tc>
          <w:tcPr>
            <w:tcW w:w="1303"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100mg/L；</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084</w:t>
            </w:r>
            <w:r>
              <w:rPr>
                <w:rFonts w:ascii="Times New Roman" w:hAnsi="Times New Roman" w:eastAsia="宋体"/>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2"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BOD</w:t>
            </w:r>
            <w:r>
              <w:rPr>
                <w:rFonts w:ascii="Times New Roman" w:hAnsi="Times New Roman" w:eastAsia="宋体"/>
                <w:caps w:val="0"/>
                <w:color w:val="000000" w:themeColor="text1"/>
                <w:sz w:val="24"/>
                <w:szCs w:val="24"/>
                <w:highlight w:val="none"/>
                <w:vertAlign w:val="subscript"/>
                <w14:textFill>
                  <w14:solidFill>
                    <w14:schemeClr w14:val="tx1"/>
                  </w14:solidFill>
                </w14:textFill>
              </w:rPr>
              <w:t>5</w:t>
            </w:r>
          </w:p>
        </w:tc>
        <w:tc>
          <w:tcPr>
            <w:tcW w:w="1415"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150mg/L；</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126</w:t>
            </w:r>
            <w:r>
              <w:rPr>
                <w:rFonts w:ascii="Times New Roman" w:hAnsi="Times New Roman" w:eastAsia="宋体"/>
                <w:caps w:val="0"/>
                <w:color w:val="000000" w:themeColor="text1"/>
                <w:sz w:val="24"/>
                <w:szCs w:val="24"/>
                <w:highlight w:val="none"/>
                <w14:textFill>
                  <w14:solidFill>
                    <w14:schemeClr w14:val="tx1"/>
                  </w14:solidFill>
                </w14:textFill>
              </w:rPr>
              <w:t>t/a</w:t>
            </w:r>
          </w:p>
        </w:tc>
        <w:tc>
          <w:tcPr>
            <w:tcW w:w="1303"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20mg/L；</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0.0</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17</w:t>
            </w:r>
            <w:r>
              <w:rPr>
                <w:rFonts w:ascii="Times New Roman" w:hAnsi="Times New Roman" w:eastAsia="宋体"/>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2"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SS</w:t>
            </w:r>
          </w:p>
        </w:tc>
        <w:tc>
          <w:tcPr>
            <w:tcW w:w="1415"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200mg/L；</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168</w:t>
            </w:r>
            <w:r>
              <w:rPr>
                <w:rFonts w:ascii="Times New Roman" w:hAnsi="Times New Roman" w:eastAsia="宋体"/>
                <w:caps w:val="0"/>
                <w:color w:val="000000" w:themeColor="text1"/>
                <w:sz w:val="24"/>
                <w:szCs w:val="24"/>
                <w:highlight w:val="none"/>
                <w14:textFill>
                  <w14:solidFill>
                    <w14:schemeClr w14:val="tx1"/>
                  </w14:solidFill>
                </w14:textFill>
              </w:rPr>
              <w:t>t/a</w:t>
            </w:r>
          </w:p>
        </w:tc>
        <w:tc>
          <w:tcPr>
            <w:tcW w:w="1303"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70mg/L；</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059</w:t>
            </w:r>
            <w:r>
              <w:rPr>
                <w:rFonts w:ascii="Times New Roman" w:hAnsi="Times New Roman" w:eastAsia="宋体"/>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2"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氨氮</w:t>
            </w:r>
          </w:p>
        </w:tc>
        <w:tc>
          <w:tcPr>
            <w:tcW w:w="1415"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35mg/L；</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029</w:t>
            </w:r>
            <w:r>
              <w:rPr>
                <w:rFonts w:ascii="Times New Roman" w:hAnsi="Times New Roman" w:eastAsia="宋体"/>
                <w:caps w:val="0"/>
                <w:color w:val="000000" w:themeColor="text1"/>
                <w:sz w:val="24"/>
                <w:szCs w:val="24"/>
                <w:highlight w:val="none"/>
                <w14:textFill>
                  <w14:solidFill>
                    <w14:schemeClr w14:val="tx1"/>
                  </w14:solidFill>
                </w14:textFill>
              </w:rPr>
              <w:t>t/a</w:t>
            </w:r>
          </w:p>
        </w:tc>
        <w:tc>
          <w:tcPr>
            <w:tcW w:w="1303" w:type="pct"/>
            <w:vAlign w:val="center"/>
          </w:tcPr>
          <w:p>
            <w:pPr>
              <w:adjustRightInd w:val="0"/>
              <w:spacing w:line="32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15mg/L；</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0.0</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13</w:t>
            </w:r>
            <w:r>
              <w:rPr>
                <w:rFonts w:ascii="Times New Roman" w:hAnsi="Times New Roman" w:eastAsia="宋体"/>
                <w:caps w:val="0"/>
                <w:color w:val="000000" w:themeColor="text1"/>
                <w:sz w:val="24"/>
                <w:szCs w:val="24"/>
                <w:highlight w:val="none"/>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22" w:type="pct"/>
            <w:vMerge w:val="restart"/>
            <w:vAlign w:val="center"/>
          </w:tcPr>
          <w:p>
            <w:pPr>
              <w:jc w:val="center"/>
              <w:rPr>
                <w:rFonts w:ascii="Times New Roman" w:hAnsi="Times New Roman" w:eastAsia="宋体"/>
                <w:b/>
                <w:bCs/>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固体废</w:t>
            </w:r>
          </w:p>
          <w:p>
            <w:pPr>
              <w:jc w:val="center"/>
              <w:rPr>
                <w:rFonts w:ascii="Times New Roman" w:hAnsi="Times New Roman" w:eastAsia="宋体"/>
                <w:b/>
                <w:bCs/>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弃物</w:t>
            </w:r>
          </w:p>
        </w:tc>
        <w:tc>
          <w:tcPr>
            <w:tcW w:w="1018" w:type="pct"/>
            <w:vMerge w:val="restart"/>
            <w:vAlign w:val="center"/>
          </w:tcPr>
          <w:p>
            <w:pPr>
              <w:jc w:val="center"/>
              <w:rPr>
                <w:rFonts w:hint="default"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生产厂房</w:t>
            </w:r>
          </w:p>
        </w:tc>
        <w:tc>
          <w:tcPr>
            <w:tcW w:w="839" w:type="pct"/>
            <w:vAlign w:val="center"/>
          </w:tcPr>
          <w:p>
            <w:pPr>
              <w:spacing w:line="240" w:lineRule="atLeast"/>
              <w:ind w:firstLine="0" w:firstLineChars="0"/>
              <w:jc w:val="center"/>
              <w:rPr>
                <w:rFonts w:hint="eastAsia" w:ascii="Times New Roman" w:hAnsi="Times New Roman" w:eastAsia="宋体"/>
                <w:caps w:val="0"/>
                <w:color w:val="000000" w:themeColor="text1"/>
                <w:spacing w:val="-1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11"/>
                <w:sz w:val="24"/>
                <w:szCs w:val="24"/>
                <w:highlight w:val="none"/>
                <w:lang w:val="en-US" w:eastAsia="zh-CN"/>
                <w14:textFill>
                  <w14:solidFill>
                    <w14:schemeClr w14:val="tx1"/>
                  </w14:solidFill>
                </w14:textFill>
              </w:rPr>
              <w:t>金属屑</w:t>
            </w:r>
          </w:p>
        </w:tc>
        <w:tc>
          <w:tcPr>
            <w:tcW w:w="2615" w:type="dxa"/>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z w:val="24"/>
                <w:szCs w:val="24"/>
                <w:highlight w:val="none"/>
                <w:lang w:val="en-US"/>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0.2t</w:t>
            </w:r>
          </w:p>
        </w:tc>
        <w:tc>
          <w:tcPr>
            <w:tcW w:w="1303"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tcBorders>
              <w:bottom w:val="single" w:color="auto" w:sz="4" w:space="0"/>
            </w:tcBorders>
            <w:vAlign w:val="center"/>
          </w:tcPr>
          <w:p>
            <w:pPr>
              <w:spacing w:line="240" w:lineRule="atLeast"/>
              <w:ind w:firstLine="0" w:firstLineChars="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pacing w:val="4"/>
                <w:kern w:val="18"/>
                <w:sz w:val="24"/>
                <w:szCs w:val="24"/>
                <w:highlight w:val="none"/>
                <w14:textFill>
                  <w14:solidFill>
                    <w14:schemeClr w14:val="tx1"/>
                  </w14:solidFill>
                </w14:textFill>
              </w:rPr>
              <w:t>除尘设备收集粉尘</w:t>
            </w:r>
          </w:p>
        </w:tc>
        <w:tc>
          <w:tcPr>
            <w:tcW w:w="2615" w:type="dxa"/>
            <w:tcBorders>
              <w:bottom w:val="single" w:color="auto" w:sz="4" w:space="0"/>
            </w:tcBorders>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z w:val="24"/>
                <w:szCs w:val="24"/>
                <w:highlight w:val="none"/>
                <w:lang w:val="en-US"/>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0.891t</w:t>
            </w:r>
          </w:p>
        </w:tc>
        <w:tc>
          <w:tcPr>
            <w:tcW w:w="1303" w:type="pct"/>
            <w:tcBorders>
              <w:bottom w:val="single" w:color="auto" w:sz="4" w:space="0"/>
            </w:tcBorders>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tcBorders>
              <w:bottom w:val="single" w:color="auto" w:sz="4" w:space="0"/>
            </w:tcBorders>
            <w:vAlign w:val="center"/>
          </w:tcPr>
          <w:p>
            <w:pPr>
              <w:spacing w:line="240" w:lineRule="atLeast"/>
              <w:ind w:firstLine="0" w:firstLineChars="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pacing w:val="4"/>
                <w:kern w:val="18"/>
                <w:sz w:val="24"/>
                <w:szCs w:val="24"/>
                <w:highlight w:val="none"/>
                <w14:textFill>
                  <w14:solidFill>
                    <w14:schemeClr w14:val="tx1"/>
                  </w14:solidFill>
                </w14:textFill>
              </w:rPr>
              <w:t>废桶</w:t>
            </w:r>
          </w:p>
        </w:tc>
        <w:tc>
          <w:tcPr>
            <w:tcW w:w="2615" w:type="dxa"/>
            <w:tcBorders>
              <w:bottom w:val="single" w:color="auto" w:sz="4" w:space="0"/>
            </w:tcBorders>
            <w:vAlign w:val="center"/>
          </w:tcPr>
          <w:p>
            <w:pPr>
              <w:tabs>
                <w:tab w:val="left" w:pos="0"/>
              </w:tabs>
              <w:spacing w:line="240" w:lineRule="atLeast"/>
              <w:ind w:firstLine="0" w:firstLineChars="0"/>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0.1</w:t>
            </w: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t</w:t>
            </w:r>
          </w:p>
        </w:tc>
        <w:tc>
          <w:tcPr>
            <w:tcW w:w="1303" w:type="pct"/>
            <w:tcBorders>
              <w:bottom w:val="single" w:color="auto" w:sz="4" w:space="0"/>
            </w:tcBorders>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sz w:val="24"/>
                <w:szCs w:val="24"/>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tcBorders>
              <w:bottom w:val="single" w:color="auto" w:sz="4" w:space="0"/>
            </w:tcBorders>
            <w:vAlign w:val="center"/>
          </w:tcPr>
          <w:p>
            <w:pPr>
              <w:spacing w:line="240" w:lineRule="atLeast"/>
              <w:ind w:firstLine="0" w:firstLineChars="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pacing w:val="4"/>
                <w:kern w:val="18"/>
                <w:sz w:val="24"/>
                <w:szCs w:val="24"/>
                <w:highlight w:val="none"/>
                <w14:textFill>
                  <w14:solidFill>
                    <w14:schemeClr w14:val="tx1"/>
                  </w14:solidFill>
                </w14:textFill>
              </w:rPr>
              <w:t>废活性炭</w:t>
            </w:r>
          </w:p>
        </w:tc>
        <w:tc>
          <w:tcPr>
            <w:tcW w:w="2615" w:type="dxa"/>
            <w:tcBorders>
              <w:bottom w:val="single" w:color="auto" w:sz="4" w:space="0"/>
            </w:tcBorders>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z w:val="24"/>
                <w:szCs w:val="24"/>
                <w:highlight w:val="none"/>
                <w:lang w:val="en-US"/>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1.377t</w:t>
            </w:r>
          </w:p>
        </w:tc>
        <w:tc>
          <w:tcPr>
            <w:tcW w:w="1303" w:type="pct"/>
            <w:tcBorders>
              <w:bottom w:val="single" w:color="auto" w:sz="4" w:space="0"/>
            </w:tcBorders>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vAlign w:val="center"/>
          </w:tcPr>
          <w:p>
            <w:pPr>
              <w:spacing w:line="240" w:lineRule="atLeast"/>
              <w:ind w:firstLine="0" w:firstLineChars="0"/>
              <w:jc w:val="center"/>
              <w:rPr>
                <w:rFonts w:ascii="Times New Roman" w:hAnsi="Times New Roman" w:eastAsia="宋体"/>
                <w:bCs/>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pacing w:val="4"/>
                <w:kern w:val="18"/>
                <w:sz w:val="24"/>
                <w:szCs w:val="24"/>
                <w:highlight w:val="none"/>
                <w14:textFill>
                  <w14:solidFill>
                    <w14:schemeClr w14:val="tx1"/>
                  </w14:solidFill>
                </w14:textFill>
              </w:rPr>
              <w:t>废油</w:t>
            </w:r>
          </w:p>
        </w:tc>
        <w:tc>
          <w:tcPr>
            <w:tcW w:w="2615" w:type="dxa"/>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z w:val="24"/>
                <w:szCs w:val="24"/>
                <w:highlight w:val="none"/>
                <w:lang w:val="en-US"/>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1.35t</w:t>
            </w:r>
          </w:p>
        </w:tc>
        <w:tc>
          <w:tcPr>
            <w:tcW w:w="1303"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vAlign w:val="center"/>
          </w:tcPr>
          <w:p>
            <w:pPr>
              <w:spacing w:line="240" w:lineRule="atLeast"/>
              <w:ind w:firstLine="0" w:firstLineChars="0"/>
              <w:jc w:val="center"/>
              <w:rPr>
                <w:rFonts w:ascii="Times New Roman" w:hAnsi="Times New Roman" w:eastAsia="宋体"/>
                <w:bCs/>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pacing w:val="4"/>
                <w:kern w:val="18"/>
                <w:sz w:val="24"/>
                <w:szCs w:val="24"/>
                <w:highlight w:val="none"/>
                <w14:textFill>
                  <w14:solidFill>
                    <w14:schemeClr w14:val="tx1"/>
                  </w14:solidFill>
                </w14:textFill>
              </w:rPr>
              <w:t>含油抹布手套</w:t>
            </w:r>
          </w:p>
        </w:tc>
        <w:tc>
          <w:tcPr>
            <w:tcW w:w="2615" w:type="dxa"/>
            <w:vAlign w:val="center"/>
          </w:tcPr>
          <w:p>
            <w:pPr>
              <w:tabs>
                <w:tab w:val="left" w:pos="0"/>
              </w:tabs>
              <w:spacing w:line="240" w:lineRule="atLeast"/>
              <w:ind w:firstLine="0" w:firstLineChars="0"/>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ascii="Times New Roman" w:hAnsi="Times New Roman" w:eastAsia="宋体"/>
                <w:caps w:val="0"/>
                <w:color w:val="000000" w:themeColor="text1"/>
                <w:spacing w:val="4"/>
                <w:kern w:val="18"/>
                <w:sz w:val="21"/>
                <w:szCs w:val="21"/>
                <w:highlight w:val="none"/>
                <w14:textFill>
                  <w14:solidFill>
                    <w14:schemeClr w14:val="tx1"/>
                  </w14:solidFill>
                </w14:textFill>
              </w:rPr>
              <w:t>0.001</w:t>
            </w: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t</w:t>
            </w:r>
          </w:p>
        </w:tc>
        <w:tc>
          <w:tcPr>
            <w:tcW w:w="1303"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22"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018" w:type="pct"/>
            <w:vMerge w:val="continue"/>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839" w:type="pct"/>
            <w:vAlign w:val="center"/>
          </w:tcPr>
          <w:p>
            <w:pPr>
              <w:spacing w:line="240" w:lineRule="atLeast"/>
              <w:ind w:firstLine="0" w:firstLineChars="0"/>
              <w:jc w:val="center"/>
              <w:rPr>
                <w:rFonts w:ascii="Times New Roman" w:hAnsi="Times New Roman" w:eastAsia="宋体"/>
                <w:bCs/>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pacing w:val="4"/>
                <w:kern w:val="18"/>
                <w:sz w:val="24"/>
                <w:szCs w:val="24"/>
                <w:highlight w:val="none"/>
                <w14:textFill>
                  <w14:solidFill>
                    <w14:schemeClr w14:val="tx1"/>
                  </w14:solidFill>
                </w14:textFill>
              </w:rPr>
              <w:t>生活垃圾</w:t>
            </w:r>
          </w:p>
        </w:tc>
        <w:tc>
          <w:tcPr>
            <w:tcW w:w="2615" w:type="dxa"/>
            <w:vAlign w:val="center"/>
          </w:tcPr>
          <w:p>
            <w:pPr>
              <w:tabs>
                <w:tab w:val="left" w:pos="0"/>
              </w:tabs>
              <w:spacing w:line="240" w:lineRule="atLeast"/>
              <w:ind w:firstLine="0" w:firstLineChars="0"/>
              <w:jc w:val="center"/>
              <w:rPr>
                <w:rFonts w:hint="default" w:ascii="Times New Roman" w:hAnsi="Times New Roman" w:eastAsia="宋体"/>
                <w:caps w:val="0"/>
                <w:color w:val="000000" w:themeColor="text1"/>
                <w:sz w:val="24"/>
                <w:szCs w:val="24"/>
                <w:highlight w:val="none"/>
                <w:lang w:val="en-US"/>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7.5t</w:t>
            </w:r>
          </w:p>
        </w:tc>
        <w:tc>
          <w:tcPr>
            <w:tcW w:w="1303"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422" w:type="pct"/>
            <w:vAlign w:val="center"/>
          </w:tcPr>
          <w:p>
            <w:pPr>
              <w:jc w:val="center"/>
              <w:rPr>
                <w:rFonts w:ascii="Times New Roman" w:hAnsi="Times New Roman" w:eastAsia="宋体"/>
                <w:b/>
                <w:bCs/>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sz w:val="24"/>
                <w:szCs w:val="24"/>
                <w:highlight w:val="none"/>
                <w14:textFill>
                  <w14:solidFill>
                    <w14:schemeClr w14:val="tx1"/>
                  </w14:solidFill>
                </w14:textFill>
              </w:rPr>
              <w:t>噪声</w:t>
            </w:r>
          </w:p>
        </w:tc>
        <w:tc>
          <w:tcPr>
            <w:tcW w:w="1018"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生产车间设备</w:t>
            </w:r>
          </w:p>
        </w:tc>
        <w:tc>
          <w:tcPr>
            <w:tcW w:w="839"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噪声</w:t>
            </w:r>
          </w:p>
        </w:tc>
        <w:tc>
          <w:tcPr>
            <w:tcW w:w="1415"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75~90dB(A)</w:t>
            </w:r>
          </w:p>
        </w:tc>
        <w:tc>
          <w:tcPr>
            <w:tcW w:w="1303" w:type="pct"/>
            <w:vAlign w:val="center"/>
          </w:tcPr>
          <w:p>
            <w:pPr>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项目四周边界噪声：昼间≤65dB(A) 夜间≤55dB(A)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5000" w:type="pct"/>
            <w:gridSpan w:val="5"/>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主要生态影响(不够时可附另页)</w:t>
            </w:r>
          </w:p>
          <w:p>
            <w:pPr>
              <w:keepNext w:val="0"/>
              <w:keepLines w:val="0"/>
              <w:pageBreakBefore w:val="0"/>
              <w:widowControl w:val="0"/>
              <w:kinsoku/>
              <w:wordWrap/>
              <w:overflowPunct/>
              <w:topLinePunct w:val="0"/>
              <w:autoSpaceDE/>
              <w:autoSpaceDN/>
              <w:bidi w:val="0"/>
              <w:spacing w:line="240" w:lineRule="auto"/>
              <w:ind w:firstLine="480"/>
              <w:jc w:val="left"/>
              <w:textAlignment w:val="auto"/>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根据对建设项目现场调查可知，目前项目所在地没有特别需要保护的珍稀濒危动植物，周围主要为厂房，无自然植被群落及珍稀动植物资源，且营运过程中污染物的排放量很小，对当地生态环境影响很小。</w:t>
            </w:r>
          </w:p>
          <w:p>
            <w:pPr>
              <w:jc w:val="both"/>
              <w:rPr>
                <w:rFonts w:ascii="Times New Roman" w:hAnsi="Times New Roman" w:eastAsia="宋体"/>
                <w:caps w:val="0"/>
                <w:color w:val="000000" w:themeColor="text1"/>
                <w:sz w:val="24"/>
                <w:szCs w:val="24"/>
                <w:highlight w:val="none"/>
                <w14:textFill>
                  <w14:solidFill>
                    <w14:schemeClr w14:val="tx1"/>
                  </w14:solidFill>
                </w14:textFill>
              </w:rPr>
            </w:pPr>
          </w:p>
        </w:tc>
      </w:tr>
    </w:tbl>
    <w:p>
      <w:pPr>
        <w:pStyle w:val="3"/>
        <w:spacing w:before="120" w:after="120" w:line="360" w:lineRule="auto"/>
        <w:rPr>
          <w:rFonts w:ascii="Times New Roman" w:hAnsi="Times New Roman" w:eastAsia="宋体"/>
          <w:b w:val="0"/>
          <w:bCs w:val="0"/>
          <w:caps w:val="0"/>
          <w:color w:val="000000" w:themeColor="text1"/>
          <w:sz w:val="32"/>
          <w:highlight w:val="none"/>
          <w14:textFill>
            <w14:solidFill>
              <w14:schemeClr w14:val="tx1"/>
            </w14:solidFill>
          </w14:textFill>
        </w:rPr>
      </w:pPr>
      <w:r>
        <w:rPr>
          <w:rFonts w:ascii="Times New Roman" w:hAnsi="Times New Roman" w:eastAsia="宋体"/>
          <w:caps w:val="0"/>
          <w:color w:val="000000" w:themeColor="text1"/>
          <w:sz w:val="28"/>
          <w:szCs w:val="28"/>
          <w:highlight w:val="none"/>
          <w14:textFill>
            <w14:solidFill>
              <w14:schemeClr w14:val="tx1"/>
            </w14:solidFill>
          </w14:textFill>
        </w:rPr>
        <w:t>环境影响分析</w:t>
      </w: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2743" w:hRule="atLeast"/>
          <w:jc w:val="center"/>
        </w:trPr>
        <w:tc>
          <w:tcPr>
            <w:tcW w:w="9010" w:type="dxa"/>
          </w:tcPr>
          <w:p>
            <w:pPr>
              <w:spacing w:line="360" w:lineRule="auto"/>
              <w:rPr>
                <w:rFonts w:ascii="Times New Roman" w:hAnsi="Times New Roman" w:eastAsia="宋体"/>
                <w:b/>
                <w:bCs/>
                <w:caps w:val="0"/>
                <w:color w:val="000000" w:themeColor="text1"/>
                <w:spacing w:val="-2"/>
                <w:sz w:val="24"/>
                <w:highlight w:val="none"/>
                <w14:textFill>
                  <w14:solidFill>
                    <w14:schemeClr w14:val="tx1"/>
                  </w14:solidFill>
                </w14:textFill>
              </w:rPr>
            </w:pPr>
            <w:r>
              <w:rPr>
                <w:rFonts w:ascii="Times New Roman" w:hAnsi="Times New Roman" w:eastAsia="宋体"/>
                <w:b/>
                <w:bCs/>
                <w:caps w:val="0"/>
                <w:color w:val="000000" w:themeColor="text1"/>
                <w:spacing w:val="-2"/>
                <w:sz w:val="24"/>
                <w:highlight w:val="none"/>
                <w14:textFill>
                  <w14:solidFill>
                    <w14:schemeClr w14:val="tx1"/>
                  </w14:solidFill>
                </w14:textFill>
              </w:rPr>
              <w:t>施工期环境影响分析</w:t>
            </w:r>
          </w:p>
          <w:p>
            <w:pPr>
              <w:spacing w:line="360" w:lineRule="auto"/>
              <w:ind w:left="551"/>
              <w:rPr>
                <w:rFonts w:ascii="Times New Roman" w:hAnsi="Times New Roman" w:eastAsia="宋体"/>
                <w:b/>
                <w:color w:val="000000" w:themeColor="text1"/>
                <w:sz w:val="28"/>
                <w:szCs w:val="28"/>
                <w:highlight w:val="none"/>
                <w14:textFill>
                  <w14:solidFill>
                    <w14:schemeClr w14:val="tx1"/>
                  </w14:solidFill>
                </w14:textFill>
              </w:rPr>
            </w:pPr>
            <w:r>
              <w:rPr>
                <w:rFonts w:hint="eastAsia" w:ascii="Times New Roman" w:hAnsi="Times New Roman" w:eastAsia="宋体"/>
                <w:b/>
                <w:color w:val="000000" w:themeColor="text1"/>
                <w:sz w:val="28"/>
                <w:szCs w:val="28"/>
                <w:highlight w:val="none"/>
                <w14:textFill>
                  <w14:solidFill>
                    <w14:schemeClr w14:val="tx1"/>
                  </w14:solidFill>
                </w14:textFill>
              </w:rPr>
              <w:t>1、</w:t>
            </w:r>
            <w:r>
              <w:rPr>
                <w:rFonts w:ascii="Times New Roman" w:hAnsi="Times New Roman" w:eastAsia="宋体"/>
                <w:b/>
                <w:color w:val="000000" w:themeColor="text1"/>
                <w:sz w:val="28"/>
                <w:szCs w:val="28"/>
                <w:highlight w:val="none"/>
                <w14:textFill>
                  <w14:solidFill>
                    <w14:schemeClr w14:val="tx1"/>
                  </w14:solidFill>
                </w14:textFill>
              </w:rPr>
              <w:t>施工期环境影响分析</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施工期的影响主要为建筑材料装卸、运输过程中产生的扬尘，如水泥、建筑用砂、白灰等；施工期建材运输车辆较多，将对施工现场附近环境空气质量造成一定影响。建筑材料装卸时也有一定量的扬尘，但产生量相对分散，只要加强管理，正常情况下不会对周围环境空气质量造成明显影响。施工机械及车辆尾气的排放也会对周围环境空气质量产生一定影响，但只是暂时的、分散的。</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项目在施工中使用的施工机械设备，如混凝土振捣棒、搅拌机等，噪声源强在85~100dB（A），这些声源具有噪声高、无规则等特点，产生噪声污染；施工机械及运输车辆产生噪声，对周围声环境产生影响。类比同行业施工噪声的预测结果可知，白天施工机械超标仅在100m范围内</w:t>
            </w:r>
            <w:r>
              <w:rPr>
                <w:rFonts w:hint="eastAsia" w:ascii="Times New Roman" w:hAnsi="Times New Roman" w:eastAsia="宋体"/>
                <w:color w:val="000000" w:themeColor="text1"/>
                <w:sz w:val="24"/>
                <w:highlight w:val="none"/>
                <w14:textFill>
                  <w14:solidFill>
                    <w14:schemeClr w14:val="tx1"/>
                  </w14:solidFill>
                </w14:textFill>
              </w:rPr>
              <w:t>，</w:t>
            </w:r>
            <w:r>
              <w:rPr>
                <w:rFonts w:ascii="Times New Roman" w:hAnsi="Times New Roman" w:eastAsia="宋体"/>
                <w:color w:val="000000" w:themeColor="text1"/>
                <w:sz w:val="24"/>
                <w:highlight w:val="none"/>
                <w14:textFill>
                  <w14:solidFill>
                    <w14:schemeClr w14:val="tx1"/>
                  </w14:solidFill>
                </w14:textFill>
              </w:rPr>
              <w:t>施工单位应在施工机械与</w:t>
            </w:r>
            <w:r>
              <w:rPr>
                <w:rFonts w:hint="eastAsia" w:ascii="Times New Roman" w:hAnsi="Times New Roman" w:eastAsia="宋体"/>
                <w:color w:val="000000" w:themeColor="text1"/>
                <w:sz w:val="24"/>
                <w:highlight w:val="none"/>
                <w14:textFill>
                  <w14:solidFill>
                    <w14:schemeClr w14:val="tx1"/>
                  </w14:solidFill>
                </w14:textFill>
              </w:rPr>
              <w:t>环境敏感点</w:t>
            </w:r>
            <w:r>
              <w:rPr>
                <w:rFonts w:ascii="Times New Roman" w:hAnsi="Times New Roman" w:eastAsia="宋体"/>
                <w:color w:val="000000" w:themeColor="text1"/>
                <w:sz w:val="24"/>
                <w:highlight w:val="none"/>
                <w14:textFill>
                  <w14:solidFill>
                    <w14:schemeClr w14:val="tx1"/>
                  </w14:solidFill>
                </w14:textFill>
              </w:rPr>
              <w:t>之间设置移动隔声屏障，以减轻施工噪声的影响。</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在施工前平整土地过程中，会产生大量的固体废弃物；工程进入施工阶段过程要产生大量的建筑渣土；施工过程中施工场地人员也会产生生活垃圾和生活污水。在施工期将要产生少量生活垃圾，在施工后期应对其集中清运，施工现场地面的碎砖石以及装修废弃物应清理干净</w:t>
            </w:r>
            <w:r>
              <w:rPr>
                <w:rFonts w:hint="eastAsia" w:ascii="Times New Roman" w:hAnsi="Times New Roman" w:eastAsia="宋体"/>
                <w:color w:val="000000" w:themeColor="text1"/>
                <w:sz w:val="24"/>
                <w:highlight w:val="none"/>
                <w:lang w:eastAsia="zh-CN"/>
                <w14:textFill>
                  <w14:solidFill>
                    <w14:schemeClr w14:val="tx1"/>
                  </w14:solidFill>
                </w14:textFill>
              </w:rPr>
              <w:t>。</w:t>
            </w:r>
          </w:p>
          <w:p>
            <w:pPr>
              <w:spacing w:line="360" w:lineRule="auto"/>
              <w:ind w:firstLine="562" w:firstLineChars="200"/>
              <w:rPr>
                <w:rFonts w:ascii="Times New Roman" w:hAnsi="Times New Roman" w:eastAsia="宋体"/>
                <w:b/>
                <w:color w:val="000000" w:themeColor="text1"/>
                <w:sz w:val="28"/>
                <w:szCs w:val="28"/>
                <w:highlight w:val="none"/>
                <w14:textFill>
                  <w14:solidFill>
                    <w14:schemeClr w14:val="tx1"/>
                  </w14:solidFill>
                </w14:textFill>
              </w:rPr>
            </w:pPr>
            <w:r>
              <w:rPr>
                <w:rFonts w:ascii="Times New Roman" w:hAnsi="Times New Roman" w:eastAsia="宋体"/>
                <w:b/>
                <w:color w:val="000000" w:themeColor="text1"/>
                <w:sz w:val="28"/>
                <w:szCs w:val="28"/>
                <w:highlight w:val="none"/>
                <w14:textFill>
                  <w14:solidFill>
                    <w14:schemeClr w14:val="tx1"/>
                  </w14:solidFill>
                </w14:textFill>
              </w:rPr>
              <w:t>2、施工现场管理及施工期污染防治措施</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（1）施工现场管理</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①</w:t>
            </w:r>
            <w:r>
              <w:rPr>
                <w:rFonts w:ascii="Times New Roman" w:hAnsi="Times New Roman" w:eastAsia="宋体"/>
                <w:color w:val="000000" w:themeColor="text1"/>
                <w:sz w:val="24"/>
                <w:highlight w:val="none"/>
                <w14:textFill>
                  <w14:solidFill>
                    <w14:schemeClr w14:val="tx1"/>
                  </w14:solidFill>
                </w14:textFill>
              </w:rPr>
              <w:t>现场进出口处要设置高压洗车水枪和冲洗场地；运输车辆必须冲洗干净后方能上路行使，禁止往街路上甩泥带土；物料运输不超出车厢且中速平稳行驶，不超载行驶，以保证车辆行驶安全；装运建筑材料、建筑垃圾及工程废土的车辆，应当采取有效措施，保证行驶途中不污染道路和环境。</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②</w:t>
            </w:r>
            <w:r>
              <w:rPr>
                <w:rFonts w:ascii="Times New Roman" w:hAnsi="Times New Roman" w:eastAsia="宋体"/>
                <w:color w:val="000000" w:themeColor="text1"/>
                <w:sz w:val="24"/>
                <w:highlight w:val="none"/>
                <w14:textFill>
                  <w14:solidFill>
                    <w14:schemeClr w14:val="tx1"/>
                  </w14:solidFill>
                </w14:textFill>
              </w:rPr>
              <w:t>现场的道路两侧、机械设备基础周边、外脚手架基础周边等特殊部位要合理设置排水沟。排水沟应当砌筑抹灰，保证排水通畅。</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③</w:t>
            </w:r>
            <w:r>
              <w:rPr>
                <w:rFonts w:ascii="Times New Roman" w:hAnsi="Times New Roman" w:eastAsia="宋体"/>
                <w:color w:val="000000" w:themeColor="text1"/>
                <w:sz w:val="24"/>
                <w:highlight w:val="none"/>
                <w14:textFill>
                  <w14:solidFill>
                    <w14:schemeClr w14:val="tx1"/>
                  </w14:solidFill>
                </w14:textFill>
              </w:rPr>
              <w:t>基槽施工等，要按标准设置泥浆沟、沉淀场地，保持现场整洁。经沉淀场地过滤的水方可外排。</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④</w:t>
            </w:r>
            <w:r>
              <w:rPr>
                <w:rFonts w:ascii="Times New Roman" w:hAnsi="Times New Roman" w:eastAsia="宋体"/>
                <w:color w:val="000000" w:themeColor="text1"/>
                <w:sz w:val="24"/>
                <w:highlight w:val="none"/>
                <w14:textFill>
                  <w14:solidFill>
                    <w14:schemeClr w14:val="tx1"/>
                  </w14:solidFill>
                </w14:textFill>
              </w:rPr>
              <w:t>建筑材料、构件、器具必须按总平面布置图所标定的位置进行堆放。</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⑤</w:t>
            </w:r>
            <w:r>
              <w:rPr>
                <w:rFonts w:ascii="Times New Roman" w:hAnsi="Times New Roman" w:eastAsia="宋体"/>
                <w:color w:val="000000" w:themeColor="text1"/>
                <w:sz w:val="24"/>
                <w:highlight w:val="none"/>
                <w14:textFill>
                  <w14:solidFill>
                    <w14:schemeClr w14:val="tx1"/>
                  </w14:solidFill>
                </w14:textFill>
              </w:rPr>
              <w:t>要做到工完、料净、场地清。</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⑥</w:t>
            </w:r>
            <w:r>
              <w:rPr>
                <w:rFonts w:ascii="Times New Roman" w:hAnsi="Times New Roman" w:eastAsia="宋体"/>
                <w:color w:val="000000" w:themeColor="text1"/>
                <w:sz w:val="24"/>
                <w:highlight w:val="none"/>
                <w14:textFill>
                  <w14:solidFill>
                    <w14:schemeClr w14:val="tx1"/>
                  </w14:solidFill>
                </w14:textFill>
              </w:rPr>
              <w:t>因故不能及时清运的建筑垃圾须归方码垛，并做标志。</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⑦</w:t>
            </w:r>
            <w:r>
              <w:rPr>
                <w:rFonts w:ascii="Times New Roman" w:hAnsi="Times New Roman" w:eastAsia="宋体"/>
                <w:color w:val="000000" w:themeColor="text1"/>
                <w:sz w:val="24"/>
                <w:highlight w:val="none"/>
                <w14:textFill>
                  <w14:solidFill>
                    <w14:schemeClr w14:val="tx1"/>
                  </w14:solidFill>
                </w14:textFill>
              </w:rPr>
              <w:t>所有的材料堆放不得侵占道路及公用设施。</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（2）施工期污染防治措施</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①</w:t>
            </w:r>
            <w:r>
              <w:rPr>
                <w:rFonts w:ascii="Times New Roman" w:hAnsi="Times New Roman" w:eastAsia="宋体"/>
                <w:color w:val="000000" w:themeColor="text1"/>
                <w:sz w:val="24"/>
                <w:highlight w:val="none"/>
                <w14:textFill>
                  <w14:solidFill>
                    <w14:schemeClr w14:val="tx1"/>
                  </w14:solidFill>
                </w14:textFill>
              </w:rPr>
              <w:t>粉尘的控制：由于特殊原因而未做到硬地化处理的部位，要定期压实地面和洒水。建筑材料、建筑垃圾等在堆积时设堆棚以防风雨，在运输时车上盖防风雨的苫布，避免大风季节产生二次扬尘。</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施工期间产生的扬尘，将对附近的环境空气带来不利影响。因此必须采取合理可行的控制措施，尽量减轻其污染程度，缩小其影响范围。其主要对策有：</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A、对施工现场进行科学管理，砂石料应统一堆放，水泥应设专门库房堆放，尽量减少搬运环节，搬运时轻拿轻放，防止包装袋破裂。</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B、土方施工时，对作业面适当喷水，使其保持一定的湿度，以减少扬尘量；而且，建筑材料和建筑垃圾及时运走。</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C、谨防运输车辆装载过满，必须采取遮盖、密闭措施，严禁其沿途抛洒，并及时清扫散落在路面的泥土和灰尘，冲洗车轮，定时洒水降尘，减少运输过程中的扬尘。</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②</w:t>
            </w:r>
            <w:r>
              <w:rPr>
                <w:rFonts w:ascii="Times New Roman" w:hAnsi="Times New Roman" w:eastAsia="宋体"/>
                <w:color w:val="000000" w:themeColor="text1"/>
                <w:sz w:val="24"/>
                <w:highlight w:val="none"/>
                <w14:textFill>
                  <w14:solidFill>
                    <w14:schemeClr w14:val="tx1"/>
                  </w14:solidFill>
                </w14:textFill>
              </w:rPr>
              <w:t>噪声的控制：施工企业应当采用低噪音的工艺和施工方法，当建筑施工作业的噪声超标而又无法避免时，应当采取封闭等隔音措施进行作业。</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为了减轻施工期噪声的环境影响，可采取以下措施：</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A、加强施工管理，合理安排施工作业时间，禁止夜间进行高噪声施工作业。</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B、施工机械应尽可能放置于对厂界外造成影响最小的地点。</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C、在高噪声设备周围设置掩蔽物。</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D、尽量压缩施工现场汽车数量与行车密度，控制汽车鸣笛。</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③</w:t>
            </w:r>
            <w:r>
              <w:rPr>
                <w:rFonts w:ascii="Times New Roman" w:hAnsi="Times New Roman" w:eastAsia="宋体"/>
                <w:color w:val="000000" w:themeColor="text1"/>
                <w:sz w:val="24"/>
                <w:highlight w:val="none"/>
                <w14:textFill>
                  <w14:solidFill>
                    <w14:schemeClr w14:val="tx1"/>
                  </w14:solidFill>
                </w14:textFill>
              </w:rPr>
              <w:t>施工垃圾的控制：在施工期间，严禁向区域外抛掷生活垃圾。建筑垃圾作为区域回填土；生活垃圾送至附近垃圾箱，由环卫部门送至垃圾场统一处理。</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施工过程中建筑垃圾要及时回填，加以利用，防止因其长期堆放而产生扬尘。所产生的生活垃圾如不及时清运处理，则会腐烂变质，滋生蚊虫苍蝇，产生恶臭，传染疾病，从而对周围环境和作业人员的健康带来不利影响，因此施工场地内应设临时收集施工垃圾的垃圾站，定期送指定垃圾处置场所进行处理。</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④</w:t>
            </w:r>
            <w:r>
              <w:rPr>
                <w:rFonts w:ascii="Times New Roman" w:hAnsi="Times New Roman" w:eastAsia="宋体"/>
                <w:color w:val="000000" w:themeColor="text1"/>
                <w:sz w:val="24"/>
                <w:highlight w:val="none"/>
                <w14:textFill>
                  <w14:solidFill>
                    <w14:schemeClr w14:val="tx1"/>
                  </w14:solidFill>
                </w14:textFill>
              </w:rPr>
              <w:t>水土流失的控制：施工期间挖方、填方、弃方要妥善处置，先集中放置在堆棚内，堆棚上设防风雨的苫布，并定期运至指定地点填埋。</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hint="eastAsia" w:ascii="Times New Roman" w:hAnsi="Times New Roman" w:eastAsia="宋体" w:cs="宋体"/>
                <w:color w:val="000000" w:themeColor="text1"/>
                <w:sz w:val="24"/>
                <w:highlight w:val="none"/>
                <w14:textFill>
                  <w14:solidFill>
                    <w14:schemeClr w14:val="tx1"/>
                  </w14:solidFill>
                </w14:textFill>
              </w:rPr>
              <w:t>⑤</w:t>
            </w:r>
            <w:r>
              <w:rPr>
                <w:rFonts w:ascii="Times New Roman" w:hAnsi="Times New Roman" w:eastAsia="宋体"/>
                <w:color w:val="000000" w:themeColor="text1"/>
                <w:sz w:val="24"/>
                <w:highlight w:val="none"/>
                <w14:textFill>
                  <w14:solidFill>
                    <w14:schemeClr w14:val="tx1"/>
                  </w14:solidFill>
                </w14:textFill>
              </w:rPr>
              <w:t>施工期废水的控制：施工中废水量不大，但如果不经处理或处理不当，同样会危害环境。因此，施工期废水不能任意排放。施工期间，在排污工程不健全的情况下，应量减少流失和溢流现象。施工现场必须</w:t>
            </w:r>
            <w:r>
              <w:rPr>
                <w:rFonts w:hint="eastAsia" w:ascii="Times New Roman" w:hAnsi="Times New Roman" w:eastAsia="宋体"/>
                <w:color w:val="000000" w:themeColor="text1"/>
                <w:sz w:val="24"/>
                <w:highlight w:val="none"/>
                <w14:textFill>
                  <w14:solidFill>
                    <w14:schemeClr w14:val="tx1"/>
                  </w14:solidFill>
                </w14:textFill>
              </w:rPr>
              <w:t>沉淀池</w:t>
            </w:r>
            <w:r>
              <w:rPr>
                <w:rFonts w:ascii="Times New Roman" w:hAnsi="Times New Roman" w:eastAsia="宋体"/>
                <w:color w:val="000000" w:themeColor="text1"/>
                <w:sz w:val="24"/>
                <w:highlight w:val="none"/>
                <w14:textFill>
                  <w14:solidFill>
                    <w14:schemeClr w14:val="tx1"/>
                  </w14:solidFill>
                </w14:textFill>
              </w:rPr>
              <w:t>等水处理构筑物，对施工期生产废水、清洗废水分类收集、处理；对施工期生活污水，可设临时旱厕，待施工结束后及时清理。</w:t>
            </w:r>
          </w:p>
          <w:p>
            <w:pPr>
              <w:spacing w:line="360" w:lineRule="auto"/>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综上所述，施工期虽然可能带来某些环境影响因素，但这些因素不可能长期存在，随着工程的竣工，绝大部分影响因素将消失或缓解。</w:t>
            </w:r>
          </w:p>
          <w:p>
            <w:pPr>
              <w:spacing w:line="360" w:lineRule="auto"/>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szCs w:val="30"/>
                <w:highlight w:val="none"/>
                <w14:textFill>
                  <w14:solidFill>
                    <w14:schemeClr w14:val="tx1"/>
                  </w14:solidFill>
                </w14:textFill>
              </w:rPr>
              <w:t>运营期环境影响分析：</w:t>
            </w:r>
          </w:p>
          <w:p>
            <w:pPr>
              <w:spacing w:line="460" w:lineRule="exact"/>
              <w:ind w:firstLine="57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建设项目完成后，营运期对环境的影响主要表现为废气、废水、噪声、固废等。</w:t>
            </w:r>
          </w:p>
          <w:p>
            <w:pPr>
              <w:spacing w:line="460" w:lineRule="exact"/>
              <w:ind w:firstLine="472" w:firstLineChars="196"/>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1、大气环境影响分析</w:t>
            </w:r>
          </w:p>
          <w:p>
            <w:pPr>
              <w:pStyle w:val="29"/>
              <w:spacing w:before="0" w:beforeAutospacing="0" w:after="0" w:afterAutospacing="0" w:line="500" w:lineRule="exact"/>
              <w:ind w:firstLine="480" w:firstLineChars="200"/>
              <w:rPr>
                <w:rFonts w:ascii="Times New Roman" w:hAnsi="Times New Roman" w:eastAsia="宋体" w:cs="Times New Roman"/>
                <w:caps w:val="0"/>
                <w:color w:val="000000" w:themeColor="text1"/>
                <w:highlight w:val="none"/>
                <w14:textFill>
                  <w14:solidFill>
                    <w14:schemeClr w14:val="tx1"/>
                  </w14:solidFill>
                </w14:textFill>
              </w:rPr>
            </w:pPr>
            <w:r>
              <w:rPr>
                <w:rFonts w:ascii="Times New Roman" w:hAnsi="Times New Roman" w:eastAsia="宋体" w:cs="Times New Roman"/>
                <w:caps w:val="0"/>
                <w:color w:val="000000" w:themeColor="text1"/>
                <w:highlight w:val="none"/>
                <w14:textFill>
                  <w14:solidFill>
                    <w14:schemeClr w14:val="tx1"/>
                  </w14:solidFill>
                </w14:textFill>
              </w:rPr>
              <w:t>本项目产生的废气主要有</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抛丸过程中产生的颗粒物，焚烧炉中产生的有机废气，浸漆过程中产生的有机废气</w:t>
            </w:r>
            <w:r>
              <w:rPr>
                <w:rFonts w:ascii="Times New Roman" w:hAnsi="Times New Roman" w:eastAsia="宋体" w:cs="Times New Roman"/>
                <w:caps w:val="0"/>
                <w:color w:val="000000" w:themeColor="text1"/>
                <w:highlight w:val="none"/>
                <w14:textFill>
                  <w14:solidFill>
                    <w14:schemeClr w14:val="tx1"/>
                  </w14:solidFill>
                </w14:textFill>
              </w:rPr>
              <w:t>。</w:t>
            </w:r>
          </w:p>
          <w:p>
            <w:pPr>
              <w:pStyle w:val="29"/>
              <w:spacing w:before="0" w:beforeAutospacing="0" w:after="0" w:afterAutospacing="0" w:line="500" w:lineRule="exact"/>
              <w:ind w:firstLine="480" w:firstLineChars="200"/>
              <w:rPr>
                <w:rFonts w:ascii="Times New Roman" w:hAnsi="Times New Roman" w:eastAsia="宋体" w:cs="Times New Roman"/>
                <w:caps w:val="0"/>
                <w:color w:val="000000" w:themeColor="text1"/>
                <w:highlight w:val="none"/>
                <w14:textFill>
                  <w14:solidFill>
                    <w14:schemeClr w14:val="tx1"/>
                  </w14:solidFill>
                </w14:textFill>
              </w:rPr>
            </w:pPr>
            <w:r>
              <w:rPr>
                <w:rFonts w:ascii="Times New Roman" w:hAnsi="Times New Roman" w:eastAsia="宋体" w:cs="Times New Roman"/>
                <w:caps w:val="0"/>
                <w:color w:val="000000" w:themeColor="text1"/>
                <w:highlight w:val="none"/>
                <w14:textFill>
                  <w14:solidFill>
                    <w14:schemeClr w14:val="tx1"/>
                  </w14:solidFill>
                </w14:textFill>
              </w:rPr>
              <w:t xml:space="preserve"> 有组织废气预测参数表见下表7-1。</w:t>
            </w:r>
          </w:p>
          <w:p>
            <w:pPr>
              <w:adjustRightInd w:val="0"/>
              <w:snapToGrid w:val="0"/>
              <w:spacing w:line="460" w:lineRule="exact"/>
              <w:jc w:val="center"/>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表7-1  有组织废气预测参数表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521"/>
              <w:gridCol w:w="1416"/>
              <w:gridCol w:w="1319"/>
              <w:gridCol w:w="520"/>
              <w:gridCol w:w="576"/>
              <w:gridCol w:w="520"/>
              <w:gridCol w:w="571"/>
              <w:gridCol w:w="660"/>
              <w:gridCol w:w="794"/>
              <w:gridCol w:w="847"/>
              <w:gridCol w:w="104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431" w:type="pct"/>
                  <w:vMerge w:val="restar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污染源名称</w:t>
                  </w:r>
                </w:p>
              </w:tc>
              <w:tc>
                <w:tcPr>
                  <w:tcW w:w="923" w:type="pct"/>
                  <w:gridSpan w:val="2"/>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排气筒底部中心坐标(°)</w:t>
                  </w:r>
                </w:p>
              </w:tc>
              <w:tc>
                <w:tcPr>
                  <w:tcW w:w="395" w:type="pct"/>
                  <w:vMerge w:val="restar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排气筒底部海拔高度(m)</w:t>
                  </w:r>
                </w:p>
              </w:tc>
              <w:tc>
                <w:tcPr>
                  <w:tcW w:w="1318" w:type="pct"/>
                  <w:gridSpan w:val="4"/>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排气筒参数</w:t>
                  </w:r>
                </w:p>
              </w:tc>
              <w:tc>
                <w:tcPr>
                  <w:tcW w:w="1930" w:type="pct"/>
                  <w:gridSpan w:val="3"/>
                  <w:shd w:val="clear" w:color="auto" w:fill="auto"/>
                  <w:vAlign w:val="center"/>
                </w:tcPr>
                <w:p>
                  <w:pPr>
                    <w:widowControl/>
                    <w:jc w:val="center"/>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污染物排放速率</w:t>
                  </w:r>
                  <w:r>
                    <w:rPr>
                      <w:rFonts w:ascii="Times New Roman" w:hAnsi="Times New Roman" w:eastAsia="宋体"/>
                      <w:caps w:val="0"/>
                      <w:color w:val="000000" w:themeColor="text1"/>
                      <w:sz w:val="21"/>
                      <w:szCs w:val="21"/>
                      <w:highlight w:val="none"/>
                      <w14:textFill>
                        <w14:solidFill>
                          <w14:schemeClr w14:val="tx1"/>
                        </w14:solidFill>
                      </w14:textFill>
                    </w:rPr>
                    <w:t>(kg/h)</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431" w:type="pct"/>
                  <w:vMerge w:val="continue"/>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96"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经度</w:t>
                  </w:r>
                </w:p>
              </w:tc>
              <w:tc>
                <w:tcPr>
                  <w:tcW w:w="427"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纬度</w:t>
                  </w:r>
                </w:p>
              </w:tc>
              <w:tc>
                <w:tcPr>
                  <w:tcW w:w="395" w:type="pct"/>
                  <w:vMerge w:val="continue"/>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361"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高度(m)</w:t>
                  </w:r>
                </w:p>
              </w:tc>
              <w:tc>
                <w:tcPr>
                  <w:tcW w:w="280"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内径(m)</w:t>
                  </w:r>
                </w:p>
              </w:tc>
              <w:tc>
                <w:tcPr>
                  <w:tcW w:w="307"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温度(℃)</w:t>
                  </w:r>
                </w:p>
              </w:tc>
              <w:tc>
                <w:tcPr>
                  <w:tcW w:w="369"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流速(m/s)</w:t>
                  </w:r>
                </w:p>
              </w:tc>
              <w:tc>
                <w:tcPr>
                  <w:tcW w:w="451"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TSP</w:t>
                  </w:r>
                </w:p>
              </w:tc>
              <w:tc>
                <w:tcPr>
                  <w:tcW w:w="738"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NMHC</w:t>
                  </w:r>
                </w:p>
              </w:tc>
              <w:tc>
                <w:tcPr>
                  <w:tcW w:w="739"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二甲苯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431"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6</w:t>
                  </w:r>
                  <w:r>
                    <w:rPr>
                      <w:rFonts w:ascii="Times New Roman" w:hAnsi="Times New Roman" w:eastAsia="宋体"/>
                      <w:caps w:val="0"/>
                      <w:color w:val="000000" w:themeColor="text1"/>
                      <w:sz w:val="21"/>
                      <w:szCs w:val="21"/>
                      <w:highlight w:val="none"/>
                      <w14:textFill>
                        <w14:solidFill>
                          <w14:schemeClr w14:val="tx1"/>
                        </w14:solidFill>
                      </w14:textFill>
                    </w:rPr>
                    <w:t>#排气筒</w:t>
                  </w:r>
                </w:p>
              </w:tc>
              <w:tc>
                <w:tcPr>
                  <w:tcW w:w="496"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118.09085011</w:t>
                  </w:r>
                </w:p>
              </w:tc>
              <w:tc>
                <w:tcPr>
                  <w:tcW w:w="427"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31.03565278</w:t>
                  </w:r>
                </w:p>
              </w:tc>
              <w:tc>
                <w:tcPr>
                  <w:tcW w:w="395" w:type="pct"/>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55</w:t>
                  </w:r>
                </w:p>
              </w:tc>
              <w:tc>
                <w:tcPr>
                  <w:tcW w:w="361" w:type="pct"/>
                  <w:vAlign w:val="center"/>
                </w:tcPr>
                <w:p>
                  <w:pPr>
                    <w:spacing w:line="320" w:lineRule="exact"/>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w:t>
                  </w:r>
                  <w:r>
                    <w:rPr>
                      <w:rFonts w:ascii="Times New Roman" w:hAnsi="Times New Roman" w:eastAsia="宋体"/>
                      <w:caps w:val="0"/>
                      <w:color w:val="000000" w:themeColor="text1"/>
                      <w:sz w:val="21"/>
                      <w:szCs w:val="21"/>
                      <w:highlight w:val="none"/>
                      <w14:textFill>
                        <w14:solidFill>
                          <w14:schemeClr w14:val="tx1"/>
                        </w14:solidFill>
                      </w14:textFill>
                    </w:rPr>
                    <w:t>.</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w:t>
                  </w:r>
                </w:p>
              </w:tc>
              <w:tc>
                <w:tcPr>
                  <w:tcW w:w="280" w:type="pct"/>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1.0</w:t>
                  </w:r>
                </w:p>
              </w:tc>
              <w:tc>
                <w:tcPr>
                  <w:tcW w:w="307" w:type="pct"/>
                  <w:vAlign w:val="center"/>
                </w:tcPr>
                <w:p>
                  <w:pPr>
                    <w:spacing w:line="320" w:lineRule="exact"/>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常温</w:t>
                  </w:r>
                </w:p>
              </w:tc>
              <w:tc>
                <w:tcPr>
                  <w:tcW w:w="369" w:type="pct"/>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4.83</w:t>
                  </w:r>
                </w:p>
              </w:tc>
              <w:tc>
                <w:tcPr>
                  <w:tcW w:w="451" w:type="pct"/>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0.0075</w:t>
                  </w:r>
                </w:p>
              </w:tc>
              <w:tc>
                <w:tcPr>
                  <w:tcW w:w="738"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p>
              </w:tc>
              <w:tc>
                <w:tcPr>
                  <w:tcW w:w="739" w:type="pct"/>
                  <w:vAlign w:val="center"/>
                </w:tcPr>
                <w:p>
                  <w:pPr>
                    <w:spacing w:line="320" w:lineRule="exact"/>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431"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7</w:t>
                  </w:r>
                  <w:r>
                    <w:rPr>
                      <w:rFonts w:ascii="Times New Roman" w:hAnsi="Times New Roman" w:eastAsia="宋体"/>
                      <w:caps w:val="0"/>
                      <w:color w:val="000000" w:themeColor="text1"/>
                      <w:sz w:val="21"/>
                      <w:szCs w:val="21"/>
                      <w:highlight w:val="none"/>
                      <w14:textFill>
                        <w14:solidFill>
                          <w14:schemeClr w14:val="tx1"/>
                        </w14:solidFill>
                      </w14:textFill>
                    </w:rPr>
                    <w:t>#排气筒</w:t>
                  </w:r>
                </w:p>
              </w:tc>
              <w:tc>
                <w:tcPr>
                  <w:tcW w:w="496"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118.09179425</w:t>
                  </w:r>
                </w:p>
              </w:tc>
              <w:tc>
                <w:tcPr>
                  <w:tcW w:w="427"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31.03629628</w:t>
                  </w:r>
                </w:p>
              </w:tc>
              <w:tc>
                <w:tcPr>
                  <w:tcW w:w="395"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55</w:t>
                  </w:r>
                </w:p>
              </w:tc>
              <w:tc>
                <w:tcPr>
                  <w:tcW w:w="361"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w:t>
                  </w:r>
                  <w:r>
                    <w:rPr>
                      <w:rFonts w:ascii="Times New Roman" w:hAnsi="Times New Roman" w:eastAsia="宋体"/>
                      <w:caps w:val="0"/>
                      <w:color w:val="000000" w:themeColor="text1"/>
                      <w:sz w:val="21"/>
                      <w:szCs w:val="21"/>
                      <w:highlight w:val="none"/>
                      <w14:textFill>
                        <w14:solidFill>
                          <w14:schemeClr w14:val="tx1"/>
                        </w14:solidFill>
                      </w14:textFill>
                    </w:rPr>
                    <w:t>.0</w:t>
                  </w:r>
                </w:p>
              </w:tc>
              <w:tc>
                <w:tcPr>
                  <w:tcW w:w="280"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0.6</w:t>
                  </w:r>
                </w:p>
              </w:tc>
              <w:tc>
                <w:tcPr>
                  <w:tcW w:w="307"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常温</w:t>
                  </w:r>
                </w:p>
              </w:tc>
              <w:tc>
                <w:tcPr>
                  <w:tcW w:w="369" w:type="pct"/>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6.71</w:t>
                  </w:r>
                </w:p>
              </w:tc>
              <w:tc>
                <w:tcPr>
                  <w:tcW w:w="451" w:type="pct"/>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w:t>
                  </w:r>
                </w:p>
              </w:tc>
              <w:tc>
                <w:tcPr>
                  <w:tcW w:w="738" w:type="pct"/>
                  <w:vAlign w:val="center"/>
                </w:tcPr>
                <w:p>
                  <w:pPr>
                    <w:spacing w:line="320" w:lineRule="exact"/>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0.026</w:t>
                  </w:r>
                </w:p>
              </w:tc>
              <w:tc>
                <w:tcPr>
                  <w:tcW w:w="739" w:type="pct"/>
                  <w:vAlign w:val="center"/>
                </w:tcPr>
                <w:p>
                  <w:pPr>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0.052</w:t>
                  </w:r>
                </w:p>
              </w:tc>
            </w:tr>
          </w:tbl>
          <w:p>
            <w:pPr>
              <w:spacing w:line="480" w:lineRule="exact"/>
              <w:ind w:firstLine="480" w:firstLineChars="200"/>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无组织废气预测参数表见下表7-2。</w:t>
            </w:r>
          </w:p>
          <w:p>
            <w:pPr>
              <w:adjustRightInd w:val="0"/>
              <w:snapToGrid w:val="0"/>
              <w:spacing w:line="460" w:lineRule="exact"/>
              <w:jc w:val="center"/>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表7</w:t>
            </w:r>
            <w:r>
              <w:rPr>
                <w:rFonts w:hint="eastAsia" w:ascii="Times New Roman" w:hAnsi="Times New Roman" w:eastAsia="宋体"/>
                <w:b/>
                <w:bCs/>
                <w:caps w:val="0"/>
                <w:color w:val="000000" w:themeColor="text1"/>
                <w:sz w:val="24"/>
                <w:highlight w:val="none"/>
                <w14:textFill>
                  <w14:solidFill>
                    <w14:schemeClr w14:val="tx1"/>
                  </w14:solidFill>
                </w14:textFill>
              </w:rPr>
              <w:t>-2</w:t>
            </w:r>
            <w:r>
              <w:rPr>
                <w:rFonts w:ascii="Times New Roman" w:hAnsi="Times New Roman" w:eastAsia="宋体"/>
                <w:b/>
                <w:bCs/>
                <w:caps w:val="0"/>
                <w:color w:val="000000" w:themeColor="text1"/>
                <w:sz w:val="24"/>
                <w:highlight w:val="none"/>
                <w14:textFill>
                  <w14:solidFill>
                    <w14:schemeClr w14:val="tx1"/>
                  </w14:solidFill>
                </w14:textFill>
              </w:rPr>
              <w:t xml:space="preserve"> 无组织废气预测参数表</w:t>
            </w:r>
          </w:p>
          <w:tbl>
            <w:tblPr>
              <w:tblStyle w:val="32"/>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416"/>
              <w:gridCol w:w="1319"/>
              <w:gridCol w:w="580"/>
              <w:gridCol w:w="684"/>
              <w:gridCol w:w="684"/>
              <w:gridCol w:w="583"/>
              <w:gridCol w:w="733"/>
              <w:gridCol w:w="847"/>
              <w:gridCol w:w="151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36" w:type="pct"/>
                  <w:vMerge w:val="restar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污染源名称</w:t>
                  </w:r>
                </w:p>
              </w:tc>
              <w:tc>
                <w:tcPr>
                  <w:tcW w:w="1287" w:type="pct"/>
                  <w:gridSpan w:val="2"/>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坐标(°)</w:t>
                  </w:r>
                </w:p>
              </w:tc>
              <w:tc>
                <w:tcPr>
                  <w:tcW w:w="382" w:type="pct"/>
                  <w:vMerge w:val="restar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海拔高度(m)</w:t>
                  </w:r>
                </w:p>
              </w:tc>
              <w:tc>
                <w:tcPr>
                  <w:tcW w:w="1266" w:type="pct"/>
                  <w:gridSpan w:val="3"/>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矩形面源</w:t>
                  </w:r>
                </w:p>
              </w:tc>
              <w:tc>
                <w:tcPr>
                  <w:tcW w:w="1827" w:type="pct"/>
                  <w:gridSpan w:val="3"/>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污染物排放速率(kg/h)</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36" w:type="pct"/>
                  <w:vMerge w:val="continue"/>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670"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经度</w:t>
                  </w:r>
                </w:p>
              </w:tc>
              <w:tc>
                <w:tcPr>
                  <w:tcW w:w="616"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纬度</w:t>
                  </w:r>
                </w:p>
              </w:tc>
              <w:tc>
                <w:tcPr>
                  <w:tcW w:w="382" w:type="pct"/>
                  <w:vMerge w:val="continue"/>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41"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长度(m)</w:t>
                  </w:r>
                </w:p>
              </w:tc>
              <w:tc>
                <w:tcPr>
                  <w:tcW w:w="441"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宽度(m)</w:t>
                  </w:r>
                </w:p>
              </w:tc>
              <w:tc>
                <w:tcPr>
                  <w:tcW w:w="384"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有效高度(m)</w:t>
                  </w:r>
                </w:p>
              </w:tc>
              <w:tc>
                <w:tcPr>
                  <w:tcW w:w="469"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TSP</w:t>
                  </w:r>
                </w:p>
              </w:tc>
              <w:tc>
                <w:tcPr>
                  <w:tcW w:w="443"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NMHC</w:t>
                  </w:r>
                </w:p>
              </w:tc>
              <w:tc>
                <w:tcPr>
                  <w:tcW w:w="914" w:type="pct"/>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二甲苯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36"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厂房</w:t>
                  </w:r>
                </w:p>
              </w:tc>
              <w:tc>
                <w:tcPr>
                  <w:tcW w:w="670"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118.09150457</w:t>
                  </w:r>
                </w:p>
              </w:tc>
              <w:tc>
                <w:tcPr>
                  <w:tcW w:w="616"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31.03604807</w:t>
                  </w:r>
                </w:p>
              </w:tc>
              <w:tc>
                <w:tcPr>
                  <w:tcW w:w="382"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55</w:t>
                  </w:r>
                </w:p>
              </w:tc>
              <w:tc>
                <w:tcPr>
                  <w:tcW w:w="441"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134</w:t>
                  </w:r>
                </w:p>
              </w:tc>
              <w:tc>
                <w:tcPr>
                  <w:tcW w:w="441"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42</w:t>
                  </w:r>
                </w:p>
              </w:tc>
              <w:tc>
                <w:tcPr>
                  <w:tcW w:w="384"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11</w:t>
                  </w:r>
                </w:p>
              </w:tc>
              <w:tc>
                <w:tcPr>
                  <w:tcW w:w="469"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0.083</w:t>
                  </w:r>
                </w:p>
              </w:tc>
              <w:tc>
                <w:tcPr>
                  <w:tcW w:w="443"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0.028</w:t>
                  </w:r>
                </w:p>
              </w:tc>
              <w:tc>
                <w:tcPr>
                  <w:tcW w:w="914" w:type="pct"/>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0.116</w:t>
                  </w:r>
                </w:p>
              </w:tc>
            </w:tr>
          </w:tbl>
          <w:p>
            <w:pPr>
              <w:spacing w:line="48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（1）大气环境影响预测</w:t>
            </w:r>
          </w:p>
          <w:p>
            <w:pPr>
              <w:spacing w:line="48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根据《环境影响评价技术导则  大气环境》（HJ2.2-2018）要求，可采用估算模型估算各污染源的小时最大落地浓度。本次预测采用导则推荐的估算模式AERSCREEN。评价基准年为2019年，最高、最低环境温度根据评价区域近20年气象资料统计所得，最小风速为0.5m/s，风速计算高度取10m。估算模型参数见表7-</w:t>
            </w:r>
            <w:r>
              <w:rPr>
                <w:rFonts w:hint="eastAsia" w:ascii="Times New Roman" w:hAnsi="Times New Roman" w:eastAsia="宋体"/>
                <w:caps w:val="0"/>
                <w:color w:val="000000" w:themeColor="text1"/>
                <w:sz w:val="24"/>
                <w:highlight w:val="none"/>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w:t>
            </w:r>
          </w:p>
          <w:p>
            <w:pPr>
              <w:spacing w:line="480" w:lineRule="exact"/>
              <w:jc w:val="center"/>
              <w:rPr>
                <w:rFonts w:ascii="Times New Roman" w:hAnsi="Times New Roman" w:eastAsia="宋体"/>
                <w:b/>
                <w:bCs/>
                <w:caps w:val="0"/>
                <w:color w:val="000000" w:themeColor="text1"/>
                <w:szCs w:val="21"/>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表7-</w:t>
            </w:r>
            <w:r>
              <w:rPr>
                <w:rFonts w:hint="eastAsia" w:ascii="Times New Roman" w:hAnsi="Times New Roman" w:eastAsia="宋体"/>
                <w:b/>
                <w:bCs/>
                <w:caps w:val="0"/>
                <w:color w:val="000000" w:themeColor="text1"/>
                <w:sz w:val="24"/>
                <w:highlight w:val="none"/>
                <w14:textFill>
                  <w14:solidFill>
                    <w14:schemeClr w14:val="tx1"/>
                  </w14:solidFill>
                </w14:textFill>
              </w:rPr>
              <w:t>3</w:t>
            </w:r>
            <w:r>
              <w:rPr>
                <w:rFonts w:ascii="Times New Roman" w:hAnsi="Times New Roman" w:eastAsia="宋体"/>
                <w:b/>
                <w:bCs/>
                <w:caps w:val="0"/>
                <w:color w:val="000000" w:themeColor="text1"/>
                <w:sz w:val="24"/>
                <w:highlight w:val="none"/>
                <w14:textFill>
                  <w14:solidFill>
                    <w14:schemeClr w14:val="tx1"/>
                  </w14:solidFill>
                </w14:textFill>
              </w:rPr>
              <w:t xml:space="preserve">  估算模型参数表</w:t>
            </w:r>
          </w:p>
          <w:tbl>
            <w:tblPr>
              <w:tblStyle w:val="32"/>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15" w:type="dxa"/>
                <w:left w:w="15" w:type="dxa"/>
                <w:bottom w:w="15" w:type="dxa"/>
                <w:right w:w="15" w:type="dxa"/>
              </w:tblCellMar>
            </w:tblPr>
            <w:tblGrid>
              <w:gridCol w:w="1440"/>
              <w:gridCol w:w="4457"/>
              <w:gridCol w:w="28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3353" w:type="pct"/>
                  <w:gridSpan w:val="2"/>
                  <w:shd w:val="clear" w:color="auto" w:fill="F1F1F1"/>
                  <w:vAlign w:val="center"/>
                </w:tcPr>
                <w:p>
                  <w:pPr>
                    <w:widowControl/>
                    <w:jc w:val="center"/>
                    <w:textAlignment w:val="center"/>
                    <w:rPr>
                      <w:rFonts w:ascii="Times New Roman" w:hAnsi="Times New Roman" w:eastAsia="宋体"/>
                      <w:b/>
                      <w:bCs/>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选项</w:t>
                  </w:r>
                </w:p>
              </w:tc>
              <w:tc>
                <w:tcPr>
                  <w:tcW w:w="1646" w:type="pct"/>
                  <w:shd w:val="clear" w:color="auto" w:fill="F1F1F1"/>
                  <w:vAlign w:val="center"/>
                </w:tcPr>
                <w:p>
                  <w:pPr>
                    <w:widowControl/>
                    <w:jc w:val="center"/>
                    <w:textAlignment w:val="center"/>
                    <w:rPr>
                      <w:rFonts w:ascii="Times New Roman" w:hAnsi="Times New Roman" w:eastAsia="宋体"/>
                      <w:b/>
                      <w:bCs/>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b/>
                      <w:bCs/>
                      <w:caps w:val="0"/>
                      <w:color w:val="000000" w:themeColor="text1"/>
                      <w:sz w:val="21"/>
                      <w:szCs w:val="21"/>
                      <w:highlight w:val="none"/>
                      <w14:textFill>
                        <w14:solidFill>
                          <w14:schemeClr w14:val="tx1"/>
                        </w14:solidFill>
                      </w14:textFill>
                    </w:rPr>
                    <w:t>参数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819" w:type="pct"/>
                  <w:vMerge w:val="restar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城市</w:t>
                  </w:r>
                  <w:r>
                    <w:rPr>
                      <w:rStyle w:val="130"/>
                      <w:rFonts w:ascii="Times New Roman" w:hAnsi="Times New Roman" w:eastAsia="宋体"/>
                      <w:caps w:val="0"/>
                      <w:color w:val="000000" w:themeColor="text1"/>
                      <w:sz w:val="21"/>
                      <w:szCs w:val="21"/>
                      <w:highlight w:val="none"/>
                      <w14:textFill>
                        <w14:solidFill>
                          <w14:schemeClr w14:val="tx1"/>
                        </w14:solidFill>
                      </w14:textFill>
                    </w:rPr>
                    <w:t>/</w:t>
                  </w: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农村选项</w:t>
                  </w:r>
                </w:p>
              </w:tc>
              <w:tc>
                <w:tcPr>
                  <w:tcW w:w="2533"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城市</w:t>
                  </w:r>
                  <w:r>
                    <w:rPr>
                      <w:rStyle w:val="130"/>
                      <w:rFonts w:ascii="Times New Roman" w:hAnsi="Times New Roman" w:eastAsia="宋体"/>
                      <w:caps w:val="0"/>
                      <w:color w:val="000000" w:themeColor="text1"/>
                      <w:sz w:val="21"/>
                      <w:szCs w:val="21"/>
                      <w:highlight w:val="none"/>
                      <w14:textFill>
                        <w14:solidFill>
                          <w14:schemeClr w14:val="tx1"/>
                        </w14:solidFill>
                      </w14:textFill>
                    </w:rPr>
                    <w:t>/</w:t>
                  </w: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农村</w:t>
                  </w:r>
                </w:p>
              </w:tc>
              <w:tc>
                <w:tcPr>
                  <w:tcW w:w="1646"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城市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819" w:type="pct"/>
                  <w:vMerge w:val="continue"/>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2533"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人口数（城市选项时）</w:t>
                  </w:r>
                </w:p>
              </w:tc>
              <w:tc>
                <w:tcPr>
                  <w:tcW w:w="1646"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26.9万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228" w:hRule="atLeast"/>
                <w:jc w:val="center"/>
              </w:trPr>
              <w:tc>
                <w:tcPr>
                  <w:tcW w:w="3353" w:type="pct"/>
                  <w:gridSpan w:val="2"/>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最高环境温度</w:t>
                  </w:r>
                  <w:r>
                    <w:rPr>
                      <w:rStyle w:val="130"/>
                      <w:rFonts w:ascii="Times New Roman" w:hAnsi="Times New Roman" w:eastAsia="宋体"/>
                      <w:caps w:val="0"/>
                      <w:color w:val="000000" w:themeColor="text1"/>
                      <w:sz w:val="21"/>
                      <w:szCs w:val="21"/>
                      <w:highlight w:val="none"/>
                      <w14:textFill>
                        <w14:solidFill>
                          <w14:schemeClr w14:val="tx1"/>
                        </w14:solidFill>
                      </w14:textFill>
                    </w:rPr>
                    <w:t>/</w:t>
                  </w: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c>
                <w:tcPr>
                  <w:tcW w:w="1646"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41.1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289" w:hRule="atLeast"/>
                <w:jc w:val="center"/>
              </w:trPr>
              <w:tc>
                <w:tcPr>
                  <w:tcW w:w="3353" w:type="pct"/>
                  <w:gridSpan w:val="2"/>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最低环境温度</w:t>
                  </w:r>
                  <w:r>
                    <w:rPr>
                      <w:rStyle w:val="130"/>
                      <w:rFonts w:ascii="Times New Roman" w:hAnsi="Times New Roman" w:eastAsia="宋体"/>
                      <w:caps w:val="0"/>
                      <w:color w:val="000000" w:themeColor="text1"/>
                      <w:sz w:val="21"/>
                      <w:szCs w:val="21"/>
                      <w:highlight w:val="none"/>
                      <w14:textFill>
                        <w14:solidFill>
                          <w14:schemeClr w14:val="tx1"/>
                        </w14:solidFill>
                      </w14:textFill>
                    </w:rPr>
                    <w:t>/</w:t>
                  </w: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w:t>
                  </w:r>
                </w:p>
              </w:tc>
              <w:tc>
                <w:tcPr>
                  <w:tcW w:w="1646"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14:textFill>
                        <w14:solidFill>
                          <w14:schemeClr w14:val="tx1"/>
                        </w14:solidFill>
                      </w14:textFill>
                    </w:rPr>
                    <w:t>11.9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3353" w:type="pct"/>
                  <w:gridSpan w:val="2"/>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土地利用类型</w:t>
                  </w:r>
                </w:p>
              </w:tc>
              <w:tc>
                <w:tcPr>
                  <w:tcW w:w="1646"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阔叶林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3353" w:type="pct"/>
                  <w:gridSpan w:val="2"/>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区域湿度条件</w:t>
                  </w:r>
                </w:p>
              </w:tc>
              <w:tc>
                <w:tcPr>
                  <w:tcW w:w="1646"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14:textFill>
                        <w14:solidFill>
                          <w14:schemeClr w14:val="tx1"/>
                        </w14:solidFill>
                      </w14:textFill>
                    </w:rPr>
                    <w:t>潮湿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4" w:hRule="atLeast"/>
                <w:jc w:val="center"/>
              </w:trPr>
              <w:tc>
                <w:tcPr>
                  <w:tcW w:w="819" w:type="pct"/>
                  <w:vMerge w:val="restar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是否考虑地形</w:t>
                  </w:r>
                </w:p>
              </w:tc>
              <w:tc>
                <w:tcPr>
                  <w:tcW w:w="2533"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考虑地形</w:t>
                  </w:r>
                </w:p>
              </w:tc>
              <w:tc>
                <w:tcPr>
                  <w:tcW w:w="1646"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□是</w:t>
                  </w:r>
                  <w:r>
                    <w:rPr>
                      <w:rStyle w:val="130"/>
                      <w:rFonts w:ascii="Times New Roman" w:hAnsi="Times New Roman" w:eastAsia="宋体"/>
                      <w:caps w:val="0"/>
                      <w:color w:val="000000" w:themeColor="text1"/>
                      <w:sz w:val="21"/>
                      <w:szCs w:val="21"/>
                      <w:highlight w:val="none"/>
                      <w14:textFill>
                        <w14:solidFill>
                          <w14:schemeClr w14:val="tx1"/>
                        </w14:solidFill>
                      </w14:textFill>
                    </w:rPr>
                    <w:t xml:space="preserve">   </w:t>
                  </w:r>
                  <w:r>
                    <w:rPr>
                      <w:rFonts w:ascii="Times New Roman" w:hAnsi="Times New Roman" w:eastAsia="宋体"/>
                      <w:caps w:val="0"/>
                      <w:color w:val="000000" w:themeColor="text1"/>
                      <w:kern w:val="0"/>
                      <w:sz w:val="21"/>
                      <w:szCs w:val="21"/>
                      <w:highlight w:val="none"/>
                      <w14:textFill>
                        <w14:solidFill>
                          <w14:schemeClr w14:val="tx1"/>
                        </w14:solidFill>
                      </w14:textFill>
                    </w:rPr>
                    <w:sym w:font="Wingdings 2" w:char="00A3"/>
                  </w:r>
                  <w:r>
                    <w:rPr>
                      <w:rFonts w:ascii="Times New Roman" w:hAnsi="Times New Roman" w:eastAsia="宋体"/>
                      <w:caps w:val="0"/>
                      <w:color w:val="000000" w:themeColor="text1"/>
                      <w:kern w:val="0"/>
                      <w:sz w:val="21"/>
                      <w:szCs w:val="21"/>
                      <w:highlight w:val="none"/>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819" w:type="pct"/>
                  <w:vMerge w:val="continue"/>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2533"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地形数据分辨率</w:t>
                  </w:r>
                  <w:r>
                    <w:rPr>
                      <w:rStyle w:val="130"/>
                      <w:rFonts w:ascii="Times New Roman" w:hAnsi="Times New Roman" w:eastAsia="宋体"/>
                      <w:caps w:val="0"/>
                      <w:color w:val="000000" w:themeColor="text1"/>
                      <w:sz w:val="21"/>
                      <w:szCs w:val="21"/>
                      <w:highlight w:val="none"/>
                      <w14:textFill>
                        <w14:solidFill>
                          <w14:schemeClr w14:val="tx1"/>
                        </w14:solidFill>
                      </w14:textFill>
                    </w:rPr>
                    <w:t>/m</w:t>
                  </w:r>
                </w:p>
              </w:tc>
              <w:tc>
                <w:tcPr>
                  <w:tcW w:w="1646"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04" w:hRule="atLeast"/>
                <w:jc w:val="center"/>
              </w:trPr>
              <w:tc>
                <w:tcPr>
                  <w:tcW w:w="819" w:type="pct"/>
                  <w:vMerge w:val="restar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是否考虑海岸线熏烟</w:t>
                  </w:r>
                </w:p>
              </w:tc>
              <w:tc>
                <w:tcPr>
                  <w:tcW w:w="2533"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考虑海岸线熏烟</w:t>
                  </w:r>
                </w:p>
              </w:tc>
              <w:tc>
                <w:tcPr>
                  <w:tcW w:w="1646"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□是</w:t>
                  </w:r>
                  <w:r>
                    <w:rPr>
                      <w:rStyle w:val="130"/>
                      <w:rFonts w:ascii="Times New Roman" w:hAnsi="Times New Roman" w:eastAsia="宋体"/>
                      <w:caps w:val="0"/>
                      <w:color w:val="000000" w:themeColor="text1"/>
                      <w:sz w:val="21"/>
                      <w:szCs w:val="21"/>
                      <w:highlight w:val="none"/>
                      <w14:textFill>
                        <w14:solidFill>
                          <w14:schemeClr w14:val="tx1"/>
                        </w14:solidFill>
                      </w14:textFill>
                    </w:rPr>
                    <w:t xml:space="preserve">   </w:t>
                  </w:r>
                  <w:r>
                    <w:rPr>
                      <w:rFonts w:ascii="Times New Roman" w:hAnsi="Times New Roman" w:eastAsia="宋体"/>
                      <w:caps w:val="0"/>
                      <w:color w:val="000000" w:themeColor="text1"/>
                      <w:kern w:val="0"/>
                      <w:sz w:val="21"/>
                      <w:szCs w:val="21"/>
                      <w:highlight w:val="none"/>
                      <w14:textFill>
                        <w14:solidFill>
                          <w14:schemeClr w14:val="tx1"/>
                        </w14:solidFill>
                      </w14:textFill>
                    </w:rPr>
                    <w:sym w:font="Wingdings 2" w:char="00A3"/>
                  </w: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819" w:type="pct"/>
                  <w:vMerge w:val="continue"/>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2533"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岸线距离</w:t>
                  </w:r>
                  <w:r>
                    <w:rPr>
                      <w:rStyle w:val="130"/>
                      <w:rFonts w:ascii="Times New Roman" w:hAnsi="Times New Roman" w:eastAsia="宋体"/>
                      <w:caps w:val="0"/>
                      <w:color w:val="000000" w:themeColor="text1"/>
                      <w:sz w:val="21"/>
                      <w:szCs w:val="21"/>
                      <w:highlight w:val="none"/>
                      <w14:textFill>
                        <w14:solidFill>
                          <w14:schemeClr w14:val="tx1"/>
                        </w14:solidFill>
                      </w14:textFill>
                    </w:rPr>
                    <w:t>/km</w:t>
                  </w:r>
                </w:p>
              </w:tc>
              <w:tc>
                <w:tcPr>
                  <w:tcW w:w="1646"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01" w:hRule="atLeast"/>
                <w:jc w:val="center"/>
              </w:trPr>
              <w:tc>
                <w:tcPr>
                  <w:tcW w:w="819" w:type="pct"/>
                  <w:vMerge w:val="continue"/>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2533" w:type="pct"/>
                  <w:vAlign w:val="center"/>
                </w:tcPr>
                <w:p>
                  <w:pPr>
                    <w:widowControl/>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Style w:val="126"/>
                      <w:rFonts w:hint="default" w:ascii="Times New Roman" w:hAnsi="Times New Roman" w:eastAsia="宋体" w:cs="Times New Roman"/>
                      <w:caps w:val="0"/>
                      <w:color w:val="000000" w:themeColor="text1"/>
                      <w:sz w:val="21"/>
                      <w:szCs w:val="21"/>
                      <w:highlight w:val="none"/>
                      <w14:textFill>
                        <w14:solidFill>
                          <w14:schemeClr w14:val="tx1"/>
                        </w14:solidFill>
                      </w14:textFill>
                    </w:rPr>
                    <w:t>岸线方向</w:t>
                  </w:r>
                  <w:r>
                    <w:rPr>
                      <w:rStyle w:val="130"/>
                      <w:rFonts w:ascii="Times New Roman" w:hAnsi="Times New Roman" w:eastAsia="宋体"/>
                      <w:caps w:val="0"/>
                      <w:color w:val="000000" w:themeColor="text1"/>
                      <w:sz w:val="21"/>
                      <w:szCs w:val="21"/>
                      <w:highlight w:val="none"/>
                      <w14:textFill>
                        <w14:solidFill>
                          <w14:schemeClr w14:val="tx1"/>
                        </w14:solidFill>
                      </w14:textFill>
                    </w:rPr>
                    <w:t>/°</w:t>
                  </w:r>
                </w:p>
              </w:tc>
              <w:tc>
                <w:tcPr>
                  <w:tcW w:w="1646" w:type="pct"/>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r>
          </w:tbl>
          <w:p>
            <w:pPr>
              <w:pStyle w:val="91"/>
              <w:adjustRightInd w:val="0"/>
              <w:ind w:firstLine="480"/>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highlight w:val="none"/>
                <w14:textFill>
                  <w14:solidFill>
                    <w14:schemeClr w14:val="tx1"/>
                  </w14:solidFill>
                </w14:textFill>
              </w:rPr>
              <w:t>项目正常排放的污染物</w:t>
            </w:r>
            <w:r>
              <w:rPr>
                <w:rFonts w:ascii="Times New Roman" w:hAnsi="Times New Roman" w:eastAsia="宋体"/>
                <w:caps w:val="0"/>
                <w:color w:val="000000" w:themeColor="text1"/>
                <w:highlight w:val="none"/>
                <w:lang w:val="en-US"/>
                <w14:textFill>
                  <w14:solidFill>
                    <w14:schemeClr w14:val="tx1"/>
                  </w14:solidFill>
                </w14:textFill>
              </w:rPr>
              <w:t>排放</w:t>
            </w:r>
            <w:r>
              <w:rPr>
                <w:rFonts w:ascii="Times New Roman" w:hAnsi="Times New Roman" w:eastAsia="宋体"/>
                <w:caps w:val="0"/>
                <w:color w:val="000000" w:themeColor="text1"/>
                <w:highlight w:val="none"/>
                <w14:textFill>
                  <w14:solidFill>
                    <w14:schemeClr w14:val="tx1"/>
                  </w14:solidFill>
                </w14:textFill>
              </w:rPr>
              <w:t>采用估算模式计算结果表见表</w:t>
            </w:r>
            <w:r>
              <w:rPr>
                <w:rFonts w:ascii="Times New Roman" w:hAnsi="Times New Roman" w:eastAsia="宋体"/>
                <w:caps w:val="0"/>
                <w:color w:val="000000" w:themeColor="text1"/>
                <w:highlight w:val="none"/>
                <w:lang w:val="en-US"/>
                <w14:textFill>
                  <w14:solidFill>
                    <w14:schemeClr w14:val="tx1"/>
                  </w14:solidFill>
                </w14:textFill>
              </w:rPr>
              <w:t>7</w:t>
            </w:r>
            <w:r>
              <w:rPr>
                <w:rFonts w:hint="eastAsia" w:ascii="Times New Roman" w:hAnsi="Times New Roman" w:eastAsia="宋体"/>
                <w:caps w:val="0"/>
                <w:color w:val="000000" w:themeColor="text1"/>
                <w:highlight w:val="none"/>
                <w:lang w:val="en-US"/>
                <w14:textFill>
                  <w14:solidFill>
                    <w14:schemeClr w14:val="tx1"/>
                  </w14:solidFill>
                </w14:textFill>
              </w:rPr>
              <w:t>-</w:t>
            </w:r>
            <w:r>
              <w:rPr>
                <w:rFonts w:ascii="Times New Roman" w:hAnsi="Times New Roman" w:eastAsia="宋体"/>
                <w:caps w:val="0"/>
                <w:color w:val="000000" w:themeColor="text1"/>
                <w:highlight w:val="none"/>
                <w:lang w:val="en-US"/>
                <w14:textFill>
                  <w14:solidFill>
                    <w14:schemeClr w14:val="tx1"/>
                  </w14:solidFill>
                </w14:textFill>
              </w:rPr>
              <w:t>4</w:t>
            </w:r>
            <w:r>
              <w:rPr>
                <w:rFonts w:ascii="Times New Roman" w:hAnsi="Times New Roman" w:eastAsia="宋体"/>
                <w:caps w:val="0"/>
                <w:color w:val="000000" w:themeColor="text1"/>
                <w:highlight w:val="none"/>
                <w14:textFill>
                  <w14:solidFill>
                    <w14:schemeClr w14:val="tx1"/>
                  </w14:solidFill>
                </w14:textFill>
              </w:rPr>
              <w:t>。</w:t>
            </w:r>
          </w:p>
          <w:p>
            <w:pPr>
              <w:spacing w:line="360" w:lineRule="auto"/>
              <w:jc w:val="center"/>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表7-4 工程大气环境影响评价估算模型计算结果</w:t>
            </w:r>
          </w:p>
          <w:tbl>
            <w:tblPr>
              <w:tblStyle w:val="32"/>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10"/>
              <w:gridCol w:w="1337"/>
              <w:gridCol w:w="1237"/>
              <w:gridCol w:w="1668"/>
              <w:gridCol w:w="1312"/>
              <w:gridCol w:w="1173"/>
              <w:gridCol w:w="85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688" w:type="pct"/>
                  <w:shd w:val="clear" w:color="auto" w:fill="FFFFFF"/>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污染源</w:t>
                  </w:r>
                </w:p>
              </w:tc>
              <w:tc>
                <w:tcPr>
                  <w:tcW w:w="760" w:type="pct"/>
                  <w:shd w:val="clear" w:color="auto" w:fill="FFFFFF"/>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污染因子</w:t>
                  </w:r>
                </w:p>
              </w:tc>
              <w:tc>
                <w:tcPr>
                  <w:tcW w:w="703" w:type="pct"/>
                  <w:shd w:val="clear" w:color="auto" w:fill="FFFFFF"/>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最大浓度</w:t>
                  </w:r>
                </w:p>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落地点(m)</w:t>
                  </w:r>
                </w:p>
              </w:tc>
              <w:tc>
                <w:tcPr>
                  <w:tcW w:w="948" w:type="pct"/>
                  <w:shd w:val="clear" w:color="auto" w:fill="FFFFFF"/>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最大落地浓度(</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m</w:t>
                  </w:r>
                  <w:r>
                    <w:rPr>
                      <w:rFonts w:ascii="Times New Roman" w:hAnsi="Times New Roman" w:eastAsia="宋体"/>
                      <w:caps w:val="0"/>
                      <w:color w:val="000000" w:themeColor="text1"/>
                      <w:sz w:val="21"/>
                      <w:szCs w:val="21"/>
                      <w:highlight w:val="none"/>
                      <w14:textFill>
                        <w14:solidFill>
                          <w14:schemeClr w14:val="tx1"/>
                        </w14:solidFill>
                      </w14:textFill>
                    </w:rPr>
                    <w:t>g/m</w:t>
                  </w:r>
                  <w:r>
                    <w:rPr>
                      <w:rFonts w:ascii="Times New Roman" w:hAnsi="Times New Roman" w:eastAsia="宋体"/>
                      <w:caps w:val="0"/>
                      <w:color w:val="000000" w:themeColor="text1"/>
                      <w:sz w:val="21"/>
                      <w:szCs w:val="21"/>
                      <w:highlight w:val="none"/>
                      <w:vertAlign w:val="superscript"/>
                      <w14:textFill>
                        <w14:solidFill>
                          <w14:schemeClr w14:val="tx1"/>
                        </w14:solidFill>
                      </w14:textFill>
                    </w:rPr>
                    <w:t>3</w:t>
                  </w:r>
                  <w:r>
                    <w:rPr>
                      <w:rFonts w:ascii="Times New Roman" w:hAnsi="Times New Roman" w:eastAsia="宋体"/>
                      <w:caps w:val="0"/>
                      <w:color w:val="000000" w:themeColor="text1"/>
                      <w:sz w:val="21"/>
                      <w:szCs w:val="21"/>
                      <w:highlight w:val="none"/>
                      <w14:textFill>
                        <w14:solidFill>
                          <w14:schemeClr w14:val="tx1"/>
                        </w14:solidFill>
                      </w14:textFill>
                    </w:rPr>
                    <w:t>)</w:t>
                  </w:r>
                </w:p>
              </w:tc>
              <w:tc>
                <w:tcPr>
                  <w:tcW w:w="746" w:type="pct"/>
                  <w:shd w:val="clear" w:color="auto" w:fill="FFFFFF"/>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占标率(%)</w:t>
                  </w:r>
                </w:p>
              </w:tc>
              <w:tc>
                <w:tcPr>
                  <w:tcW w:w="667" w:type="pct"/>
                  <w:shd w:val="clear" w:color="auto" w:fill="FFFFFF"/>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评价标准</w:t>
                  </w:r>
                  <w:r>
                    <w:rPr>
                      <w:rFonts w:ascii="Times New Roman" w:hAnsi="Times New Roman" w:eastAsia="宋体"/>
                      <w:caps w:val="0"/>
                      <w:color w:val="000000" w:themeColor="text1"/>
                      <w:sz w:val="21"/>
                      <w:szCs w:val="21"/>
                      <w:highlight w:val="none"/>
                      <w14:textFill>
                        <w14:solidFill>
                          <w14:schemeClr w14:val="tx1"/>
                        </w14:solidFill>
                      </w14:textFill>
                    </w:rPr>
                    <w:br w:type="textWrapping"/>
                  </w:r>
                  <w:r>
                    <w:rPr>
                      <w:rFonts w:ascii="Times New Roman" w:hAnsi="Times New Roman" w:eastAsia="宋体"/>
                      <w:caps w:val="0"/>
                      <w:color w:val="000000" w:themeColor="text1"/>
                      <w:sz w:val="21"/>
                      <w:szCs w:val="21"/>
                      <w:highlight w:val="none"/>
                      <w14:textFill>
                        <w14:solidFill>
                          <w14:schemeClr w14:val="tx1"/>
                        </w14:solidFill>
                      </w14:textFill>
                    </w:rPr>
                    <w:t>(µg/m</w:t>
                  </w:r>
                  <w:r>
                    <w:rPr>
                      <w:rFonts w:ascii="Times New Roman" w:hAnsi="Times New Roman" w:eastAsia="宋体"/>
                      <w:caps w:val="0"/>
                      <w:color w:val="000000" w:themeColor="text1"/>
                      <w:sz w:val="21"/>
                      <w:szCs w:val="21"/>
                      <w:highlight w:val="none"/>
                      <w:vertAlign w:val="superscript"/>
                      <w14:textFill>
                        <w14:solidFill>
                          <w14:schemeClr w14:val="tx1"/>
                        </w14:solidFill>
                      </w14:textFill>
                    </w:rPr>
                    <w:t>3</w:t>
                  </w:r>
                  <w:r>
                    <w:rPr>
                      <w:rFonts w:ascii="Times New Roman" w:hAnsi="Times New Roman" w:eastAsia="宋体"/>
                      <w:caps w:val="0"/>
                      <w:color w:val="000000" w:themeColor="text1"/>
                      <w:sz w:val="21"/>
                      <w:szCs w:val="21"/>
                      <w:highlight w:val="none"/>
                      <w14:textFill>
                        <w14:solidFill>
                          <w14:schemeClr w14:val="tx1"/>
                        </w14:solidFill>
                      </w14:textFill>
                    </w:rPr>
                    <w:t>)</w:t>
                  </w:r>
                </w:p>
              </w:tc>
              <w:tc>
                <w:tcPr>
                  <w:tcW w:w="484" w:type="pct"/>
                  <w:shd w:val="clear" w:color="auto" w:fill="FFFFFF"/>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D</w:t>
                  </w:r>
                  <w:r>
                    <w:rPr>
                      <w:rFonts w:ascii="Times New Roman" w:hAnsi="Times New Roman" w:eastAsia="宋体"/>
                      <w:caps w:val="0"/>
                      <w:color w:val="000000" w:themeColor="text1"/>
                      <w:sz w:val="21"/>
                      <w:szCs w:val="21"/>
                      <w:highlight w:val="none"/>
                      <w:vertAlign w:val="subscript"/>
                      <w14:textFill>
                        <w14:solidFill>
                          <w14:schemeClr w14:val="tx1"/>
                        </w14:solidFill>
                      </w14:textFill>
                    </w:rPr>
                    <w:t>10%</w:t>
                  </w:r>
                  <w:r>
                    <w:rPr>
                      <w:rFonts w:ascii="Times New Roman" w:hAnsi="Times New Roman" w:eastAsia="宋体"/>
                      <w:caps w:val="0"/>
                      <w:color w:val="000000" w:themeColor="text1"/>
                      <w:sz w:val="21"/>
                      <w:szCs w:val="21"/>
                      <w:highlight w:val="none"/>
                      <w14:textFill>
                        <w14:solidFill>
                          <w14:schemeClr w14:val="tx1"/>
                        </w14:solidFill>
                      </w14:textFill>
                    </w:rPr>
                    <w:br w:type="textWrapping"/>
                  </w:r>
                  <w:r>
                    <w:rPr>
                      <w:rFonts w:ascii="Times New Roman" w:hAnsi="Times New Roman" w:eastAsia="宋体"/>
                      <w:caps w:val="0"/>
                      <w:color w:val="000000" w:themeColor="text1"/>
                      <w:sz w:val="21"/>
                      <w:szCs w:val="21"/>
                      <w:highlight w:val="none"/>
                      <w14:textFill>
                        <w14:solidFill>
                          <w14:schemeClr w14:val="tx1"/>
                        </w14:solidFill>
                      </w14:textFill>
                    </w:rPr>
                    <w:t>(m)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vMerge w:val="restart"/>
                  <w:shd w:val="clear" w:color="auto" w:fill="FFFFFF"/>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厂房</w:t>
                  </w:r>
                </w:p>
              </w:tc>
              <w:tc>
                <w:tcPr>
                  <w:tcW w:w="760" w:type="pct"/>
                  <w:shd w:val="clear" w:color="auto" w:fill="FFFFFF"/>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TSP</w:t>
                  </w:r>
                </w:p>
              </w:tc>
              <w:tc>
                <w:tcPr>
                  <w:tcW w:w="703" w:type="pct"/>
                  <w:shd w:val="clear" w:color="auto" w:fill="FFFFFF"/>
                  <w:vAlign w:val="center"/>
                </w:tcPr>
                <w:p>
                  <w:pPr>
                    <w:adjustRightInd w:val="0"/>
                    <w:snapToGrid w:val="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94</w:t>
                  </w:r>
                </w:p>
              </w:tc>
              <w:tc>
                <w:tcPr>
                  <w:tcW w:w="948" w:type="pct"/>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7.86E-03</w:t>
                  </w:r>
                </w:p>
              </w:tc>
              <w:tc>
                <w:tcPr>
                  <w:tcW w:w="746" w:type="pct"/>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0.87</w:t>
                  </w:r>
                </w:p>
              </w:tc>
              <w:tc>
                <w:tcPr>
                  <w:tcW w:w="667" w:type="pct"/>
                  <w:shd w:val="clear" w:color="auto" w:fill="FFFFFF"/>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900</w:t>
                  </w:r>
                </w:p>
              </w:tc>
              <w:tc>
                <w:tcPr>
                  <w:tcW w:w="484" w:type="pct"/>
                  <w:shd w:val="clear" w:color="auto" w:fill="FFFFFF"/>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vMerge w:val="continue"/>
                  <w:shd w:val="clear" w:color="auto" w:fill="FFFFFF"/>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760" w:type="pct"/>
                  <w:shd w:val="clear" w:color="auto" w:fill="FFFFFF"/>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NMHC</w:t>
                  </w:r>
                </w:p>
              </w:tc>
              <w:tc>
                <w:tcPr>
                  <w:tcW w:w="703" w:type="pct"/>
                  <w:shd w:val="clear" w:color="auto" w:fill="FFFFFF"/>
                  <w:vAlign w:val="center"/>
                </w:tcPr>
                <w:p>
                  <w:pPr>
                    <w:adjustRightInd w:val="0"/>
                    <w:snapToGrid w:val="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94</w:t>
                  </w:r>
                </w:p>
              </w:tc>
              <w:tc>
                <w:tcPr>
                  <w:tcW w:w="948" w:type="pct"/>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1.24E-02</w:t>
                  </w:r>
                </w:p>
              </w:tc>
              <w:tc>
                <w:tcPr>
                  <w:tcW w:w="746" w:type="pct"/>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0.62</w:t>
                  </w:r>
                </w:p>
              </w:tc>
              <w:tc>
                <w:tcPr>
                  <w:tcW w:w="667" w:type="pct"/>
                  <w:shd w:val="clear" w:color="auto" w:fill="FFFFFF"/>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2000</w:t>
                  </w:r>
                </w:p>
              </w:tc>
              <w:tc>
                <w:tcPr>
                  <w:tcW w:w="484" w:type="pct"/>
                  <w:shd w:val="clear" w:color="auto" w:fill="FFFFFF"/>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vMerge w:val="continue"/>
                  <w:shd w:val="clear" w:color="auto" w:fill="FFFFFF"/>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760" w:type="pct"/>
                  <w:shd w:val="clear" w:color="auto" w:fill="FFFFFF"/>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二甲苯</w:t>
                  </w:r>
                </w:p>
              </w:tc>
              <w:tc>
                <w:tcPr>
                  <w:tcW w:w="703" w:type="pct"/>
                  <w:shd w:val="clear" w:color="auto" w:fill="FFFFFF"/>
                  <w:vAlign w:val="center"/>
                </w:tcPr>
                <w:p>
                  <w:pPr>
                    <w:adjustRightInd w:val="0"/>
                    <w:snapToGrid w:val="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94</w:t>
                  </w:r>
                </w:p>
              </w:tc>
              <w:tc>
                <w:tcPr>
                  <w:tcW w:w="948" w:type="pct"/>
                  <w:shd w:val="clear" w:color="auto" w:fill="FFFFFF"/>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1.38E-03</w:t>
                  </w:r>
                </w:p>
              </w:tc>
              <w:tc>
                <w:tcPr>
                  <w:tcW w:w="746" w:type="pct"/>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0.69</w:t>
                  </w:r>
                </w:p>
              </w:tc>
              <w:tc>
                <w:tcPr>
                  <w:tcW w:w="667" w:type="pct"/>
                  <w:shd w:val="clear" w:color="auto" w:fill="FFFFFF"/>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200</w:t>
                  </w:r>
                </w:p>
              </w:tc>
              <w:tc>
                <w:tcPr>
                  <w:tcW w:w="484" w:type="pct"/>
                  <w:shd w:val="clear" w:color="auto" w:fill="FFFFFF"/>
                  <w:vAlign w:val="center"/>
                </w:tcPr>
                <w:p>
                  <w:pPr>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shd w:val="clear" w:color="auto" w:fill="auto"/>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6</w:t>
                  </w:r>
                  <w:r>
                    <w:rPr>
                      <w:rFonts w:hint="eastAsia" w:ascii="Times New Roman" w:hAnsi="Times New Roman" w:eastAsia="宋体"/>
                      <w:caps w:val="0"/>
                      <w:color w:val="000000" w:themeColor="text1"/>
                      <w:sz w:val="21"/>
                      <w:szCs w:val="21"/>
                      <w:highlight w:val="none"/>
                      <w14:textFill>
                        <w14:solidFill>
                          <w14:schemeClr w14:val="tx1"/>
                        </w14:solidFill>
                      </w14:textFill>
                    </w:rPr>
                    <w:t>#</w:t>
                  </w:r>
                  <w:r>
                    <w:rPr>
                      <w:rFonts w:ascii="Times New Roman" w:hAnsi="Times New Roman" w:eastAsia="宋体"/>
                      <w:caps w:val="0"/>
                      <w:color w:val="000000" w:themeColor="text1"/>
                      <w:sz w:val="21"/>
                      <w:szCs w:val="21"/>
                      <w:highlight w:val="none"/>
                      <w14:textFill>
                        <w14:solidFill>
                          <w14:schemeClr w14:val="tx1"/>
                        </w14:solidFill>
                      </w14:textFill>
                    </w:rPr>
                    <w:t>排气筒</w:t>
                  </w:r>
                </w:p>
              </w:tc>
              <w:tc>
                <w:tcPr>
                  <w:tcW w:w="760" w:type="pct"/>
                  <w:shd w:val="clear" w:color="auto" w:fill="FFFFFF"/>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TSP</w:t>
                  </w:r>
                </w:p>
              </w:tc>
              <w:tc>
                <w:tcPr>
                  <w:tcW w:w="703" w:type="pct"/>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133</w:t>
                  </w:r>
                </w:p>
              </w:tc>
              <w:tc>
                <w:tcPr>
                  <w:tcW w:w="948" w:type="pct"/>
                  <w:shd w:val="clear" w:color="auto" w:fill="FFFFFF"/>
                  <w:vAlign w:val="center"/>
                </w:tcPr>
                <w:p>
                  <w:pPr>
                    <w:adjustRightInd w:val="0"/>
                    <w:snapToGri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1.38E-04</w:t>
                  </w:r>
                </w:p>
              </w:tc>
              <w:tc>
                <w:tcPr>
                  <w:tcW w:w="746" w:type="pct"/>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0.02</w:t>
                  </w:r>
                </w:p>
              </w:tc>
              <w:tc>
                <w:tcPr>
                  <w:tcW w:w="667" w:type="pct"/>
                  <w:shd w:val="clear" w:color="auto" w:fill="FFFFFF"/>
                  <w:vAlign w:val="center"/>
                </w:tcPr>
                <w:p>
                  <w:pPr>
                    <w:jc w:val="center"/>
                    <w:rPr>
                      <w:rFonts w:hint="eastAsia"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2000</w:t>
                  </w:r>
                </w:p>
              </w:tc>
              <w:tc>
                <w:tcPr>
                  <w:tcW w:w="484" w:type="pct"/>
                  <w:shd w:val="clear" w:color="auto" w:fill="FFFFFF"/>
                  <w:vAlign w:val="center"/>
                </w:tcPr>
                <w:p>
                  <w:pPr>
                    <w:adjustRightInd w:val="0"/>
                    <w:snapToGrid w:val="0"/>
                    <w:jc w:val="center"/>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688" w:type="pct"/>
                  <w:vMerge w:val="restart"/>
                  <w:shd w:val="clear" w:color="auto" w:fill="auto"/>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7</w:t>
                  </w:r>
                  <w:r>
                    <w:rPr>
                      <w:rFonts w:hint="eastAsia" w:ascii="Times New Roman" w:hAnsi="Times New Roman" w:eastAsia="宋体"/>
                      <w:caps w:val="0"/>
                      <w:color w:val="000000" w:themeColor="text1"/>
                      <w:sz w:val="21"/>
                      <w:szCs w:val="21"/>
                      <w:highlight w:val="none"/>
                      <w14:textFill>
                        <w14:solidFill>
                          <w14:schemeClr w14:val="tx1"/>
                        </w14:solidFill>
                      </w14:textFill>
                    </w:rPr>
                    <w:t>#</w:t>
                  </w:r>
                  <w:r>
                    <w:rPr>
                      <w:rFonts w:ascii="Times New Roman" w:hAnsi="Times New Roman" w:eastAsia="宋体"/>
                      <w:caps w:val="0"/>
                      <w:color w:val="000000" w:themeColor="text1"/>
                      <w:sz w:val="21"/>
                      <w:szCs w:val="21"/>
                      <w:highlight w:val="none"/>
                      <w14:textFill>
                        <w14:solidFill>
                          <w14:schemeClr w14:val="tx1"/>
                        </w14:solidFill>
                      </w14:textFill>
                    </w:rPr>
                    <w:t>排气筒</w:t>
                  </w:r>
                </w:p>
              </w:tc>
              <w:tc>
                <w:tcPr>
                  <w:tcW w:w="760" w:type="pct"/>
                  <w:shd w:val="clear" w:color="auto" w:fill="FFFFFF"/>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NMHC</w:t>
                  </w:r>
                </w:p>
              </w:tc>
              <w:tc>
                <w:tcPr>
                  <w:tcW w:w="703" w:type="pct"/>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100</w:t>
                  </w:r>
                </w:p>
              </w:tc>
              <w:tc>
                <w:tcPr>
                  <w:tcW w:w="948" w:type="pct"/>
                  <w:shd w:val="clear" w:color="auto" w:fill="FFFFFF"/>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6.38E-04</w:t>
                  </w:r>
                </w:p>
              </w:tc>
              <w:tc>
                <w:tcPr>
                  <w:tcW w:w="746" w:type="pct"/>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0.03</w:t>
                  </w:r>
                </w:p>
              </w:tc>
              <w:tc>
                <w:tcPr>
                  <w:tcW w:w="667" w:type="pct"/>
                  <w:shd w:val="clear" w:color="auto" w:fill="FFFFFF"/>
                  <w:vAlign w:val="center"/>
                </w:tcPr>
                <w:p>
                  <w:pPr>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2000</w:t>
                  </w:r>
                </w:p>
              </w:tc>
              <w:tc>
                <w:tcPr>
                  <w:tcW w:w="484" w:type="pct"/>
                  <w:shd w:val="clear" w:color="auto" w:fill="FFFFFF"/>
                  <w:vAlign w:val="center"/>
                </w:tcPr>
                <w:p>
                  <w:pPr>
                    <w:adjustRightInd w:val="0"/>
                    <w:snapToGrid w:val="0"/>
                    <w:jc w:val="center"/>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未出现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688" w:type="pct"/>
                  <w:vMerge w:val="continue"/>
                  <w:shd w:val="clear" w:color="auto" w:fill="auto"/>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p>
              </w:tc>
              <w:tc>
                <w:tcPr>
                  <w:tcW w:w="760" w:type="pct"/>
                  <w:shd w:val="clear" w:color="auto" w:fill="FFFFFF"/>
                  <w:vAlign w:val="center"/>
                </w:tcPr>
                <w:p>
                  <w:pPr>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二甲苯</w:t>
                  </w:r>
                </w:p>
              </w:tc>
              <w:tc>
                <w:tcPr>
                  <w:tcW w:w="703" w:type="pct"/>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100</w:t>
                  </w:r>
                </w:p>
              </w:tc>
              <w:tc>
                <w:tcPr>
                  <w:tcW w:w="948" w:type="pct"/>
                  <w:shd w:val="clear" w:color="auto" w:fill="FFFFFF"/>
                  <w:vAlign w:val="center"/>
                </w:tcPr>
                <w:p>
                  <w:pPr>
                    <w:adjustRightInd w:val="0"/>
                    <w:snapToGrid w:val="0"/>
                    <w:spacing w:line="320" w:lineRule="exact"/>
                    <w:jc w:val="center"/>
                    <w:rPr>
                      <w:rFonts w:hint="eastAsia"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14:textFill>
                        <w14:solidFill>
                          <w14:schemeClr w14:val="tx1"/>
                        </w14:solidFill>
                      </w14:textFill>
                    </w:rPr>
                    <w:t>1.28E-04</w:t>
                  </w:r>
                </w:p>
              </w:tc>
              <w:tc>
                <w:tcPr>
                  <w:tcW w:w="746" w:type="pct"/>
                  <w:shd w:val="clear" w:color="auto" w:fill="FFFFFF"/>
                  <w:vAlign w:val="center"/>
                </w:tcPr>
                <w:p>
                  <w:pPr>
                    <w:adjustRightInd w:val="0"/>
                    <w:snapToGrid w:val="0"/>
                    <w:spacing w:line="32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0.06</w:t>
                  </w:r>
                </w:p>
              </w:tc>
              <w:tc>
                <w:tcPr>
                  <w:tcW w:w="667" w:type="pct"/>
                  <w:shd w:val="clear" w:color="auto" w:fill="FFFFFF"/>
                  <w:vAlign w:val="center"/>
                </w:tcPr>
                <w:p>
                  <w:pPr>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200</w:t>
                  </w:r>
                </w:p>
              </w:tc>
              <w:tc>
                <w:tcPr>
                  <w:tcW w:w="484" w:type="pct"/>
                  <w:shd w:val="clear" w:color="auto" w:fill="FFFFFF"/>
                  <w:vAlign w:val="center"/>
                </w:tcPr>
                <w:p>
                  <w:pPr>
                    <w:adjustRightInd w:val="0"/>
                    <w:snapToGrid w:val="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未出现</w:t>
                  </w:r>
                </w:p>
              </w:tc>
            </w:tr>
          </w:tbl>
          <w:p>
            <w:pPr>
              <w:pStyle w:val="91"/>
              <w:adjustRightInd w:val="0"/>
              <w:ind w:firstLine="480"/>
              <w:rPr>
                <w:rFonts w:ascii="Times New Roman" w:hAnsi="Times New Roman" w:eastAsia="宋体"/>
                <w:caps w:val="0"/>
                <w:color w:val="000000" w:themeColor="text1"/>
                <w:szCs w:val="24"/>
                <w:highlight w:val="none"/>
                <w14:textFill>
                  <w14:solidFill>
                    <w14:schemeClr w14:val="tx1"/>
                  </w14:solidFill>
                </w14:textFill>
              </w:rPr>
            </w:pPr>
            <w:r>
              <w:rPr>
                <w:rFonts w:ascii="Times New Roman" w:hAnsi="Times New Roman" w:eastAsia="宋体"/>
                <w:caps w:val="0"/>
                <w:color w:val="000000" w:themeColor="text1"/>
                <w:szCs w:val="24"/>
                <w:highlight w:val="none"/>
                <w14:textFill>
                  <w14:solidFill>
                    <w14:schemeClr w14:val="tx1"/>
                  </w14:solidFill>
                </w14:textFill>
              </w:rPr>
              <w:t>计算结果分析：</w:t>
            </w:r>
          </w:p>
          <w:p>
            <w:pPr>
              <w:pStyle w:val="91"/>
              <w:adjustRightInd w:val="0"/>
              <w:ind w:firstLine="480"/>
              <w:rPr>
                <w:rFonts w:ascii="Times New Roman" w:hAnsi="Times New Roman" w:eastAsia="宋体"/>
                <w:caps w:val="0"/>
                <w:color w:val="000000" w:themeColor="text1"/>
                <w:szCs w:val="24"/>
                <w:highlight w:val="none"/>
                <w14:textFill>
                  <w14:solidFill>
                    <w14:schemeClr w14:val="tx1"/>
                  </w14:solidFill>
                </w14:textFill>
              </w:rPr>
            </w:pPr>
            <w:r>
              <w:rPr>
                <w:rFonts w:ascii="Times New Roman" w:hAnsi="Times New Roman" w:eastAsia="宋体"/>
                <w:caps w:val="0"/>
                <w:color w:val="000000" w:themeColor="text1"/>
                <w:szCs w:val="24"/>
                <w:highlight w:val="none"/>
                <w14:textFill>
                  <w14:solidFill>
                    <w14:schemeClr w14:val="tx1"/>
                  </w14:solidFill>
                </w14:textFill>
              </w:rPr>
              <w:t>项目Pmax最大值为厂房排放的TSP</w:t>
            </w:r>
            <w:r>
              <w:rPr>
                <w:rFonts w:hint="eastAsia" w:ascii="Times New Roman" w:hAnsi="Times New Roman" w:eastAsia="宋体"/>
                <w:caps w:val="0"/>
                <w:color w:val="000000" w:themeColor="text1"/>
                <w:szCs w:val="24"/>
                <w:highlight w:val="none"/>
                <w14:textFill>
                  <w14:solidFill>
                    <w14:schemeClr w14:val="tx1"/>
                  </w14:solidFill>
                </w14:textFill>
              </w:rPr>
              <w:t>，</w:t>
            </w:r>
            <w:r>
              <w:rPr>
                <w:rFonts w:ascii="Times New Roman" w:hAnsi="Times New Roman" w:eastAsia="宋体"/>
                <w:caps w:val="0"/>
                <w:color w:val="000000" w:themeColor="text1"/>
                <w:szCs w:val="24"/>
                <w:highlight w:val="none"/>
                <w14:textFill>
                  <w14:solidFill>
                    <w14:schemeClr w14:val="tx1"/>
                  </w14:solidFill>
                </w14:textFill>
              </w:rPr>
              <w:t>Pmax值为</w:t>
            </w:r>
            <w:r>
              <w:rPr>
                <w:rFonts w:hint="eastAsia" w:ascii="Times New Roman" w:hAnsi="Times New Roman" w:eastAsia="宋体"/>
                <w:caps w:val="0"/>
                <w:color w:val="000000" w:themeColor="text1"/>
                <w:szCs w:val="24"/>
                <w:highlight w:val="none"/>
                <w:lang w:val="en-US" w:eastAsia="zh-CN"/>
                <w14:textFill>
                  <w14:solidFill>
                    <w14:schemeClr w14:val="tx1"/>
                  </w14:solidFill>
                </w14:textFill>
              </w:rPr>
              <w:t>0.87</w:t>
            </w:r>
            <w:r>
              <w:rPr>
                <w:rFonts w:ascii="Times New Roman" w:hAnsi="Times New Roman" w:eastAsia="宋体"/>
                <w:caps w:val="0"/>
                <w:color w:val="000000" w:themeColor="text1"/>
                <w:szCs w:val="24"/>
                <w:highlight w:val="none"/>
                <w14:textFill>
                  <w14:solidFill>
                    <w14:schemeClr w14:val="tx1"/>
                  </w14:solidFill>
                </w14:textFill>
              </w:rPr>
              <w:t>%，根据《环境影响评价技术导则 大气环境》（HJ2.2-2018）分级判据，确定本项目大气环境影响评价工作等级为</w:t>
            </w:r>
            <w:r>
              <w:rPr>
                <w:rFonts w:hint="eastAsia" w:ascii="Times New Roman" w:hAnsi="Times New Roman" w:eastAsia="宋体"/>
                <w:caps w:val="0"/>
                <w:color w:val="000000" w:themeColor="text1"/>
                <w:szCs w:val="24"/>
                <w:highlight w:val="none"/>
                <w:lang w:val="en-US" w:eastAsia="zh-CN"/>
                <w14:textFill>
                  <w14:solidFill>
                    <w14:schemeClr w14:val="tx1"/>
                  </w14:solidFill>
                </w14:textFill>
              </w:rPr>
              <w:t>三</w:t>
            </w:r>
            <w:r>
              <w:rPr>
                <w:rFonts w:ascii="Times New Roman" w:hAnsi="Times New Roman" w:eastAsia="宋体"/>
                <w:caps w:val="0"/>
                <w:color w:val="000000" w:themeColor="text1"/>
                <w:szCs w:val="24"/>
                <w:highlight w:val="none"/>
                <w14:textFill>
                  <w14:solidFill>
                    <w14:schemeClr w14:val="tx1"/>
                  </w14:solidFill>
                </w14:textFill>
              </w:rPr>
              <w:t>级。</w:t>
            </w:r>
            <w:r>
              <w:rPr>
                <w:rFonts w:hint="eastAsia" w:ascii="Times New Roman" w:hAnsi="Times New Roman" w:eastAsia="宋体"/>
                <w:caps w:val="0"/>
                <w:color w:val="000000" w:themeColor="text1"/>
                <w:szCs w:val="24"/>
                <w:highlight w:val="none"/>
                <w:lang w:val="en-US" w:eastAsia="zh-CN"/>
                <w14:textFill>
                  <w14:solidFill>
                    <w14:schemeClr w14:val="tx1"/>
                  </w14:solidFill>
                </w14:textFill>
              </w:rPr>
              <w:t>三</w:t>
            </w:r>
            <w:r>
              <w:rPr>
                <w:rFonts w:ascii="Times New Roman" w:hAnsi="Times New Roman" w:eastAsia="宋体"/>
                <w:caps w:val="0"/>
                <w:color w:val="000000" w:themeColor="text1"/>
                <w:szCs w:val="24"/>
                <w:highlight w:val="none"/>
                <w14:textFill>
                  <w14:solidFill>
                    <w14:schemeClr w14:val="tx1"/>
                  </w14:solidFill>
                </w14:textFill>
              </w:rPr>
              <w:t>级评价项目不进行进一步预测和评价。</w:t>
            </w:r>
          </w:p>
          <w:p>
            <w:pPr>
              <w:pStyle w:val="91"/>
              <w:adjustRightInd w:val="0"/>
              <w:ind w:firstLine="482"/>
              <w:rPr>
                <w:rFonts w:ascii="Times New Roman" w:hAnsi="Times New Roman" w:eastAsia="宋体"/>
                <w:b/>
                <w:bCs/>
                <w:caps w:val="0"/>
                <w:color w:val="000000" w:themeColor="text1"/>
                <w:highlight w:val="none"/>
                <w:lang w:val="en-US"/>
                <w14:textFill>
                  <w14:solidFill>
                    <w14:schemeClr w14:val="tx1"/>
                  </w14:solidFill>
                </w14:textFill>
              </w:rPr>
            </w:pPr>
            <w:r>
              <w:rPr>
                <w:rFonts w:ascii="Times New Roman" w:hAnsi="Times New Roman" w:eastAsia="宋体"/>
                <w:b/>
                <w:bCs/>
                <w:caps w:val="0"/>
                <w:color w:val="000000" w:themeColor="text1"/>
                <w:highlight w:val="none"/>
                <w:lang w:val="en-US"/>
                <w14:textFill>
                  <w14:solidFill>
                    <w14:schemeClr w14:val="tx1"/>
                  </w14:solidFill>
                </w14:textFill>
              </w:rPr>
              <w:t>（2）大气环境防护距离的设置</w:t>
            </w:r>
          </w:p>
          <w:p>
            <w:pPr>
              <w:pStyle w:val="29"/>
              <w:spacing w:before="0" w:beforeAutospacing="0" w:after="0" w:afterAutospacing="0" w:line="460" w:lineRule="exact"/>
              <w:ind w:firstLine="480" w:firstLineChars="200"/>
              <w:jc w:val="both"/>
              <w:rPr>
                <w:rFonts w:ascii="Times New Roman" w:hAnsi="Times New Roman" w:eastAsia="宋体" w:cs="Times New Roman"/>
                <w:caps w:val="0"/>
                <w:color w:val="000000" w:themeColor="text1"/>
                <w:kern w:val="2"/>
                <w:highlight w:val="none"/>
                <w14:textFill>
                  <w14:solidFill>
                    <w14:schemeClr w14:val="tx1"/>
                  </w14:solidFill>
                </w14:textFill>
              </w:rPr>
            </w:pPr>
            <w:r>
              <w:rPr>
                <w:rFonts w:ascii="Times New Roman" w:hAnsi="Times New Roman" w:eastAsia="宋体" w:cs="Times New Roman"/>
                <w:caps w:val="0"/>
                <w:color w:val="000000" w:themeColor="text1"/>
                <w:kern w:val="2"/>
                <w:highlight w:val="none"/>
                <w14:textFill>
                  <w14:solidFill>
                    <w14:schemeClr w14:val="tx1"/>
                  </w14:solidFill>
                </w14:textFill>
              </w:rPr>
              <w:t>根据《环境影响评价技术导则 大气环境》(HJ2.2-2018)，对于项目厂界浓度满足大气污染物厂界浓度限值，但厂界外大气污染物短期浓度贡献值超过环境质量浓度限值的，可以自厂界向外设置一定范围的大气环境防</w:t>
            </w:r>
            <w:bookmarkStart w:id="13" w:name="_GoBack"/>
            <w:bookmarkEnd w:id="13"/>
            <w:r>
              <w:rPr>
                <w:rFonts w:ascii="Times New Roman" w:hAnsi="Times New Roman" w:eastAsia="宋体" w:cs="Times New Roman"/>
                <w:caps w:val="0"/>
                <w:color w:val="000000" w:themeColor="text1"/>
                <w:kern w:val="2"/>
                <w:highlight w:val="none"/>
                <w14:textFill>
                  <w14:solidFill>
                    <w14:schemeClr w14:val="tx1"/>
                  </w14:solidFill>
                </w14:textFill>
              </w:rPr>
              <w:t xml:space="preserve">护区域，以确保大气环境防护区域外的污染物贡献浓度满足环境质量标准。 </w:t>
            </w:r>
          </w:p>
          <w:p>
            <w:pPr>
              <w:pStyle w:val="29"/>
              <w:spacing w:before="0" w:beforeAutospacing="0" w:after="0" w:afterAutospacing="0" w:line="460" w:lineRule="exact"/>
              <w:ind w:firstLine="360" w:firstLineChars="150"/>
              <w:jc w:val="both"/>
              <w:rPr>
                <w:rFonts w:ascii="Times New Roman" w:hAnsi="Times New Roman" w:eastAsia="宋体" w:cs="Times New Roman"/>
                <w:caps w:val="0"/>
                <w:color w:val="000000" w:themeColor="text1"/>
                <w:kern w:val="2"/>
                <w:highlight w:val="none"/>
                <w14:textFill>
                  <w14:solidFill>
                    <w14:schemeClr w14:val="tx1"/>
                  </w14:solidFill>
                </w14:textFill>
              </w:rPr>
            </w:pPr>
            <w:r>
              <w:rPr>
                <w:rFonts w:ascii="Times New Roman" w:hAnsi="Times New Roman" w:eastAsia="宋体" w:cs="Times New Roman"/>
                <w:caps w:val="0"/>
                <w:color w:val="000000" w:themeColor="text1"/>
                <w:kern w:val="2"/>
                <w:highlight w:val="none"/>
                <w14:textFill>
                  <w14:solidFill>
                    <w14:schemeClr w14:val="tx1"/>
                  </w14:solidFill>
                </w14:textFill>
              </w:rPr>
              <w:t xml:space="preserve"> 结合上述预测结果：建设项目大气污染物浓度未超过环境质量浓度限值，不需设置大气环境防护距离。</w:t>
            </w:r>
          </w:p>
          <w:p>
            <w:pPr>
              <w:spacing w:line="480" w:lineRule="exact"/>
              <w:ind w:firstLine="482" w:firstLineChars="200"/>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表7-</w:t>
            </w: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 xml:space="preserve">5 </w:t>
            </w:r>
            <w:r>
              <w:rPr>
                <w:rFonts w:ascii="Times New Roman" w:hAnsi="Times New Roman" w:eastAsia="宋体"/>
                <w:b/>
                <w:bCs/>
                <w:caps w:val="0"/>
                <w:color w:val="000000" w:themeColor="text1"/>
                <w:sz w:val="24"/>
                <w:highlight w:val="none"/>
                <w14:textFill>
                  <w14:solidFill>
                    <w14:schemeClr w14:val="tx1"/>
                  </w14:solidFill>
                </w14:textFill>
              </w:rPr>
              <w:t>建设项目大气环境影响评价自查表</w:t>
            </w:r>
          </w:p>
          <w:tbl>
            <w:tblPr>
              <w:tblStyle w:val="32"/>
              <w:tblW w:w="0" w:type="auto"/>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15" w:type="dxa"/>
                <w:left w:w="15" w:type="dxa"/>
                <w:bottom w:w="15" w:type="dxa"/>
                <w:right w:w="15" w:type="dxa"/>
              </w:tblCellMar>
            </w:tblPr>
            <w:tblGrid>
              <w:gridCol w:w="512"/>
              <w:gridCol w:w="1489"/>
              <w:gridCol w:w="1288"/>
              <w:gridCol w:w="83"/>
              <w:gridCol w:w="1394"/>
              <w:gridCol w:w="1252"/>
              <w:gridCol w:w="36"/>
              <w:gridCol w:w="1413"/>
              <w:gridCol w:w="1327"/>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2001" w:type="dxa"/>
                  <w:gridSpan w:val="2"/>
                  <w:tcBorders>
                    <w:tl2br w:val="nil"/>
                    <w:tr2bl w:val="nil"/>
                  </w:tcBorders>
                  <w:shd w:val="clear" w:color="auto" w:fill="F1F1F1"/>
                  <w:vAlign w:val="center"/>
                </w:tcPr>
                <w:p>
                  <w:pPr>
                    <w:widowControl/>
                    <w:autoSpaceDE w:val="0"/>
                    <w:autoSpaceDN w:val="0"/>
                    <w:adjustRightInd w:val="0"/>
                    <w:snapToGrid w:val="0"/>
                    <w:jc w:val="center"/>
                    <w:textAlignment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工作内容</w:t>
                  </w:r>
                </w:p>
              </w:tc>
              <w:tc>
                <w:tcPr>
                  <w:tcW w:w="6793" w:type="dxa"/>
                  <w:gridSpan w:val="7"/>
                  <w:tcBorders>
                    <w:tl2br w:val="nil"/>
                    <w:tr2bl w:val="nil"/>
                  </w:tcBorders>
                  <w:shd w:val="clear" w:color="auto" w:fill="F1F1F1"/>
                  <w:vAlign w:val="center"/>
                </w:tcPr>
                <w:p>
                  <w:pPr>
                    <w:widowControl/>
                    <w:autoSpaceDE w:val="0"/>
                    <w:autoSpaceDN w:val="0"/>
                    <w:adjustRightInd w:val="0"/>
                    <w:snapToGrid w:val="0"/>
                    <w:jc w:val="center"/>
                    <w:textAlignment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kern w:val="0"/>
                      <w:sz w:val="21"/>
                      <w:szCs w:val="21"/>
                      <w:highlight w:val="none"/>
                      <w14:textFill>
                        <w14:solidFill>
                          <w14:schemeClr w14:val="tx1"/>
                        </w14:solidFill>
                      </w14:textFill>
                    </w:rPr>
                    <w:t>自查项目</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restart"/>
                  <w:tcBorders>
                    <w:tl2br w:val="nil"/>
                    <w:tr2bl w:val="nil"/>
                  </w:tcBorders>
                  <w:vAlign w:val="center"/>
                </w:tcPr>
                <w:p>
                  <w:pPr>
                    <w:widowControl/>
                    <w:autoSpaceDE w:val="0"/>
                    <w:autoSpaceDN w:val="0"/>
                    <w:adjustRightInd w:val="0"/>
                    <w:snapToGrid w:val="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评价等级与范围</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评价等级</w:t>
                  </w:r>
                </w:p>
              </w:tc>
              <w:tc>
                <w:tcPr>
                  <w:tcW w:w="2765"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一级□</w:t>
                  </w:r>
                </w:p>
              </w:tc>
              <w:tc>
                <w:tcPr>
                  <w:tcW w:w="2701" w:type="dxa"/>
                  <w:gridSpan w:val="3"/>
                  <w:tcBorders>
                    <w:tl2br w:val="nil"/>
                    <w:tr2bl w:val="nil"/>
                  </w:tcBorders>
                  <w:vAlign w:val="center"/>
                </w:tcPr>
                <w:p>
                  <w:pPr>
                    <w:widowControl/>
                    <w:autoSpaceDE w:val="0"/>
                    <w:autoSpaceDN w:val="0"/>
                    <w:adjustRightInd w:val="0"/>
                    <w:snapToGrid w:val="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二级√</w:t>
                  </w:r>
                </w:p>
              </w:tc>
              <w:tc>
                <w:tcPr>
                  <w:tcW w:w="1327" w:type="dxa"/>
                  <w:tcBorders>
                    <w:tl2br w:val="nil"/>
                    <w:tr2bl w:val="nil"/>
                  </w:tcBorders>
                  <w:vAlign w:val="center"/>
                </w:tcPr>
                <w:p>
                  <w:pPr>
                    <w:widowControl/>
                    <w:autoSpaceDE w:val="0"/>
                    <w:autoSpaceDN w:val="0"/>
                    <w:adjustRightInd w:val="0"/>
                    <w:snapToGrid w:val="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三级□</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843"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评价范围</w:t>
                  </w:r>
                </w:p>
              </w:tc>
              <w:tc>
                <w:tcPr>
                  <w:tcW w:w="2765"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边长=50km□</w:t>
                  </w:r>
                </w:p>
              </w:tc>
              <w:tc>
                <w:tcPr>
                  <w:tcW w:w="2701"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边长5-50km□</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边长=5km√</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restart"/>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评价因子</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SO</w:t>
                  </w:r>
                  <w:r>
                    <w:rPr>
                      <w:rFonts w:ascii="Times New Roman" w:hAnsi="Times New Roman" w:eastAsia="宋体"/>
                      <w:caps w:val="0"/>
                      <w:color w:val="000000" w:themeColor="text1"/>
                      <w:kern w:val="0"/>
                      <w:sz w:val="21"/>
                      <w:szCs w:val="21"/>
                      <w:highlight w:val="none"/>
                      <w:vertAlign w:val="subscript"/>
                      <w14:textFill>
                        <w14:solidFill>
                          <w14:schemeClr w14:val="tx1"/>
                        </w14:solidFill>
                      </w14:textFill>
                    </w:rPr>
                    <w:t>2</w:t>
                  </w:r>
                  <w:r>
                    <w:rPr>
                      <w:rFonts w:ascii="Times New Roman" w:hAnsi="Times New Roman" w:eastAsia="宋体"/>
                      <w:caps w:val="0"/>
                      <w:color w:val="000000" w:themeColor="text1"/>
                      <w:kern w:val="0"/>
                      <w:sz w:val="21"/>
                      <w:szCs w:val="21"/>
                      <w:highlight w:val="none"/>
                      <w14:textFill>
                        <w14:solidFill>
                          <w14:schemeClr w14:val="tx1"/>
                        </w14:solidFill>
                      </w14:textFill>
                    </w:rPr>
                    <w:t>+NOx排放量</w:t>
                  </w:r>
                </w:p>
              </w:tc>
              <w:tc>
                <w:tcPr>
                  <w:tcW w:w="1371" w:type="dxa"/>
                  <w:gridSpan w:val="2"/>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≥2000t/a□</w:t>
                  </w:r>
                </w:p>
              </w:tc>
              <w:tc>
                <w:tcPr>
                  <w:tcW w:w="2646" w:type="dxa"/>
                  <w:gridSpan w:val="2"/>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500~2000t/a□</w:t>
                  </w:r>
                </w:p>
              </w:tc>
              <w:tc>
                <w:tcPr>
                  <w:tcW w:w="277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&lt;500t/a√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1"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评价因子</w:t>
                  </w:r>
                </w:p>
              </w:tc>
              <w:tc>
                <w:tcPr>
                  <w:tcW w:w="4017" w:type="dxa"/>
                  <w:gridSpan w:val="4"/>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基本污染物（颗粒物）</w:t>
                  </w:r>
                </w:p>
              </w:tc>
              <w:tc>
                <w:tcPr>
                  <w:tcW w:w="2776" w:type="dxa"/>
                  <w:gridSpan w:val="3"/>
                  <w:tcBorders>
                    <w:tl2br w:val="nil"/>
                    <w:tr2bl w:val="nil"/>
                  </w:tcBorders>
                  <w:vAlign w:val="center"/>
                </w:tcPr>
                <w:p>
                  <w:pPr>
                    <w:widowControl/>
                    <w:autoSpaceDE w:val="0"/>
                    <w:autoSpaceDN w:val="0"/>
                    <w:adjustRightInd w:val="0"/>
                    <w:snapToGrid w:val="0"/>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其他污染物</w:t>
                  </w:r>
                  <w:r>
                    <w:rPr>
                      <w:rFonts w:ascii="Times New Roman" w:hAnsi="Times New Roman" w:eastAsia="宋体"/>
                      <w:caps w:val="0"/>
                      <w:color w:val="000000" w:themeColor="text1"/>
                      <w:kern w:val="0"/>
                      <w:sz w:val="21"/>
                      <w:szCs w:val="21"/>
                      <w:highlight w:val="none"/>
                      <w14:textFill>
                        <w14:solidFill>
                          <w14:schemeClr w14:val="tx1"/>
                        </w14:solidFill>
                      </w14:textFill>
                    </w:rPr>
                    <w:t>（非甲烷总烃</w:t>
                  </w:r>
                  <w:r>
                    <w:rPr>
                      <w:rFonts w:hint="eastAsia" w:ascii="Times New Roman" w:hAnsi="Times New Roman" w:eastAsia="宋体"/>
                      <w:caps w:val="0"/>
                      <w:color w:val="000000" w:themeColor="text1"/>
                      <w:kern w:val="0"/>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二甲苯</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689" w:hRule="atLeast"/>
              </w:trPr>
              <w:tc>
                <w:tcPr>
                  <w:tcW w:w="512"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评价标准</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评价标准</w:t>
                  </w:r>
                </w:p>
              </w:tc>
              <w:tc>
                <w:tcPr>
                  <w:tcW w:w="2765"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国家标准√</w:t>
                  </w:r>
                </w:p>
              </w:tc>
              <w:tc>
                <w:tcPr>
                  <w:tcW w:w="1252" w:type="dxa"/>
                  <w:tcBorders>
                    <w:tl2br w:val="nil"/>
                    <w:tr2bl w:val="nil"/>
                  </w:tcBorders>
                  <w:vAlign w:val="center"/>
                </w:tcPr>
                <w:p>
                  <w:pPr>
                    <w:widowControl/>
                    <w:autoSpaceDE w:val="0"/>
                    <w:autoSpaceDN w:val="0"/>
                    <w:adjustRightInd w:val="0"/>
                    <w:snapToGrid w:val="0"/>
                    <w:spacing w:line="320" w:lineRule="exact"/>
                    <w:jc w:val="center"/>
                    <w:textAlignment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地方标准</w:t>
                  </w:r>
                  <w:r>
                    <w:rPr>
                      <w:rFonts w:hint="eastAsia" w:ascii="Times New Roman" w:hAnsi="Times New Roman" w:eastAsia="宋体"/>
                      <w:caps w:val="0"/>
                      <w:color w:val="000000" w:themeColor="text1"/>
                      <w:kern w:val="0"/>
                      <w:sz w:val="21"/>
                      <w:szCs w:val="21"/>
                      <w:highlight w:val="none"/>
                      <w:lang w:eastAsia="zh-CN"/>
                      <w14:textFill>
                        <w14:solidFill>
                          <w14:schemeClr w14:val="tx1"/>
                        </w14:solidFill>
                      </w14:textFill>
                    </w:rPr>
                    <w:t>☑</w:t>
                  </w:r>
                </w:p>
              </w:tc>
              <w:tc>
                <w:tcPr>
                  <w:tcW w:w="1449" w:type="dxa"/>
                  <w:gridSpan w:val="2"/>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附录D□</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其他标准□</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restart"/>
                  <w:tcBorders>
                    <w:tl2br w:val="nil"/>
                    <w:tr2bl w:val="nil"/>
                  </w:tcBorders>
                  <w:vAlign w:val="center"/>
                </w:tcPr>
                <w:p>
                  <w:pPr>
                    <w:widowControl/>
                    <w:autoSpaceDE w:val="0"/>
                    <w:autoSpaceDN w:val="0"/>
                    <w:adjustRightInd w:val="0"/>
                    <w:snapToGrid w:val="0"/>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现状评价</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评价功能区</w:t>
                  </w:r>
                </w:p>
              </w:tc>
              <w:tc>
                <w:tcPr>
                  <w:tcW w:w="2765"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一类区□</w:t>
                  </w:r>
                </w:p>
              </w:tc>
              <w:tc>
                <w:tcPr>
                  <w:tcW w:w="2701"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二类区√</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一类区和二类区□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评价基准年</w:t>
                  </w:r>
                </w:p>
              </w:tc>
              <w:tc>
                <w:tcPr>
                  <w:tcW w:w="6793" w:type="dxa"/>
                  <w:gridSpan w:val="7"/>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（2019）年</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754"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环境空气质量现状调查数据来源</w:t>
                  </w:r>
                </w:p>
              </w:tc>
              <w:tc>
                <w:tcPr>
                  <w:tcW w:w="2765"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长期例行监测标准□</w:t>
                  </w:r>
                </w:p>
              </w:tc>
              <w:tc>
                <w:tcPr>
                  <w:tcW w:w="2701"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主管部门发布的数据标准√</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现状补充标准√</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现状评价</w:t>
                  </w:r>
                </w:p>
              </w:tc>
              <w:tc>
                <w:tcPr>
                  <w:tcW w:w="4017" w:type="dxa"/>
                  <w:gridSpan w:val="4"/>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达标区□</w:t>
                  </w:r>
                </w:p>
              </w:tc>
              <w:tc>
                <w:tcPr>
                  <w:tcW w:w="2776"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不达标区√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1375" w:hRule="atLeast"/>
              </w:trPr>
              <w:tc>
                <w:tcPr>
                  <w:tcW w:w="512"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污染源调查</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调查内容</w:t>
                  </w:r>
                </w:p>
              </w:tc>
              <w:tc>
                <w:tcPr>
                  <w:tcW w:w="2765"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本项目正常排放源√</w:t>
                  </w:r>
                  <w:r>
                    <w:rPr>
                      <w:rFonts w:ascii="Times New Roman" w:hAnsi="Times New Roman" w:eastAsia="宋体"/>
                      <w:caps w:val="0"/>
                      <w:color w:val="000000" w:themeColor="text1"/>
                      <w:kern w:val="0"/>
                      <w:sz w:val="21"/>
                      <w:szCs w:val="21"/>
                      <w:highlight w:val="none"/>
                      <w14:textFill>
                        <w14:solidFill>
                          <w14:schemeClr w14:val="tx1"/>
                        </w14:solidFill>
                      </w14:textFill>
                    </w:rPr>
                    <w:br w:type="textWrapping"/>
                  </w:r>
                  <w:r>
                    <w:rPr>
                      <w:rFonts w:ascii="Times New Roman" w:hAnsi="Times New Roman" w:eastAsia="宋体"/>
                      <w:caps w:val="0"/>
                      <w:color w:val="000000" w:themeColor="text1"/>
                      <w:kern w:val="0"/>
                      <w:sz w:val="21"/>
                      <w:szCs w:val="21"/>
                      <w:highlight w:val="none"/>
                      <w14:textFill>
                        <w14:solidFill>
                          <w14:schemeClr w14:val="tx1"/>
                        </w14:solidFill>
                      </w14:textFill>
                    </w:rPr>
                    <w:t>本项目非正常排放源□</w:t>
                  </w:r>
                  <w:r>
                    <w:rPr>
                      <w:rFonts w:ascii="Times New Roman" w:hAnsi="Times New Roman" w:eastAsia="宋体"/>
                      <w:caps w:val="0"/>
                      <w:color w:val="000000" w:themeColor="text1"/>
                      <w:kern w:val="0"/>
                      <w:sz w:val="21"/>
                      <w:szCs w:val="21"/>
                      <w:highlight w:val="none"/>
                      <w14:textFill>
                        <w14:solidFill>
                          <w14:schemeClr w14:val="tx1"/>
                        </w14:solidFill>
                      </w14:textFill>
                    </w:rPr>
                    <w:br w:type="textWrapping"/>
                  </w:r>
                  <w:r>
                    <w:rPr>
                      <w:rFonts w:ascii="Times New Roman" w:hAnsi="Times New Roman" w:eastAsia="宋体"/>
                      <w:caps w:val="0"/>
                      <w:color w:val="000000" w:themeColor="text1"/>
                      <w:kern w:val="0"/>
                      <w:sz w:val="21"/>
                      <w:szCs w:val="21"/>
                      <w:highlight w:val="none"/>
                      <w14:textFill>
                        <w14:solidFill>
                          <w14:schemeClr w14:val="tx1"/>
                        </w14:solidFill>
                      </w14:textFill>
                    </w:rPr>
                    <w:t>现有污染源□</w:t>
                  </w:r>
                </w:p>
              </w:tc>
              <w:tc>
                <w:tcPr>
                  <w:tcW w:w="1252"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拟替代的污染源□</w:t>
                  </w:r>
                </w:p>
              </w:tc>
              <w:tc>
                <w:tcPr>
                  <w:tcW w:w="1449" w:type="dxa"/>
                  <w:gridSpan w:val="2"/>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其他在建、拟建项目污染源□</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区域污染源□</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820" w:hRule="atLeast"/>
              </w:trPr>
              <w:tc>
                <w:tcPr>
                  <w:tcW w:w="512" w:type="dxa"/>
                  <w:vMerge w:val="restart"/>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环境监测计划</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污染源监测</w:t>
                  </w:r>
                </w:p>
              </w:tc>
              <w:tc>
                <w:tcPr>
                  <w:tcW w:w="2765"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监测因子：（</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c>
                <w:tcPr>
                  <w:tcW w:w="2701"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有组织废气监测□</w:t>
                  </w:r>
                  <w:r>
                    <w:rPr>
                      <w:rFonts w:ascii="Times New Roman" w:hAnsi="Times New Roman" w:eastAsia="宋体"/>
                      <w:caps w:val="0"/>
                      <w:color w:val="000000" w:themeColor="text1"/>
                      <w:kern w:val="0"/>
                      <w:sz w:val="21"/>
                      <w:szCs w:val="21"/>
                      <w:highlight w:val="none"/>
                      <w14:textFill>
                        <w14:solidFill>
                          <w14:schemeClr w14:val="tx1"/>
                        </w14:solidFill>
                      </w14:textFill>
                    </w:rPr>
                    <w:br w:type="textWrapping"/>
                  </w:r>
                  <w:r>
                    <w:rPr>
                      <w:rFonts w:ascii="Times New Roman" w:hAnsi="Times New Roman" w:eastAsia="宋体"/>
                      <w:caps w:val="0"/>
                      <w:color w:val="000000" w:themeColor="text1"/>
                      <w:kern w:val="0"/>
                      <w:sz w:val="21"/>
                      <w:szCs w:val="21"/>
                      <w:highlight w:val="none"/>
                      <w14:textFill>
                        <w14:solidFill>
                          <w14:schemeClr w14:val="tx1"/>
                        </w14:solidFill>
                      </w14:textFill>
                    </w:rPr>
                    <w:t>无组织废气监测□</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无监测□</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环境质量监测</w:t>
                  </w:r>
                </w:p>
              </w:tc>
              <w:tc>
                <w:tcPr>
                  <w:tcW w:w="2765"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监测因子：（</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c>
                <w:tcPr>
                  <w:tcW w:w="2701" w:type="dxa"/>
                  <w:gridSpan w:val="3"/>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监测点位数（</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c>
                <w:tcPr>
                  <w:tcW w:w="1327"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无监测</w:t>
                  </w:r>
                  <w:r>
                    <w:rPr>
                      <w:rFonts w:ascii="Times New Roman" w:hAnsi="Times New Roman" w:eastAsia="宋体"/>
                      <w:caps w:val="0"/>
                      <w:color w:val="000000" w:themeColor="text1"/>
                      <w:kern w:val="0"/>
                      <w:sz w:val="21"/>
                      <w:szCs w:val="21"/>
                      <w:highlight w:val="none"/>
                      <w14:textFill>
                        <w14:solidFill>
                          <w14:schemeClr w14:val="tx1"/>
                        </w14:solidFill>
                      </w14:textFill>
                    </w:rPr>
                    <w:sym w:font="Wingdings 2" w:char="00A3"/>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restart"/>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评价结论</w:t>
                  </w: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环境影响</w:t>
                  </w:r>
                </w:p>
              </w:tc>
              <w:tc>
                <w:tcPr>
                  <w:tcW w:w="6793" w:type="dxa"/>
                  <w:gridSpan w:val="7"/>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可以接受√             不可以接受 □</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10"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大气环境防护距离</w:t>
                  </w:r>
                </w:p>
              </w:tc>
              <w:tc>
                <w:tcPr>
                  <w:tcW w:w="6793" w:type="dxa"/>
                  <w:gridSpan w:val="7"/>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547" w:hRule="atLeast"/>
              </w:trPr>
              <w:tc>
                <w:tcPr>
                  <w:tcW w:w="512" w:type="dxa"/>
                  <w:vMerge w:val="continue"/>
                  <w:tcBorders>
                    <w:tl2br w:val="nil"/>
                    <w:tr2bl w:val="nil"/>
                  </w:tcBorders>
                  <w:vAlign w:val="center"/>
                </w:tcPr>
                <w:p>
                  <w:pPr>
                    <w:widowControl/>
                    <w:autoSpaceDE w:val="0"/>
                    <w:autoSpaceDN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489"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污染源年排放量</w:t>
                  </w:r>
                </w:p>
              </w:tc>
              <w:tc>
                <w:tcPr>
                  <w:tcW w:w="1288" w:type="dxa"/>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颗粒物：</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0.109</w:t>
                  </w:r>
                  <w:r>
                    <w:rPr>
                      <w:rFonts w:ascii="Times New Roman" w:hAnsi="Times New Roman" w:eastAsia="宋体"/>
                      <w:caps w:val="0"/>
                      <w:color w:val="000000" w:themeColor="text1"/>
                      <w:kern w:val="0"/>
                      <w:sz w:val="21"/>
                      <w:szCs w:val="21"/>
                      <w:highlight w:val="none"/>
                      <w14:textFill>
                        <w14:solidFill>
                          <w14:schemeClr w14:val="tx1"/>
                        </w14:solidFill>
                      </w14:textFill>
                    </w:rPr>
                    <w:t>t/a</w:t>
                  </w:r>
                </w:p>
              </w:tc>
              <w:tc>
                <w:tcPr>
                  <w:tcW w:w="1477" w:type="dxa"/>
                  <w:gridSpan w:val="2"/>
                  <w:tcBorders>
                    <w:tl2br w:val="nil"/>
                    <w:tr2bl w:val="nil"/>
                  </w:tcBorders>
                  <w:vAlign w:val="center"/>
                </w:tcPr>
                <w:p>
                  <w:pPr>
                    <w:autoSpaceDE w:val="0"/>
                    <w:autoSpaceDN w:val="0"/>
                    <w:adjustRightInd w:val="0"/>
                    <w:snapToGrid w:val="0"/>
                    <w:spacing w:line="320" w:lineRule="exact"/>
                    <w:jc w:val="center"/>
                    <w:textAlignment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SO</w:t>
                  </w:r>
                  <w:r>
                    <w:rPr>
                      <w:rFonts w:ascii="Times New Roman" w:hAnsi="Times New Roman" w:eastAsia="宋体"/>
                      <w:caps w:val="0"/>
                      <w:color w:val="000000" w:themeColor="text1"/>
                      <w:kern w:val="0"/>
                      <w:sz w:val="21"/>
                      <w:szCs w:val="21"/>
                      <w:highlight w:val="none"/>
                      <w:vertAlign w:val="subscript"/>
                      <w14:textFill>
                        <w14:solidFill>
                          <w14:schemeClr w14:val="tx1"/>
                        </w14:solidFill>
                      </w14:textFill>
                    </w:rPr>
                    <w:t>2</w:t>
                  </w:r>
                  <w:r>
                    <w:rPr>
                      <w:rFonts w:ascii="Times New Roman" w:hAnsi="Times New Roman" w:eastAsia="宋体"/>
                      <w:caps w:val="0"/>
                      <w:color w:val="000000" w:themeColor="text1"/>
                      <w:kern w:val="0"/>
                      <w:sz w:val="21"/>
                      <w:szCs w:val="21"/>
                      <w:highlight w:val="none"/>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 xml:space="preserve"> </w:t>
                  </w:r>
                  <w:r>
                    <w:rPr>
                      <w:rFonts w:ascii="Times New Roman" w:hAnsi="Times New Roman" w:eastAsia="宋体"/>
                      <w:caps w:val="0"/>
                      <w:color w:val="000000" w:themeColor="text1"/>
                      <w:kern w:val="0"/>
                      <w:sz w:val="21"/>
                      <w:szCs w:val="21"/>
                      <w:highlight w:val="none"/>
                      <w14:textFill>
                        <w14:solidFill>
                          <w14:schemeClr w14:val="tx1"/>
                        </w14:solidFill>
                      </w14:textFill>
                    </w:rPr>
                    <w:t>t/a</w:t>
                  </w:r>
                </w:p>
              </w:tc>
              <w:tc>
                <w:tcPr>
                  <w:tcW w:w="1288" w:type="dxa"/>
                  <w:gridSpan w:val="2"/>
                  <w:tcBorders>
                    <w:tl2br w:val="nil"/>
                    <w:tr2bl w:val="nil"/>
                  </w:tcBorders>
                  <w:vAlign w:val="center"/>
                </w:tcPr>
                <w:p>
                  <w:pPr>
                    <w:widowControl/>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 xml:space="preserve">NOx： </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 xml:space="preserve">   </w:t>
                  </w:r>
                  <w:r>
                    <w:rPr>
                      <w:rFonts w:ascii="Times New Roman" w:hAnsi="Times New Roman" w:eastAsia="宋体"/>
                      <w:caps w:val="0"/>
                      <w:color w:val="000000" w:themeColor="text1"/>
                      <w:kern w:val="0"/>
                      <w:sz w:val="21"/>
                      <w:szCs w:val="21"/>
                      <w:highlight w:val="none"/>
                      <w14:textFill>
                        <w14:solidFill>
                          <w14:schemeClr w14:val="tx1"/>
                        </w14:solidFill>
                      </w14:textFill>
                    </w:rPr>
                    <w:t>t/a</w:t>
                  </w:r>
                </w:p>
              </w:tc>
              <w:tc>
                <w:tcPr>
                  <w:tcW w:w="2740" w:type="dxa"/>
                  <w:gridSpan w:val="2"/>
                  <w:tcBorders>
                    <w:tl2br w:val="nil"/>
                    <w:tr2bl w:val="nil"/>
                  </w:tcBorders>
                  <w:vAlign w:val="center"/>
                </w:tcPr>
                <w:p>
                  <w:pPr>
                    <w:autoSpaceDE w:val="0"/>
                    <w:autoSpaceDN w:val="0"/>
                    <w:adjustRightInd w:val="0"/>
                    <w:snapToGrid w:val="0"/>
                    <w:spacing w:line="320" w:lineRule="exact"/>
                    <w:jc w:val="center"/>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VOCs:</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0.329</w:t>
                  </w:r>
                  <w:r>
                    <w:rPr>
                      <w:rFonts w:ascii="Times New Roman" w:hAnsi="Times New Roman" w:eastAsia="宋体"/>
                      <w:caps w:val="0"/>
                      <w:color w:val="000000" w:themeColor="text1"/>
                      <w:kern w:val="0"/>
                      <w:sz w:val="21"/>
                      <w:szCs w:val="21"/>
                      <w:highlight w:val="none"/>
                      <w14:textFill>
                        <w14:solidFill>
                          <w14:schemeClr w14:val="tx1"/>
                        </w14:solidFill>
                      </w14:textFill>
                    </w:rPr>
                    <w:t>t/a</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443" w:hRule="atLeast"/>
              </w:trPr>
              <w:tc>
                <w:tcPr>
                  <w:tcW w:w="8794" w:type="dxa"/>
                  <w:gridSpan w:val="9"/>
                  <w:tcBorders>
                    <w:tl2br w:val="nil"/>
                    <w:tr2bl w:val="nil"/>
                  </w:tcBorders>
                  <w:vAlign w:val="center"/>
                </w:tcPr>
                <w:p>
                  <w:pPr>
                    <w:widowControl/>
                    <w:autoSpaceDE w:val="0"/>
                    <w:autoSpaceDN w:val="0"/>
                    <w:adjustRightInd w:val="0"/>
                    <w:snapToGrid w:val="0"/>
                    <w:spacing w:line="320" w:lineRule="exact"/>
                    <w:jc w:val="left"/>
                    <w:textAlignment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注：“□”，填“√”；“（  ）”为内容填写项</w:t>
                  </w:r>
                </w:p>
              </w:tc>
            </w:tr>
          </w:tbl>
          <w:p>
            <w:pPr>
              <w:widowControl/>
              <w:autoSpaceDE w:val="0"/>
              <w:adjustRightInd w:val="0"/>
              <w:snapToGrid w:val="0"/>
              <w:spacing w:line="360" w:lineRule="auto"/>
              <w:ind w:firstLine="482" w:firstLineChars="200"/>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br w:type="textWrapping"/>
            </w:r>
            <w:r>
              <w:rPr>
                <w:rFonts w:ascii="Times New Roman" w:hAnsi="Times New Roman" w:eastAsia="宋体"/>
                <w:b/>
                <w:bCs/>
                <w:caps w:val="0"/>
                <w:color w:val="000000" w:themeColor="text1"/>
                <w:sz w:val="24"/>
                <w:highlight w:val="none"/>
                <w14:textFill>
                  <w14:solidFill>
                    <w14:schemeClr w14:val="tx1"/>
                  </w14:solidFill>
                </w14:textFill>
              </w:rPr>
              <w:t>2、水环境影响分析</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项目无生产废水排放，生活污水</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经化粪池处理后</w:t>
            </w:r>
            <w:r>
              <w:rPr>
                <w:rFonts w:ascii="Times New Roman" w:hAnsi="Times New Roman" w:eastAsia="宋体"/>
                <w:caps w:val="0"/>
                <w:color w:val="000000" w:themeColor="text1"/>
                <w:sz w:val="24"/>
                <w:highlight w:val="none"/>
                <w14:textFill>
                  <w14:solidFill>
                    <w14:schemeClr w14:val="tx1"/>
                  </w14:solidFill>
                </w14:textFill>
              </w:rPr>
              <w:t>，接管排繁昌县第二污水处理厂集中处理。根据项目水污染防治措施工程方案及区域水环境质量状况的现状分析，本项目水环境影响类别为水污染影响型。</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本项目的排放方式为直接排放，根据水污染影响型建设项目评价等级判定本项目的评价等级为三级A，评价内容应包括：水污染控制和水环境减缓措施有效性评价、水环境影响评价。</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（1）水污染控制和水环境减缓措施有效性评价</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本项目生活污水排放量</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840</w:t>
            </w:r>
            <w:r>
              <w:rPr>
                <w:rFonts w:ascii="Times New Roman" w:hAnsi="Times New Roman" w:eastAsia="宋体"/>
                <w:caps w:val="0"/>
                <w:color w:val="000000" w:themeColor="text1"/>
                <w:sz w:val="24"/>
                <w:highlight w:val="none"/>
                <w14:textFill>
                  <w14:solidFill>
                    <w14:schemeClr w14:val="tx1"/>
                  </w14:solidFill>
                </w14:textFill>
              </w:rPr>
              <w:t>t/a，废水排放水质预计为：COD</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100</w:t>
            </w:r>
            <w:r>
              <w:rPr>
                <w:rFonts w:ascii="Times New Roman" w:hAnsi="Times New Roman" w:eastAsia="宋体"/>
                <w:caps w:val="0"/>
                <w:color w:val="000000" w:themeColor="text1"/>
                <w:sz w:val="24"/>
                <w:highlight w:val="none"/>
                <w14:textFill>
                  <w14:solidFill>
                    <w14:schemeClr w14:val="tx1"/>
                  </w14:solidFill>
                </w14:textFill>
              </w:rPr>
              <w:t>mg/L、BOD</w:t>
            </w:r>
            <w:r>
              <w:rPr>
                <w:rFonts w:ascii="Times New Roman" w:hAnsi="Times New Roman" w:eastAsia="宋体"/>
                <w:caps w:val="0"/>
                <w:color w:val="000000" w:themeColor="text1"/>
                <w:sz w:val="24"/>
                <w:highlight w:val="none"/>
                <w:vertAlign w:val="subscript"/>
                <w14:textFill>
                  <w14:solidFill>
                    <w14:schemeClr w14:val="tx1"/>
                  </w14:solidFill>
                </w14:textFill>
              </w:rPr>
              <w:t>5</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20</w:t>
            </w:r>
            <w:r>
              <w:rPr>
                <w:rFonts w:ascii="Times New Roman" w:hAnsi="Times New Roman" w:eastAsia="宋体"/>
                <w:caps w:val="0"/>
                <w:color w:val="000000" w:themeColor="text1"/>
                <w:sz w:val="24"/>
                <w:highlight w:val="none"/>
                <w14:textFill>
                  <w14:solidFill>
                    <w14:schemeClr w14:val="tx1"/>
                  </w14:solidFill>
                </w14:textFill>
              </w:rPr>
              <w:t>mg/L、SS</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70</w:t>
            </w:r>
            <w:r>
              <w:rPr>
                <w:rFonts w:ascii="Times New Roman" w:hAnsi="Times New Roman" w:eastAsia="宋体"/>
                <w:caps w:val="0"/>
                <w:color w:val="000000" w:themeColor="text1"/>
                <w:sz w:val="24"/>
                <w:highlight w:val="none"/>
                <w14:textFill>
                  <w14:solidFill>
                    <w14:schemeClr w14:val="tx1"/>
                  </w14:solidFill>
                </w14:textFill>
              </w:rPr>
              <w:t>mg/L、NH</w:t>
            </w:r>
            <w:r>
              <w:rPr>
                <w:rFonts w:ascii="Times New Roman" w:hAnsi="Times New Roman" w:eastAsia="宋体"/>
                <w:caps w:val="0"/>
                <w:color w:val="000000" w:themeColor="text1"/>
                <w:sz w:val="24"/>
                <w:highlight w:val="none"/>
                <w:vertAlign w:val="subscript"/>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-N</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15</w:t>
            </w:r>
            <w:r>
              <w:rPr>
                <w:rFonts w:ascii="Times New Roman" w:hAnsi="Times New Roman" w:eastAsia="宋体"/>
                <w:caps w:val="0"/>
                <w:color w:val="000000" w:themeColor="text1"/>
                <w:sz w:val="24"/>
                <w:highlight w:val="none"/>
                <w14:textFill>
                  <w14:solidFill>
                    <w14:schemeClr w14:val="tx1"/>
                  </w14:solidFill>
                </w14:textFill>
              </w:rPr>
              <w:t>mg/L，</w:t>
            </w:r>
            <w:r>
              <w:rPr>
                <w:rFonts w:ascii="Times New Roman" w:hAnsi="Times New Roman" w:eastAsia="宋体"/>
                <w:caps w:val="0"/>
                <w:color w:val="000000" w:themeColor="text1"/>
                <w:sz w:val="24"/>
                <w:highlight w:val="none"/>
                <w14:textFill>
                  <w14:solidFill>
                    <w14:schemeClr w14:val="tx1"/>
                  </w14:solidFill>
                </w14:textFill>
              </w:rPr>
              <w:t>本项目污水</w:t>
            </w:r>
            <w:r>
              <w:rPr>
                <w:rFonts w:hint="eastAsia" w:ascii="Times New Roman" w:hAnsi="Times New Roman"/>
                <w:caps w:val="0"/>
                <w:color w:val="000000" w:themeColor="text1"/>
                <w:sz w:val="24"/>
                <w:highlight w:val="none"/>
                <w:lang w:val="en-US" w:eastAsia="zh-CN"/>
                <w14:textFill>
                  <w14:solidFill>
                    <w14:schemeClr w14:val="tx1"/>
                  </w14:solidFill>
                </w14:textFill>
              </w:rPr>
              <w:t>经化粪池预处理后</w:t>
            </w:r>
            <w:r>
              <w:rPr>
                <w:rFonts w:ascii="Times New Roman" w:hAnsi="Times New Roman" w:eastAsia="宋体"/>
                <w:caps w:val="0"/>
                <w:color w:val="000000" w:themeColor="text1"/>
                <w:sz w:val="24"/>
                <w:highlight w:val="none"/>
                <w14:textFill>
                  <w14:solidFill>
                    <w14:schemeClr w14:val="tx1"/>
                  </w14:solidFill>
                </w14:textFill>
              </w:rPr>
              <w:t>排入市政污水管网，进繁昌县第二污水处理厂处理。</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项目生活污水水质简单，不会对污水处理</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厂</w:t>
            </w:r>
            <w:r>
              <w:rPr>
                <w:rFonts w:ascii="Times New Roman" w:hAnsi="Times New Roman" w:eastAsia="宋体"/>
                <w:caps w:val="0"/>
                <w:color w:val="000000" w:themeColor="text1"/>
                <w:sz w:val="24"/>
                <w:highlight w:val="none"/>
                <w14:textFill>
                  <w14:solidFill>
                    <w14:schemeClr w14:val="tx1"/>
                  </w14:solidFill>
                </w14:textFill>
              </w:rPr>
              <w:t>造成冲击，从处理能力和处理效果上，本项目废水依托现有污水处理设施是可行的。</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（2）水环境影响评价</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项目废水量</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840</w:t>
            </w:r>
            <w:r>
              <w:rPr>
                <w:rFonts w:ascii="Times New Roman" w:hAnsi="Times New Roman" w:eastAsia="宋体"/>
                <w:caps w:val="0"/>
                <w:color w:val="000000" w:themeColor="text1"/>
                <w:sz w:val="24"/>
                <w:highlight w:val="none"/>
                <w14:textFill>
                  <w14:solidFill>
                    <w14:schemeClr w14:val="tx1"/>
                  </w14:solidFill>
                </w14:textFill>
              </w:rPr>
              <w:t>t/a，</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经化粪池</w:t>
            </w:r>
            <w:r>
              <w:rPr>
                <w:rFonts w:ascii="Times New Roman" w:hAnsi="Times New Roman" w:eastAsia="宋体"/>
                <w:caps w:val="0"/>
                <w:color w:val="000000" w:themeColor="text1"/>
                <w:sz w:val="24"/>
                <w:highlight w:val="none"/>
                <w14:textFill>
                  <w14:solidFill>
                    <w14:schemeClr w14:val="tx1"/>
                  </w14:solidFill>
                </w14:textFill>
              </w:rPr>
              <w:t>预处理后能够满足《污水综合排放标准》(GB8978-1996) 中</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三</w:t>
            </w:r>
            <w:r>
              <w:rPr>
                <w:rFonts w:ascii="Times New Roman" w:hAnsi="Times New Roman" w:eastAsia="宋体"/>
                <w:caps w:val="0"/>
                <w:color w:val="000000" w:themeColor="text1"/>
                <w:sz w:val="24"/>
                <w:highlight w:val="none"/>
                <w14:textFill>
                  <w14:solidFill>
                    <w14:schemeClr w14:val="tx1"/>
                  </w14:solidFill>
                </w14:textFill>
              </w:rPr>
              <w:t>级标准</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后</w:t>
            </w:r>
            <w:r>
              <w:rPr>
                <w:rFonts w:ascii="Times New Roman" w:hAnsi="Times New Roman" w:eastAsia="宋体"/>
                <w:caps w:val="0"/>
                <w:color w:val="000000" w:themeColor="text1"/>
                <w:sz w:val="24"/>
                <w:highlight w:val="none"/>
                <w14:textFill>
                  <w14:solidFill>
                    <w14:schemeClr w14:val="tx1"/>
                  </w14:solidFill>
                </w14:textFill>
              </w:rPr>
              <w:t>接管排入市政污水管网进繁昌县第二污水处理厂处理，对环境影响不大。</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综上所述，本项目全厂外排废水能够满足《污水综合排放标准》(GB8978-1996) 中</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三</w:t>
            </w:r>
            <w:r>
              <w:rPr>
                <w:rFonts w:ascii="Times New Roman" w:hAnsi="Times New Roman" w:eastAsia="宋体"/>
                <w:caps w:val="0"/>
                <w:color w:val="000000" w:themeColor="text1"/>
                <w:sz w:val="24"/>
                <w:highlight w:val="none"/>
                <w14:textFill>
                  <w14:solidFill>
                    <w14:schemeClr w14:val="tx1"/>
                  </w14:solidFill>
                </w14:textFill>
              </w:rPr>
              <w:t>级标准</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后</w:t>
            </w:r>
            <w:r>
              <w:rPr>
                <w:rFonts w:ascii="Times New Roman" w:hAnsi="Times New Roman" w:eastAsia="宋体"/>
                <w:caps w:val="0"/>
                <w:color w:val="000000" w:themeColor="text1"/>
                <w:sz w:val="24"/>
                <w:highlight w:val="none"/>
                <w14:textFill>
                  <w14:solidFill>
                    <w14:schemeClr w14:val="tx1"/>
                  </w14:solidFill>
                </w14:textFill>
              </w:rPr>
              <w:t>排入市政污水管网进繁昌县第二污水处理厂处理，对环境影响不大。</w:t>
            </w:r>
          </w:p>
          <w:p>
            <w:pPr>
              <w:widowControl/>
              <w:autoSpaceDE w:val="0"/>
              <w:adjustRightInd w:val="0"/>
              <w:snapToGrid w:val="0"/>
              <w:spacing w:line="360" w:lineRule="auto"/>
              <w:ind w:firstLine="482" w:firstLineChars="200"/>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3、营运期声环境影响分析</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本项目的噪声主要来源于车间内的各种生产设备及风机等，其噪声源强在75~90dB(A)。</w:t>
            </w:r>
            <w:r>
              <w:rPr>
                <w:rFonts w:hint="eastAsia" w:ascii="Times New Roman" w:hAnsi="Times New Roman" w:eastAsia="宋体"/>
                <w:caps w:val="0"/>
                <w:color w:val="000000" w:themeColor="text1"/>
                <w:sz w:val="24"/>
                <w:highlight w:val="none"/>
                <w14:textFill>
                  <w14:solidFill>
                    <w14:schemeClr w14:val="tx1"/>
                  </w14:solidFill>
                </w14:textFill>
              </w:rPr>
              <w:t>为使厂区厂界噪声排放达到《工业企业厂界环境噪声排放标准》（GB12348-2008）相应标准限值要求，设计时尽量选用低噪声设备，采取隔声减振措施，高噪声设备均安置在室内，通过设备减振、厂房隔声、消声等措施能较好地降低噪声向外环境的辐射量，具体防治措施如下：</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（1）从声源上降噪</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根据项目噪声源特征，建议在设计和设备采购阶段，优先选用低噪声设备，从而从声源上降低设备本身的噪声。</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（2）从传播途径上降噪</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①通过室内、厂房隔声，可使其噪声源强降低 20dB(A)。</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②通过对风机安装减震垫、消音器和厂房隔声，可使其噪声源强降低 25dB(A)。</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③采取安装隔声罩、消音器和低噪声填料等措施，可使冷却塔源强降低 25dB(A)。</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采用“闹静分开”和合理布局的设施原则，尽量将高噪声源远离厂界和敏感点。在车间、厂区周围建设一定高度的隔声屏障，如围墙等减少对车间和厂区外声环境的影响，并种植一定的乔木、灌木等，降低噪声的污染。日常管理中加强设备维护，确保设备处于良好的运转状态，杜绝因设备不正常运转时产生的高噪声现象。对各类噪声源采取上述降噪措施后，可确保厂界噪声达标排放。</w:t>
            </w:r>
          </w:p>
          <w:p>
            <w:pPr>
              <w:autoSpaceDE w:val="0"/>
              <w:adjustRightInd w:val="0"/>
              <w:snapToGrid w:val="0"/>
              <w:spacing w:line="360" w:lineRule="auto"/>
              <w:ind w:firstLine="48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为了解本项目运营噪声对周围声环境的影响，本评价采用以下预测模式对噪声进行预测和评价：</w:t>
            </w:r>
          </w:p>
          <w:p>
            <w:pPr>
              <w:pStyle w:val="88"/>
              <w:autoSpaceDE w:val="0"/>
              <w:adjustRightInd w:val="0"/>
              <w:snapToGrid w:val="0"/>
              <w:spacing w:before="0" w:line="360" w:lineRule="auto"/>
              <w:ind w:firstLine="482" w:firstLineChars="0"/>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（1）预测模式</w:t>
            </w:r>
          </w:p>
          <w:p>
            <w:pPr>
              <w:pStyle w:val="88"/>
              <w:autoSpaceDE w:val="0"/>
              <w:adjustRightInd w:val="0"/>
              <w:snapToGrid w:val="0"/>
              <w:spacing w:before="0" w:line="360" w:lineRule="auto"/>
              <w:ind w:firstLine="482" w:firstLineChars="0"/>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选择《环境影响评价技术导则－声环境》（</w:t>
            </w:r>
            <w:r>
              <w:rPr>
                <w:rFonts w:ascii="Times New Roman" w:hAnsi="Times New Roman" w:eastAsia="宋体"/>
                <w:caps w:val="0"/>
                <w:color w:val="000000" w:themeColor="text1"/>
                <w:spacing w:val="-4"/>
                <w:sz w:val="24"/>
                <w:szCs w:val="24"/>
                <w:highlight w:val="none"/>
                <w14:textFill>
                  <w14:solidFill>
                    <w14:schemeClr w14:val="tx1"/>
                  </w14:solidFill>
                </w14:textFill>
              </w:rPr>
              <w:t>HJ2.4－2009</w:t>
            </w:r>
            <w:r>
              <w:rPr>
                <w:rFonts w:ascii="Times New Roman" w:hAnsi="Times New Roman" w:eastAsia="宋体"/>
                <w:caps w:val="0"/>
                <w:color w:val="000000" w:themeColor="text1"/>
                <w:sz w:val="24"/>
                <w:szCs w:val="24"/>
                <w:highlight w:val="none"/>
                <w14:textFill>
                  <w14:solidFill>
                    <w14:schemeClr w14:val="tx1"/>
                  </w14:solidFill>
                </w14:textFill>
              </w:rPr>
              <w:t>）中推荐的半自由声场点声源衰减模式，具体模式如下：</w:t>
            </w:r>
          </w:p>
          <w:p>
            <w:pPr>
              <w:autoSpaceDE w:val="0"/>
              <w:adjustRightInd w:val="0"/>
              <w:snapToGrid w:val="0"/>
              <w:spacing w:line="360" w:lineRule="auto"/>
              <w:ind w:firstLine="1160"/>
              <w:rPr>
                <w:rFonts w:ascii="Times New Roman" w:hAnsi="Times New Roman" w:eastAsia="宋体"/>
                <w:caps w:val="0"/>
                <w:color w:val="000000" w:themeColor="text1"/>
                <w:spacing w:val="-4"/>
                <w:sz w:val="24"/>
                <w:highlight w:val="none"/>
                <w14:textFill>
                  <w14:solidFill>
                    <w14:schemeClr w14:val="tx1"/>
                  </w14:solidFill>
                </w14:textFill>
              </w:rPr>
            </w:pPr>
            <w:r>
              <w:rPr>
                <w:rFonts w:ascii="Times New Roman" w:hAnsi="Times New Roman" w:eastAsia="宋体"/>
                <w:caps w:val="0"/>
                <w:color w:val="000000" w:themeColor="text1"/>
                <w:spacing w:val="-4"/>
                <w:sz w:val="24"/>
                <w:highlight w:val="none"/>
                <w14:textFill>
                  <w14:solidFill>
                    <w14:schemeClr w14:val="tx1"/>
                  </w14:solidFill>
                </w14:textFill>
              </w:rPr>
              <w:t>L</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A（r）</w:t>
            </w:r>
            <w:r>
              <w:rPr>
                <w:rFonts w:ascii="Times New Roman" w:hAnsi="Times New Roman" w:eastAsia="宋体"/>
                <w:caps w:val="0"/>
                <w:color w:val="000000" w:themeColor="text1"/>
                <w:spacing w:val="-4"/>
                <w:sz w:val="24"/>
                <w:highlight w:val="none"/>
                <w14:textFill>
                  <w14:solidFill>
                    <w14:schemeClr w14:val="tx1"/>
                  </w14:solidFill>
                </w14:textFill>
              </w:rPr>
              <w:t>=L</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Aref（r0）</w:t>
            </w:r>
            <w:r>
              <w:rPr>
                <w:rFonts w:ascii="Times New Roman" w:hAnsi="Times New Roman" w:eastAsia="宋体"/>
                <w:caps w:val="0"/>
                <w:color w:val="000000" w:themeColor="text1"/>
                <w:spacing w:val="-4"/>
                <w:sz w:val="24"/>
                <w:highlight w:val="none"/>
                <w14:textFill>
                  <w14:solidFill>
                    <w14:schemeClr w14:val="tx1"/>
                  </w14:solidFill>
                </w14:textFill>
              </w:rPr>
              <w:t>－（A</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div</w:t>
            </w:r>
            <w:r>
              <w:rPr>
                <w:rFonts w:ascii="Times New Roman" w:hAnsi="Times New Roman" w:eastAsia="宋体"/>
                <w:caps w:val="0"/>
                <w:color w:val="000000" w:themeColor="text1"/>
                <w:spacing w:val="-4"/>
                <w:sz w:val="24"/>
                <w:highlight w:val="none"/>
                <w14:textFill>
                  <w14:solidFill>
                    <w14:schemeClr w14:val="tx1"/>
                  </w14:solidFill>
                </w14:textFill>
              </w:rPr>
              <w:t>+A</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bar</w:t>
            </w:r>
            <w:r>
              <w:rPr>
                <w:rFonts w:ascii="Times New Roman" w:hAnsi="Times New Roman" w:eastAsia="宋体"/>
                <w:caps w:val="0"/>
                <w:color w:val="000000" w:themeColor="text1"/>
                <w:spacing w:val="-4"/>
                <w:sz w:val="24"/>
                <w:highlight w:val="none"/>
                <w14:textFill>
                  <w14:solidFill>
                    <w14:schemeClr w14:val="tx1"/>
                  </w14:solidFill>
                </w14:textFill>
              </w:rPr>
              <w:t>+A</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atm</w:t>
            </w:r>
            <w:r>
              <w:rPr>
                <w:rFonts w:ascii="Times New Roman" w:hAnsi="Times New Roman" w:eastAsia="宋体"/>
                <w:caps w:val="0"/>
                <w:color w:val="000000" w:themeColor="text1"/>
                <w:spacing w:val="-4"/>
                <w:sz w:val="24"/>
                <w:highlight w:val="none"/>
                <w14:textFill>
                  <w14:solidFill>
                    <w14:schemeClr w14:val="tx1"/>
                  </w14:solidFill>
                </w14:textFill>
              </w:rPr>
              <w:t>+A</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exc</w:t>
            </w:r>
            <w:r>
              <w:rPr>
                <w:rFonts w:ascii="Times New Roman" w:hAnsi="Times New Roman" w:eastAsia="宋体"/>
                <w:caps w:val="0"/>
                <w:color w:val="000000" w:themeColor="text1"/>
                <w:spacing w:val="-4"/>
                <w:sz w:val="24"/>
                <w:highlight w:val="none"/>
                <w14:textFill>
                  <w14:solidFill>
                    <w14:schemeClr w14:val="tx1"/>
                  </w14:solidFill>
                </w14:textFill>
              </w:rPr>
              <w:t>）</w:t>
            </w:r>
          </w:p>
          <w:p>
            <w:pPr>
              <w:autoSpaceDE w:val="0"/>
              <w:adjustRightInd w:val="0"/>
              <w:snapToGrid w:val="0"/>
              <w:spacing w:line="360" w:lineRule="auto"/>
              <w:ind w:firstLine="464"/>
              <w:rPr>
                <w:rFonts w:ascii="Times New Roman" w:hAnsi="Times New Roman" w:eastAsia="宋体"/>
                <w:caps w:val="0"/>
                <w:color w:val="000000" w:themeColor="text1"/>
                <w:spacing w:val="-4"/>
                <w:sz w:val="24"/>
                <w:highlight w:val="none"/>
                <w14:textFill>
                  <w14:solidFill>
                    <w14:schemeClr w14:val="tx1"/>
                  </w14:solidFill>
                </w14:textFill>
              </w:rPr>
            </w:pPr>
            <w:r>
              <w:rPr>
                <w:rFonts w:ascii="Times New Roman" w:hAnsi="Times New Roman" w:eastAsia="宋体"/>
                <w:caps w:val="0"/>
                <w:color w:val="000000" w:themeColor="text1"/>
                <w:spacing w:val="-4"/>
                <w:sz w:val="24"/>
                <w:highlight w:val="none"/>
                <w14:textFill>
                  <w14:solidFill>
                    <w14:schemeClr w14:val="tx1"/>
                  </w14:solidFill>
                </w14:textFill>
              </w:rPr>
              <w:t>式中：L</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A（r）</w:t>
            </w:r>
            <w:r>
              <w:rPr>
                <w:rFonts w:ascii="Times New Roman" w:hAnsi="Times New Roman" w:eastAsia="宋体"/>
                <w:caps w:val="0"/>
                <w:color w:val="000000" w:themeColor="text1"/>
                <w:spacing w:val="-4"/>
                <w:sz w:val="24"/>
                <w:highlight w:val="none"/>
                <w14:textFill>
                  <w14:solidFill>
                    <w14:schemeClr w14:val="tx1"/>
                  </w14:solidFill>
                </w14:textFill>
              </w:rPr>
              <w:t>——距离声源r处A声级，dB（A）；</w:t>
            </w:r>
          </w:p>
          <w:p>
            <w:pPr>
              <w:autoSpaceDE w:val="0"/>
              <w:adjustRightInd w:val="0"/>
              <w:snapToGrid w:val="0"/>
              <w:spacing w:line="360" w:lineRule="auto"/>
              <w:ind w:firstLine="116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pacing w:val="-4"/>
                <w:sz w:val="24"/>
                <w:highlight w:val="none"/>
                <w14:textFill>
                  <w14:solidFill>
                    <w14:schemeClr w14:val="tx1"/>
                  </w14:solidFill>
                </w14:textFill>
              </w:rPr>
              <w:t>A</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Aref（r0）</w:t>
            </w:r>
            <w:r>
              <w:rPr>
                <w:rFonts w:ascii="Times New Roman" w:hAnsi="Times New Roman" w:eastAsia="宋体"/>
                <w:caps w:val="0"/>
                <w:color w:val="000000" w:themeColor="text1"/>
                <w:spacing w:val="-4"/>
                <w:sz w:val="24"/>
                <w:highlight w:val="none"/>
                <w14:textFill>
                  <w14:solidFill>
                    <w14:schemeClr w14:val="tx1"/>
                  </w14:solidFill>
                </w14:textFill>
              </w:rPr>
              <w:t>——参考位置r</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0</w:t>
            </w:r>
            <w:r>
              <w:rPr>
                <w:rFonts w:ascii="Times New Roman" w:hAnsi="Times New Roman" w:eastAsia="宋体"/>
                <w:caps w:val="0"/>
                <w:color w:val="000000" w:themeColor="text1"/>
                <w:spacing w:val="-4"/>
                <w:sz w:val="24"/>
                <w:highlight w:val="none"/>
                <w14:textFill>
                  <w14:solidFill>
                    <w14:schemeClr w14:val="tx1"/>
                  </w14:solidFill>
                </w14:textFill>
              </w:rPr>
              <w:t>处A声级，dB（A）；</w:t>
            </w:r>
          </w:p>
          <w:p>
            <w:pPr>
              <w:autoSpaceDE w:val="0"/>
              <w:adjustRightInd w:val="0"/>
              <w:snapToGrid w:val="0"/>
              <w:spacing w:line="360" w:lineRule="auto"/>
              <w:ind w:firstLine="1160"/>
              <w:rPr>
                <w:rFonts w:ascii="Times New Roman" w:hAnsi="Times New Roman" w:eastAsia="宋体"/>
                <w:caps w:val="0"/>
                <w:color w:val="000000" w:themeColor="text1"/>
                <w:spacing w:val="-4"/>
                <w:sz w:val="24"/>
                <w:highlight w:val="none"/>
                <w14:textFill>
                  <w14:solidFill>
                    <w14:schemeClr w14:val="tx1"/>
                  </w14:solidFill>
                </w14:textFill>
              </w:rPr>
            </w:pPr>
            <w:r>
              <w:rPr>
                <w:rFonts w:ascii="Times New Roman" w:hAnsi="Times New Roman" w:eastAsia="宋体"/>
                <w:caps w:val="0"/>
                <w:color w:val="000000" w:themeColor="text1"/>
                <w:spacing w:val="-4"/>
                <w:sz w:val="24"/>
                <w:highlight w:val="none"/>
                <w14:textFill>
                  <w14:solidFill>
                    <w14:schemeClr w14:val="tx1"/>
                  </w14:solidFill>
                </w14:textFill>
              </w:rPr>
              <w:t>A</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div</w:t>
            </w:r>
            <w:r>
              <w:rPr>
                <w:rFonts w:ascii="Times New Roman" w:hAnsi="Times New Roman" w:eastAsia="宋体"/>
                <w:caps w:val="0"/>
                <w:color w:val="000000" w:themeColor="text1"/>
                <w:spacing w:val="-4"/>
                <w:sz w:val="24"/>
                <w:highlight w:val="none"/>
                <w14:textFill>
                  <w14:solidFill>
                    <w14:schemeClr w14:val="tx1"/>
                  </w14:solidFill>
                </w14:textFill>
              </w:rPr>
              <w:t>——声波几何发散引起的A声级衰减量，dB（A）；</w:t>
            </w:r>
          </w:p>
          <w:p>
            <w:pPr>
              <w:autoSpaceDE w:val="0"/>
              <w:adjustRightInd w:val="0"/>
              <w:snapToGrid w:val="0"/>
              <w:spacing w:line="360" w:lineRule="auto"/>
              <w:ind w:firstLine="1160"/>
              <w:rPr>
                <w:rFonts w:ascii="Times New Roman" w:hAnsi="Times New Roman" w:eastAsia="宋体"/>
                <w:caps w:val="0"/>
                <w:color w:val="000000" w:themeColor="text1"/>
                <w:spacing w:val="-4"/>
                <w:sz w:val="24"/>
                <w:highlight w:val="none"/>
                <w14:textFill>
                  <w14:solidFill>
                    <w14:schemeClr w14:val="tx1"/>
                  </w14:solidFill>
                </w14:textFill>
              </w:rPr>
            </w:pPr>
            <w:r>
              <w:rPr>
                <w:rFonts w:ascii="Times New Roman" w:hAnsi="Times New Roman" w:eastAsia="宋体"/>
                <w:caps w:val="0"/>
                <w:color w:val="000000" w:themeColor="text1"/>
                <w:spacing w:val="-4"/>
                <w:sz w:val="24"/>
                <w:highlight w:val="none"/>
                <w14:textFill>
                  <w14:solidFill>
                    <w14:schemeClr w14:val="tx1"/>
                  </w14:solidFill>
                </w14:textFill>
              </w:rPr>
              <w:t>A</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bar</w:t>
            </w:r>
            <w:r>
              <w:rPr>
                <w:rFonts w:ascii="Times New Roman" w:hAnsi="Times New Roman" w:eastAsia="宋体"/>
                <w:caps w:val="0"/>
                <w:color w:val="000000" w:themeColor="text1"/>
                <w:spacing w:val="-4"/>
                <w:sz w:val="24"/>
                <w:highlight w:val="none"/>
                <w14:textFill>
                  <w14:solidFill>
                    <w14:schemeClr w14:val="tx1"/>
                  </w14:solidFill>
                </w14:textFill>
              </w:rPr>
              <w:t>——遮挡物引起的A声级衰减量，dB（A）；</w:t>
            </w:r>
          </w:p>
          <w:p>
            <w:pPr>
              <w:autoSpaceDE w:val="0"/>
              <w:adjustRightInd w:val="0"/>
              <w:snapToGrid w:val="0"/>
              <w:spacing w:line="360" w:lineRule="auto"/>
              <w:ind w:firstLine="1160"/>
              <w:rPr>
                <w:rFonts w:ascii="Times New Roman" w:hAnsi="Times New Roman" w:eastAsia="宋体"/>
                <w:caps w:val="0"/>
                <w:color w:val="000000" w:themeColor="text1"/>
                <w:spacing w:val="-4"/>
                <w:sz w:val="24"/>
                <w:highlight w:val="none"/>
                <w14:textFill>
                  <w14:solidFill>
                    <w14:schemeClr w14:val="tx1"/>
                  </w14:solidFill>
                </w14:textFill>
              </w:rPr>
            </w:pPr>
            <w:r>
              <w:rPr>
                <w:rFonts w:ascii="Times New Roman" w:hAnsi="Times New Roman" w:eastAsia="宋体"/>
                <w:caps w:val="0"/>
                <w:color w:val="000000" w:themeColor="text1"/>
                <w:spacing w:val="-4"/>
                <w:sz w:val="24"/>
                <w:highlight w:val="none"/>
                <w14:textFill>
                  <w14:solidFill>
                    <w14:schemeClr w14:val="tx1"/>
                  </w14:solidFill>
                </w14:textFill>
              </w:rPr>
              <w:t>A</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atm</w:t>
            </w:r>
            <w:r>
              <w:rPr>
                <w:rFonts w:ascii="Times New Roman" w:hAnsi="Times New Roman" w:eastAsia="宋体"/>
                <w:caps w:val="0"/>
                <w:color w:val="000000" w:themeColor="text1"/>
                <w:spacing w:val="-4"/>
                <w:sz w:val="24"/>
                <w:highlight w:val="none"/>
                <w14:textFill>
                  <w14:solidFill>
                    <w14:schemeClr w14:val="tx1"/>
                  </w14:solidFill>
                </w14:textFill>
              </w:rPr>
              <w:t>——空气吸收引起的A声级衰减量，dB（A）；</w:t>
            </w:r>
          </w:p>
          <w:p>
            <w:pPr>
              <w:autoSpaceDE w:val="0"/>
              <w:adjustRightInd w:val="0"/>
              <w:snapToGrid w:val="0"/>
              <w:spacing w:line="360" w:lineRule="auto"/>
              <w:ind w:firstLine="116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pacing w:val="-4"/>
                <w:sz w:val="24"/>
                <w:highlight w:val="none"/>
                <w14:textFill>
                  <w14:solidFill>
                    <w14:schemeClr w14:val="tx1"/>
                  </w14:solidFill>
                </w14:textFill>
              </w:rPr>
              <w:t>A</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exc</w:t>
            </w:r>
            <w:r>
              <w:rPr>
                <w:rFonts w:ascii="Times New Roman" w:hAnsi="Times New Roman" w:eastAsia="宋体"/>
                <w:caps w:val="0"/>
                <w:color w:val="000000" w:themeColor="text1"/>
                <w:spacing w:val="-4"/>
                <w:sz w:val="24"/>
                <w:highlight w:val="none"/>
                <w14:textFill>
                  <w14:solidFill>
                    <w14:schemeClr w14:val="tx1"/>
                  </w14:solidFill>
                </w14:textFill>
              </w:rPr>
              <w:t>——附加A声级衰减量，dB（A）。</w:t>
            </w:r>
          </w:p>
          <w:p>
            <w:pPr>
              <w:pStyle w:val="88"/>
              <w:autoSpaceDE w:val="0"/>
              <w:adjustRightInd w:val="0"/>
              <w:snapToGrid w:val="0"/>
              <w:spacing w:before="0" w:line="360" w:lineRule="auto"/>
              <w:ind w:firstLineChars="0"/>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根据上述公式，对主要生产设备噪声值进行叠加计算，预测项目实施后对厂界的影响。</w:t>
            </w:r>
          </w:p>
          <w:p>
            <w:pPr>
              <w:pStyle w:val="88"/>
              <w:autoSpaceDE w:val="0"/>
              <w:adjustRightInd w:val="0"/>
              <w:snapToGrid w:val="0"/>
              <w:spacing w:before="0" w:line="360" w:lineRule="auto"/>
              <w:ind w:firstLineChars="0"/>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（2）预测参数确定</w:t>
            </w:r>
          </w:p>
          <w:p>
            <w:pPr>
              <w:pStyle w:val="88"/>
              <w:autoSpaceDE w:val="0"/>
              <w:adjustRightInd w:val="0"/>
              <w:snapToGrid w:val="0"/>
              <w:spacing w:before="0" w:line="360" w:lineRule="auto"/>
              <w:ind w:firstLineChars="0"/>
              <w:rPr>
                <w:rFonts w:ascii="Times New Roman" w:hAnsi="Times New Roman" w:eastAsia="宋体"/>
                <w:caps w:val="0"/>
                <w:color w:val="000000" w:themeColor="text1"/>
                <w:spacing w:val="-4"/>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①</w:t>
            </w:r>
            <w:r>
              <w:rPr>
                <w:rFonts w:ascii="Times New Roman" w:hAnsi="Times New Roman" w:eastAsia="宋体"/>
                <w:caps w:val="0"/>
                <w:color w:val="000000" w:themeColor="text1"/>
                <w:sz w:val="24"/>
                <w:szCs w:val="24"/>
                <w:highlight w:val="none"/>
                <w14:textFill>
                  <w14:solidFill>
                    <w14:schemeClr w14:val="tx1"/>
                  </w14:solidFill>
                </w14:textFill>
              </w:rPr>
              <w:t>几何发散衰</w:t>
            </w:r>
            <w:r>
              <w:rPr>
                <w:rFonts w:ascii="Times New Roman" w:hAnsi="Times New Roman" w:eastAsia="宋体"/>
                <w:caps w:val="0"/>
                <w:color w:val="000000" w:themeColor="text1"/>
                <w:spacing w:val="-4"/>
                <w:sz w:val="24"/>
                <w:szCs w:val="24"/>
                <w:highlight w:val="none"/>
                <w14:textFill>
                  <w14:solidFill>
                    <w14:schemeClr w14:val="tx1"/>
                  </w14:solidFill>
                </w14:textFill>
              </w:rPr>
              <w:t>减量A</w:t>
            </w:r>
            <w:r>
              <w:rPr>
                <w:rFonts w:ascii="Times New Roman" w:hAnsi="Times New Roman" w:eastAsia="宋体"/>
                <w:caps w:val="0"/>
                <w:color w:val="000000" w:themeColor="text1"/>
                <w:spacing w:val="-4"/>
                <w:sz w:val="24"/>
                <w:szCs w:val="24"/>
                <w:highlight w:val="none"/>
                <w:vertAlign w:val="subscript"/>
                <w14:textFill>
                  <w14:solidFill>
                    <w14:schemeClr w14:val="tx1"/>
                  </w14:solidFill>
                </w14:textFill>
              </w:rPr>
              <w:t>div</w:t>
            </w:r>
          </w:p>
          <w:p>
            <w:pPr>
              <w:pStyle w:val="88"/>
              <w:autoSpaceDE w:val="0"/>
              <w:adjustRightInd w:val="0"/>
              <w:snapToGrid w:val="0"/>
              <w:spacing w:before="0" w:line="360" w:lineRule="auto"/>
              <w:ind w:firstLine="464" w:firstLineChars="0"/>
              <w:rPr>
                <w:rFonts w:ascii="Times New Roman" w:hAnsi="Times New Roman" w:eastAsia="宋体"/>
                <w:caps w:val="0"/>
                <w:color w:val="000000" w:themeColor="text1"/>
                <w:spacing w:val="-4"/>
                <w:sz w:val="24"/>
                <w:szCs w:val="24"/>
                <w:highlight w:val="none"/>
                <w14:textFill>
                  <w14:solidFill>
                    <w14:schemeClr w14:val="tx1"/>
                  </w14:solidFill>
                </w14:textFill>
              </w:rPr>
            </w:pPr>
            <w:r>
              <w:rPr>
                <w:rFonts w:ascii="Times New Roman" w:hAnsi="Times New Roman" w:eastAsia="宋体"/>
                <w:caps w:val="0"/>
                <w:color w:val="000000" w:themeColor="text1"/>
                <w:spacing w:val="-4"/>
                <w:sz w:val="24"/>
                <w:szCs w:val="24"/>
                <w:highlight w:val="none"/>
                <w14:textFill>
                  <w14:solidFill>
                    <w14:schemeClr w14:val="tx1"/>
                  </w14:solidFill>
                </w14:textFill>
              </w:rPr>
              <w:t>对于无指向性点声源，几何发散衰减量公式为：</w:t>
            </w:r>
          </w:p>
          <w:p>
            <w:pPr>
              <w:pStyle w:val="13"/>
              <w:autoSpaceDE w:val="0"/>
              <w:adjustRightInd w:val="0"/>
              <w:snapToGrid w:val="0"/>
              <w:spacing w:after="0" w:line="360" w:lineRule="auto"/>
              <w:ind w:left="560" w:firstLine="464"/>
              <w:jc w:val="center"/>
              <w:rPr>
                <w:rFonts w:ascii="Times New Roman" w:hAnsi="Times New Roman" w:eastAsia="宋体"/>
                <w:caps w:val="0"/>
                <w:color w:val="000000" w:themeColor="text1"/>
                <w:spacing w:val="-4"/>
                <w:sz w:val="24"/>
                <w:highlight w:val="none"/>
                <w14:textFill>
                  <w14:solidFill>
                    <w14:schemeClr w14:val="tx1"/>
                  </w14:solidFill>
                </w14:textFill>
              </w:rPr>
            </w:pPr>
            <w:r>
              <w:rPr>
                <w:rFonts w:ascii="Times New Roman" w:hAnsi="Times New Roman" w:eastAsia="宋体"/>
                <w:caps w:val="0"/>
                <w:color w:val="000000" w:themeColor="text1"/>
                <w:spacing w:val="-4"/>
                <w:sz w:val="24"/>
                <w:highlight w:val="none"/>
                <w14:textFill>
                  <w14:solidFill>
                    <w14:schemeClr w14:val="tx1"/>
                  </w14:solidFill>
                </w14:textFill>
              </w:rPr>
              <w:t>A</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div</w:t>
            </w:r>
            <w:r>
              <w:rPr>
                <w:rFonts w:ascii="Times New Roman" w:hAnsi="Times New Roman" w:eastAsia="宋体"/>
                <w:caps w:val="0"/>
                <w:color w:val="000000" w:themeColor="text1"/>
                <w:spacing w:val="-4"/>
                <w:sz w:val="24"/>
                <w:highlight w:val="none"/>
                <w14:textFill>
                  <w14:solidFill>
                    <w14:schemeClr w14:val="tx1"/>
                  </w14:solidFill>
                </w14:textFill>
              </w:rPr>
              <w:t>＝20lg（r/r</w:t>
            </w:r>
            <w:r>
              <w:rPr>
                <w:rFonts w:ascii="Times New Roman" w:hAnsi="Times New Roman" w:eastAsia="宋体"/>
                <w:caps w:val="0"/>
                <w:color w:val="000000" w:themeColor="text1"/>
                <w:spacing w:val="-4"/>
                <w:sz w:val="24"/>
                <w:highlight w:val="none"/>
                <w:vertAlign w:val="subscript"/>
                <w14:textFill>
                  <w14:solidFill>
                    <w14:schemeClr w14:val="tx1"/>
                  </w14:solidFill>
                </w14:textFill>
              </w:rPr>
              <w:t>0</w:t>
            </w:r>
            <w:r>
              <w:rPr>
                <w:rFonts w:ascii="Times New Roman" w:hAnsi="Times New Roman" w:eastAsia="宋体"/>
                <w:caps w:val="0"/>
                <w:color w:val="000000" w:themeColor="text1"/>
                <w:spacing w:val="-4"/>
                <w:sz w:val="24"/>
                <w:highlight w:val="none"/>
                <w14:textFill>
                  <w14:solidFill>
                    <w14:schemeClr w14:val="tx1"/>
                  </w14:solidFill>
                </w14:textFill>
              </w:rPr>
              <w:t>）</w:t>
            </w:r>
          </w:p>
          <w:p>
            <w:pPr>
              <w:pStyle w:val="88"/>
              <w:autoSpaceDE w:val="0"/>
              <w:adjustRightInd w:val="0"/>
              <w:snapToGrid w:val="0"/>
              <w:spacing w:before="0" w:line="360" w:lineRule="auto"/>
              <w:ind w:firstLineChars="0"/>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②</w:t>
            </w:r>
            <w:r>
              <w:rPr>
                <w:rFonts w:ascii="Times New Roman" w:hAnsi="Times New Roman" w:eastAsia="宋体"/>
                <w:caps w:val="0"/>
                <w:color w:val="000000" w:themeColor="text1"/>
                <w:sz w:val="24"/>
                <w:szCs w:val="24"/>
                <w:highlight w:val="none"/>
                <w14:textFill>
                  <w14:solidFill>
                    <w14:schemeClr w14:val="tx1"/>
                  </w14:solidFill>
                </w14:textFill>
              </w:rPr>
              <w:t>遮挡物衰减量A</w:t>
            </w:r>
            <w:r>
              <w:rPr>
                <w:rFonts w:ascii="Times New Roman" w:hAnsi="Times New Roman" w:eastAsia="宋体"/>
                <w:caps w:val="0"/>
                <w:color w:val="000000" w:themeColor="text1"/>
                <w:sz w:val="24"/>
                <w:szCs w:val="24"/>
                <w:highlight w:val="none"/>
                <w:vertAlign w:val="subscript"/>
                <w14:textFill>
                  <w14:solidFill>
                    <w14:schemeClr w14:val="tx1"/>
                  </w14:solidFill>
                </w14:textFill>
              </w:rPr>
              <w:t>ba</w:t>
            </w:r>
          </w:p>
          <w:p>
            <w:pPr>
              <w:pStyle w:val="88"/>
              <w:autoSpaceDE w:val="0"/>
              <w:adjustRightInd w:val="0"/>
              <w:snapToGrid w:val="0"/>
              <w:spacing w:before="0" w:line="360" w:lineRule="auto"/>
              <w:ind w:firstLineChars="0"/>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噪声源辐射的噪声由室内传播至室外遇到围墙或建筑物等障碍物时引起的能量衰减。对于安装在厂房内的设备，预测时主要考虑厂房墙壁等围栏结构产生的衰减量。</w:t>
            </w:r>
          </w:p>
          <w:p>
            <w:pPr>
              <w:pStyle w:val="88"/>
              <w:autoSpaceDE w:val="0"/>
              <w:adjustRightInd w:val="0"/>
              <w:snapToGrid w:val="0"/>
              <w:spacing w:before="0" w:line="360" w:lineRule="auto"/>
              <w:ind w:firstLineChars="0"/>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③</w:t>
            </w:r>
            <w:r>
              <w:rPr>
                <w:rFonts w:ascii="Times New Roman" w:hAnsi="Times New Roman" w:eastAsia="宋体"/>
                <w:caps w:val="0"/>
                <w:color w:val="000000" w:themeColor="text1"/>
                <w:sz w:val="24"/>
                <w:szCs w:val="24"/>
                <w:highlight w:val="none"/>
                <w14:textFill>
                  <w14:solidFill>
                    <w14:schemeClr w14:val="tx1"/>
                  </w14:solidFill>
                </w14:textFill>
              </w:rPr>
              <w:t>空气吸收衰减量A</w:t>
            </w:r>
            <w:r>
              <w:rPr>
                <w:rFonts w:ascii="Times New Roman" w:hAnsi="Times New Roman" w:eastAsia="宋体"/>
                <w:caps w:val="0"/>
                <w:color w:val="000000" w:themeColor="text1"/>
                <w:sz w:val="24"/>
                <w:szCs w:val="24"/>
                <w:highlight w:val="none"/>
                <w:vertAlign w:val="subscript"/>
                <w14:textFill>
                  <w14:solidFill>
                    <w14:schemeClr w14:val="tx1"/>
                  </w14:solidFill>
                </w14:textFill>
              </w:rPr>
              <w:t>atm</w:t>
            </w:r>
          </w:p>
          <w:p>
            <w:pPr>
              <w:pStyle w:val="88"/>
              <w:autoSpaceDE w:val="0"/>
              <w:adjustRightInd w:val="0"/>
              <w:snapToGrid w:val="0"/>
              <w:spacing w:before="0" w:line="360" w:lineRule="auto"/>
              <w:ind w:firstLineChars="0"/>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空气吸收衰减量与几何发散衰减量相比很小，计算中忽略空气吸收衰减量。</w:t>
            </w:r>
          </w:p>
          <w:p>
            <w:pPr>
              <w:pStyle w:val="88"/>
              <w:autoSpaceDE w:val="0"/>
              <w:adjustRightInd w:val="0"/>
              <w:snapToGrid w:val="0"/>
              <w:spacing w:before="0" w:line="360" w:lineRule="auto"/>
              <w:ind w:firstLineChars="0"/>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s="宋体"/>
                <w:caps w:val="0"/>
                <w:color w:val="000000" w:themeColor="text1"/>
                <w:sz w:val="24"/>
                <w:szCs w:val="24"/>
                <w:highlight w:val="none"/>
                <w14:textFill>
                  <w14:solidFill>
                    <w14:schemeClr w14:val="tx1"/>
                  </w14:solidFill>
                </w14:textFill>
              </w:rPr>
              <w:t>④</w:t>
            </w:r>
            <w:r>
              <w:rPr>
                <w:rFonts w:ascii="Times New Roman" w:hAnsi="Times New Roman" w:eastAsia="宋体"/>
                <w:caps w:val="0"/>
                <w:color w:val="000000" w:themeColor="text1"/>
                <w:sz w:val="24"/>
                <w:szCs w:val="24"/>
                <w:highlight w:val="none"/>
                <w14:textFill>
                  <w14:solidFill>
                    <w14:schemeClr w14:val="tx1"/>
                  </w14:solidFill>
                </w14:textFill>
              </w:rPr>
              <w:t>附加衰减量A</w:t>
            </w:r>
            <w:r>
              <w:rPr>
                <w:rFonts w:ascii="Times New Roman" w:hAnsi="Times New Roman" w:eastAsia="宋体"/>
                <w:caps w:val="0"/>
                <w:color w:val="000000" w:themeColor="text1"/>
                <w:sz w:val="24"/>
                <w:szCs w:val="24"/>
                <w:highlight w:val="none"/>
                <w:vertAlign w:val="subscript"/>
                <w14:textFill>
                  <w14:solidFill>
                    <w14:schemeClr w14:val="tx1"/>
                  </w14:solidFill>
                </w14:textFill>
              </w:rPr>
              <w:t>exc</w:t>
            </w:r>
          </w:p>
          <w:p>
            <w:pPr>
              <w:pStyle w:val="88"/>
              <w:autoSpaceDE w:val="0"/>
              <w:adjustRightInd w:val="0"/>
              <w:snapToGrid w:val="0"/>
              <w:spacing w:before="0" w:line="360" w:lineRule="auto"/>
              <w:ind w:firstLineChars="0"/>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当预测距离大于50m且声源与预测点的高度差小于3m时，主要考虑地面效应引起的附加衰减量[上限为10dB（A）]，否则忽略附加衰减量：</w:t>
            </w:r>
          </w:p>
          <w:p>
            <w:pPr>
              <w:pStyle w:val="17"/>
              <w:autoSpaceDE w:val="0"/>
              <w:adjustRightInd w:val="0"/>
              <w:snapToGrid w:val="0"/>
              <w:spacing w:line="360" w:lineRule="auto"/>
              <w:ind w:firstLine="464"/>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pacing w:val="-4"/>
                <w:sz w:val="24"/>
                <w:szCs w:val="24"/>
                <w:highlight w:val="none"/>
                <w14:textFill>
                  <w14:solidFill>
                    <w14:schemeClr w14:val="tx1"/>
                  </w14:solidFill>
                </w14:textFill>
              </w:rPr>
              <w:t>A</w:t>
            </w:r>
            <w:r>
              <w:rPr>
                <w:rFonts w:ascii="Times New Roman" w:hAnsi="Times New Roman" w:eastAsia="宋体"/>
                <w:caps w:val="0"/>
                <w:color w:val="000000" w:themeColor="text1"/>
                <w:spacing w:val="-4"/>
                <w:sz w:val="24"/>
                <w:szCs w:val="24"/>
                <w:highlight w:val="none"/>
                <w:vertAlign w:val="subscript"/>
                <w14:textFill>
                  <w14:solidFill>
                    <w14:schemeClr w14:val="tx1"/>
                  </w14:solidFill>
                </w14:textFill>
              </w:rPr>
              <w:t>exc</w:t>
            </w:r>
            <w:r>
              <w:rPr>
                <w:rFonts w:ascii="Times New Roman" w:hAnsi="Times New Roman" w:eastAsia="宋体"/>
                <w:caps w:val="0"/>
                <w:color w:val="000000" w:themeColor="text1"/>
                <w:spacing w:val="-4"/>
                <w:sz w:val="24"/>
                <w:szCs w:val="24"/>
                <w:highlight w:val="none"/>
                <w14:textFill>
                  <w14:solidFill>
                    <w14:schemeClr w14:val="tx1"/>
                  </w14:solidFill>
                </w14:textFill>
              </w:rPr>
              <w:t>＝5lg（r/r</w:t>
            </w:r>
            <w:r>
              <w:rPr>
                <w:rFonts w:ascii="Times New Roman" w:hAnsi="Times New Roman" w:eastAsia="宋体"/>
                <w:caps w:val="0"/>
                <w:color w:val="000000" w:themeColor="text1"/>
                <w:spacing w:val="-4"/>
                <w:sz w:val="24"/>
                <w:szCs w:val="24"/>
                <w:highlight w:val="none"/>
                <w:vertAlign w:val="subscript"/>
                <w14:textFill>
                  <w14:solidFill>
                    <w14:schemeClr w14:val="tx1"/>
                  </w14:solidFill>
                </w14:textFill>
              </w:rPr>
              <w:t>0</w:t>
            </w:r>
            <w:r>
              <w:rPr>
                <w:rFonts w:ascii="Times New Roman" w:hAnsi="Times New Roman" w:eastAsia="宋体"/>
                <w:caps w:val="0"/>
                <w:color w:val="000000" w:themeColor="text1"/>
                <w:spacing w:val="-4"/>
                <w:sz w:val="24"/>
                <w:szCs w:val="24"/>
                <w:highlight w:val="none"/>
                <w14:textFill>
                  <w14:solidFill>
                    <w14:schemeClr w14:val="tx1"/>
                  </w14:solidFill>
                </w14:textFill>
              </w:rPr>
              <w:t>）</w:t>
            </w:r>
          </w:p>
          <w:p>
            <w:pPr>
              <w:autoSpaceDE w:val="0"/>
              <w:adjustRightInd w:val="0"/>
              <w:snapToGrid w:val="0"/>
              <w:spacing w:line="360" w:lineRule="auto"/>
              <w:ind w:firstLine="480" w:firstLineChars="200"/>
              <w:rPr>
                <w:rFonts w:ascii="Times New Roman" w:hAnsi="Times New Roman" w:eastAsia="宋体"/>
                <w:caps w:val="0"/>
                <w:color w:val="000000" w:themeColor="text1"/>
                <w:spacing w:val="-4"/>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（3）多声源叠加</w:t>
            </w:r>
            <w:r>
              <w:rPr>
                <w:rFonts w:ascii="Times New Roman" w:hAnsi="Times New Roman" w:eastAsia="宋体"/>
                <w:caps w:val="0"/>
                <w:color w:val="000000" w:themeColor="text1"/>
                <w:spacing w:val="-4"/>
                <w:sz w:val="24"/>
                <w:highlight w:val="none"/>
                <w14:textFill>
                  <w14:solidFill>
                    <w14:schemeClr w14:val="tx1"/>
                  </w14:solidFill>
                </w14:textFill>
              </w:rPr>
              <w:t>模式</w:t>
            </w:r>
          </w:p>
          <w:p>
            <w:pPr>
              <w:autoSpaceDE w:val="0"/>
              <w:adjustRightInd w:val="0"/>
              <w:snapToGrid w:val="0"/>
              <w:spacing w:line="360" w:lineRule="auto"/>
              <w:ind w:firstLine="2640" w:firstLineChars="1100"/>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position w:val="-28"/>
                <w:sz w:val="24"/>
                <w:highlight w:val="none"/>
                <w14:textFill>
                  <w14:solidFill>
                    <w14:schemeClr w14:val="tx1"/>
                  </w14:solidFill>
                </w14:textFill>
              </w:rPr>
              <w:drawing>
                <wp:inline distT="0" distB="0" distL="114300" distR="114300">
                  <wp:extent cx="1228725" cy="431165"/>
                  <wp:effectExtent l="0" t="0" r="0" b="6350"/>
                  <wp:docPr id="94" name="图片 8" descr="wpsC9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8" descr="wpsC9B9"/>
                          <pic:cNvPicPr>
                            <a:picLocks noChangeAspect="1"/>
                          </pic:cNvPicPr>
                        </pic:nvPicPr>
                        <pic:blipFill>
                          <a:blip r:embed="rId8"/>
                          <a:stretch>
                            <a:fillRect/>
                          </a:stretch>
                        </pic:blipFill>
                        <pic:spPr>
                          <a:xfrm>
                            <a:off x="0" y="0"/>
                            <a:ext cx="1228725" cy="431165"/>
                          </a:xfrm>
                          <a:prstGeom prst="rect">
                            <a:avLst/>
                          </a:prstGeom>
                          <a:noFill/>
                          <a:ln>
                            <a:noFill/>
                          </a:ln>
                        </pic:spPr>
                      </pic:pic>
                    </a:graphicData>
                  </a:graphic>
                </wp:inline>
              </w:drawing>
            </w:r>
          </w:p>
          <w:p>
            <w:pPr>
              <w:autoSpaceDE w:val="0"/>
              <w:adjustRightInd w:val="0"/>
              <w:snapToGrid w:val="0"/>
              <w:spacing w:line="360" w:lineRule="auto"/>
              <w:ind w:right="56" w:rightChars="20" w:firstLine="1320" w:firstLineChars="55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式中：L</w:t>
            </w:r>
            <w:r>
              <w:rPr>
                <w:rFonts w:ascii="Times New Roman" w:hAnsi="Times New Roman" w:eastAsia="宋体"/>
                <w:caps w:val="0"/>
                <w:color w:val="000000" w:themeColor="text1"/>
                <w:sz w:val="24"/>
                <w:highlight w:val="none"/>
                <w:vertAlign w:val="subscript"/>
                <w14:textFill>
                  <w14:solidFill>
                    <w14:schemeClr w14:val="tx1"/>
                  </w14:solidFill>
                </w14:textFill>
              </w:rPr>
              <w:t>0</w:t>
            </w:r>
            <w:r>
              <w:rPr>
                <w:rFonts w:ascii="Times New Roman" w:hAnsi="Times New Roman" w:eastAsia="宋体"/>
                <w:caps w:val="0"/>
                <w:color w:val="000000" w:themeColor="text1"/>
                <w:kern w:val="24"/>
                <w:sz w:val="24"/>
                <w:highlight w:val="none"/>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叠加后总声压级，dB(A)；</w:t>
            </w:r>
          </w:p>
          <w:p>
            <w:pPr>
              <w:autoSpaceDE w:val="0"/>
              <w:adjustRightInd w:val="0"/>
              <w:snapToGrid w:val="0"/>
              <w:spacing w:line="360" w:lineRule="auto"/>
              <w:ind w:right="56" w:rightChars="20" w:firstLine="2040" w:firstLineChars="85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n</w:t>
            </w:r>
            <w:r>
              <w:rPr>
                <w:rFonts w:ascii="Times New Roman" w:hAnsi="Times New Roman" w:eastAsia="宋体"/>
                <w:caps w:val="0"/>
                <w:color w:val="000000" w:themeColor="text1"/>
                <w:kern w:val="24"/>
                <w:sz w:val="24"/>
                <w:highlight w:val="none"/>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 xml:space="preserve"> 声源级数；</w:t>
            </w:r>
          </w:p>
          <w:p>
            <w:pPr>
              <w:autoSpaceDE w:val="0"/>
              <w:adjustRightInd w:val="0"/>
              <w:snapToGrid w:val="0"/>
              <w:spacing w:line="360" w:lineRule="auto"/>
              <w:ind w:right="56" w:rightChars="20" w:firstLine="2040" w:firstLineChars="85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 xml:space="preserve">Li </w:t>
            </w:r>
            <w:r>
              <w:rPr>
                <w:rFonts w:ascii="Times New Roman" w:hAnsi="Times New Roman" w:eastAsia="宋体"/>
                <w:caps w:val="0"/>
                <w:color w:val="000000" w:themeColor="text1"/>
                <w:kern w:val="24"/>
                <w:sz w:val="24"/>
                <w:highlight w:val="none"/>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各声源对某点的声压值，dB(A)。</w:t>
            </w:r>
          </w:p>
          <w:p>
            <w:pPr>
              <w:pStyle w:val="42"/>
              <w:autoSpaceDE w:val="0"/>
              <w:snapToGrid w:val="0"/>
              <w:spacing w:line="360" w:lineRule="auto"/>
              <w:ind w:firstLine="480" w:firstLineChars="200"/>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highlight w:val="none"/>
                <w14:textFill>
                  <w14:solidFill>
                    <w14:schemeClr w14:val="tx1"/>
                  </w14:solidFill>
                </w14:textFill>
              </w:rPr>
              <w:t>根据预测模式计算出各噪声源传播至厂界的总声压级，结果见下表：</w:t>
            </w:r>
          </w:p>
          <w:p>
            <w:pPr>
              <w:widowControl/>
              <w:snapToGrid w:val="0"/>
              <w:ind w:firstLine="482" w:firstLineChars="200"/>
              <w:jc w:val="center"/>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表7-</w:t>
            </w: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6</w:t>
            </w:r>
            <w:r>
              <w:rPr>
                <w:rFonts w:ascii="Times New Roman" w:hAnsi="Times New Roman" w:eastAsia="宋体"/>
                <w:b/>
                <w:bCs/>
                <w:caps w:val="0"/>
                <w:color w:val="000000" w:themeColor="text1"/>
                <w:sz w:val="24"/>
                <w:highlight w:val="none"/>
                <w14:textFill>
                  <w14:solidFill>
                    <w14:schemeClr w14:val="tx1"/>
                  </w14:solidFill>
                </w14:textFill>
              </w:rPr>
              <w:t xml:space="preserve">  项目噪声源强预测结果统计表  单位：dB(A)</w:t>
            </w:r>
          </w:p>
          <w:tbl>
            <w:tblPr>
              <w:tblStyle w:val="32"/>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586"/>
              <w:gridCol w:w="1418"/>
              <w:gridCol w:w="2106"/>
              <w:gridCol w:w="1948"/>
              <w:gridCol w:w="1309"/>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restart"/>
                  <w:tcBorders>
                    <w:tl2br w:val="nil"/>
                    <w:tr2bl w:val="nil"/>
                  </w:tcBorders>
                  <w:vAlign w:val="center"/>
                </w:tcPr>
                <w:p>
                  <w:pPr>
                    <w:widowControl/>
                    <w:autoSpaceDE w:val="0"/>
                    <w:adjustRightIn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序号</w:t>
                  </w:r>
                </w:p>
              </w:tc>
              <w:tc>
                <w:tcPr>
                  <w:tcW w:w="901" w:type="pct"/>
                  <w:vMerge w:val="restart"/>
                  <w:tcBorders>
                    <w:tl2br w:val="nil"/>
                    <w:tr2bl w:val="nil"/>
                  </w:tcBorders>
                  <w:vAlign w:val="center"/>
                </w:tcPr>
                <w:p>
                  <w:pPr>
                    <w:widowControl/>
                    <w:autoSpaceDE w:val="0"/>
                    <w:adjustRightIn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位置</w:t>
                  </w:r>
                </w:p>
              </w:tc>
              <w:tc>
                <w:tcPr>
                  <w:tcW w:w="806" w:type="pct"/>
                  <w:vMerge w:val="restart"/>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贡献值</w:t>
                  </w:r>
                </w:p>
              </w:tc>
              <w:tc>
                <w:tcPr>
                  <w:tcW w:w="1197" w:type="pct"/>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hint="eastAsia" w:ascii="Times New Roman" w:hAnsi="Times New Roman" w:eastAsia="宋体"/>
                      <w:b/>
                      <w:bCs/>
                      <w:caps w:val="0"/>
                      <w:color w:val="000000" w:themeColor="text1"/>
                      <w:sz w:val="21"/>
                      <w:szCs w:val="21"/>
                      <w:highlight w:val="none"/>
                      <w14:textFill>
                        <w14:solidFill>
                          <w14:schemeClr w14:val="tx1"/>
                        </w14:solidFill>
                      </w14:textFill>
                    </w:rPr>
                    <w:t>现状值</w:t>
                  </w:r>
                </w:p>
              </w:tc>
              <w:tc>
                <w:tcPr>
                  <w:tcW w:w="1107" w:type="pct"/>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预测值</w:t>
                  </w:r>
                </w:p>
              </w:tc>
              <w:tc>
                <w:tcPr>
                  <w:tcW w:w="744" w:type="pct"/>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标准值</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widowControl/>
                    <w:autoSpaceDE w:val="0"/>
                    <w:adjustRightInd w:val="0"/>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901" w:type="pct"/>
                  <w:vMerge w:val="continue"/>
                  <w:tcBorders>
                    <w:tl2br w:val="nil"/>
                    <w:tr2bl w:val="nil"/>
                  </w:tcBorders>
                  <w:vAlign w:val="center"/>
                </w:tcPr>
                <w:p>
                  <w:pPr>
                    <w:widowControl/>
                    <w:autoSpaceDE w:val="0"/>
                    <w:adjustRightInd w:val="0"/>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806" w:type="pct"/>
                  <w:vMerge w:val="continue"/>
                  <w:tcBorders>
                    <w:tl2br w:val="nil"/>
                    <w:tr2bl w:val="nil"/>
                  </w:tcBorders>
                  <w:vAlign w:val="center"/>
                </w:tcPr>
                <w:p>
                  <w:pPr>
                    <w:autoSpaceDE w:val="0"/>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p>
              </w:tc>
              <w:tc>
                <w:tcPr>
                  <w:tcW w:w="1197" w:type="pct"/>
                  <w:tcBorders>
                    <w:tl2br w:val="nil"/>
                    <w:tr2bl w:val="nil"/>
                  </w:tcBorders>
                  <w:vAlign w:val="center"/>
                </w:tcPr>
                <w:p>
                  <w:pPr>
                    <w:autoSpaceDE w:val="0"/>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昼间</w:t>
                  </w:r>
                </w:p>
              </w:tc>
              <w:tc>
                <w:tcPr>
                  <w:tcW w:w="1107" w:type="pct"/>
                  <w:tcBorders>
                    <w:tl2br w:val="nil"/>
                    <w:tr2bl w:val="nil"/>
                  </w:tcBorders>
                  <w:vAlign w:val="center"/>
                </w:tcPr>
                <w:p>
                  <w:pPr>
                    <w:autoSpaceDE w:val="0"/>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昼间</w:t>
                  </w:r>
                </w:p>
              </w:tc>
              <w:tc>
                <w:tcPr>
                  <w:tcW w:w="744" w:type="pct"/>
                  <w:tcBorders>
                    <w:tl2br w:val="nil"/>
                    <w:tr2bl w:val="nil"/>
                  </w:tcBorders>
                  <w:vAlign w:val="center"/>
                </w:tcPr>
                <w:p>
                  <w:pPr>
                    <w:widowControl/>
                    <w:autoSpaceDE w:val="0"/>
                    <w:adjustRightInd w:val="0"/>
                    <w:snapToGrid w:val="0"/>
                    <w:jc w:val="center"/>
                    <w:rPr>
                      <w:rFonts w:ascii="Times New Roman" w:hAnsi="Times New Roman" w:eastAsia="宋体"/>
                      <w:b/>
                      <w:bCs/>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昼间</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2"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1</w:t>
                  </w:r>
                </w:p>
              </w:tc>
              <w:tc>
                <w:tcPr>
                  <w:tcW w:w="901" w:type="pct"/>
                  <w:tcBorders>
                    <w:tl2br w:val="nil"/>
                    <w:tr2bl w:val="nil"/>
                  </w:tcBorders>
                  <w:vAlign w:val="center"/>
                </w:tcPr>
                <w:p>
                  <w:pPr>
                    <w:spacing w:line="40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厂界东</w:t>
                  </w:r>
                </w:p>
              </w:tc>
              <w:tc>
                <w:tcPr>
                  <w:tcW w:w="806"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41.2</w:t>
                  </w:r>
                </w:p>
              </w:tc>
              <w:tc>
                <w:tcPr>
                  <w:tcW w:w="1197" w:type="pct"/>
                  <w:tcBorders>
                    <w:tl2br w:val="nil"/>
                    <w:tr2bl w:val="nil"/>
                  </w:tcBorders>
                  <w:vAlign w:val="center"/>
                </w:tcPr>
                <w:p>
                  <w:pPr>
                    <w:pStyle w:val="86"/>
                    <w:ind w:right="2" w:rightChars="0"/>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52.0</w:t>
                  </w:r>
                </w:p>
              </w:tc>
              <w:tc>
                <w:tcPr>
                  <w:tcW w:w="1948" w:type="dxa"/>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 xml:space="preserve">52.35 </w:t>
                  </w:r>
                </w:p>
              </w:tc>
              <w:tc>
                <w:tcPr>
                  <w:tcW w:w="744" w:type="pct"/>
                  <w:vMerge w:val="restart"/>
                  <w:tcBorders>
                    <w:tl2br w:val="nil"/>
                    <w:tr2bl w:val="nil"/>
                  </w:tcBorders>
                  <w:vAlign w:val="center"/>
                </w:tcPr>
                <w:p>
                  <w:pPr>
                    <w:widowControl/>
                    <w:autoSpaceDE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65</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2"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w:t>
                  </w:r>
                </w:p>
              </w:tc>
              <w:tc>
                <w:tcPr>
                  <w:tcW w:w="901" w:type="pct"/>
                  <w:tcBorders>
                    <w:tl2br w:val="nil"/>
                    <w:tr2bl w:val="nil"/>
                  </w:tcBorders>
                  <w:vAlign w:val="center"/>
                </w:tcPr>
                <w:p>
                  <w:pPr>
                    <w:spacing w:line="40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厂界南</w:t>
                  </w:r>
                </w:p>
              </w:tc>
              <w:tc>
                <w:tcPr>
                  <w:tcW w:w="806"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40.3</w:t>
                  </w:r>
                </w:p>
              </w:tc>
              <w:tc>
                <w:tcPr>
                  <w:tcW w:w="1197" w:type="pct"/>
                  <w:tcBorders>
                    <w:tl2br w:val="nil"/>
                    <w:tr2bl w:val="nil"/>
                  </w:tcBorders>
                  <w:vAlign w:val="center"/>
                </w:tcPr>
                <w:p>
                  <w:pPr>
                    <w:pStyle w:val="86"/>
                    <w:ind w:right="2" w:rightChars="0"/>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53.4</w:t>
                  </w:r>
                </w:p>
              </w:tc>
              <w:tc>
                <w:tcPr>
                  <w:tcW w:w="1948" w:type="dxa"/>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 xml:space="preserve">53.61 </w:t>
                  </w:r>
                </w:p>
              </w:tc>
              <w:tc>
                <w:tcPr>
                  <w:tcW w:w="744" w:type="pct"/>
                  <w:vMerge w:val="continue"/>
                  <w:tcBorders>
                    <w:tl2br w:val="nil"/>
                    <w:tr2bl w:val="nil"/>
                  </w:tcBorders>
                  <w:vAlign w:val="center"/>
                </w:tcPr>
                <w:p>
                  <w:pPr>
                    <w:widowControl/>
                    <w:autoSpaceDE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2"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3</w:t>
                  </w:r>
                </w:p>
              </w:tc>
              <w:tc>
                <w:tcPr>
                  <w:tcW w:w="901" w:type="pct"/>
                  <w:tcBorders>
                    <w:tl2br w:val="nil"/>
                    <w:tr2bl w:val="nil"/>
                  </w:tcBorders>
                  <w:vAlign w:val="center"/>
                </w:tcPr>
                <w:p>
                  <w:pPr>
                    <w:spacing w:line="40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厂界西</w:t>
                  </w:r>
                </w:p>
              </w:tc>
              <w:tc>
                <w:tcPr>
                  <w:tcW w:w="806"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39.3</w:t>
                  </w:r>
                </w:p>
              </w:tc>
              <w:tc>
                <w:tcPr>
                  <w:tcW w:w="1197" w:type="pct"/>
                  <w:tcBorders>
                    <w:tl2br w:val="nil"/>
                    <w:tr2bl w:val="nil"/>
                  </w:tcBorders>
                  <w:vAlign w:val="center"/>
                </w:tcPr>
                <w:p>
                  <w:pPr>
                    <w:pStyle w:val="86"/>
                    <w:ind w:right="2" w:rightChars="0"/>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53.9</w:t>
                  </w:r>
                </w:p>
              </w:tc>
              <w:tc>
                <w:tcPr>
                  <w:tcW w:w="1948" w:type="dxa"/>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 xml:space="preserve">54.05 </w:t>
                  </w:r>
                </w:p>
              </w:tc>
              <w:tc>
                <w:tcPr>
                  <w:tcW w:w="744" w:type="pct"/>
                  <w:vMerge w:val="continue"/>
                  <w:tcBorders>
                    <w:tl2br w:val="nil"/>
                    <w:tr2bl w:val="nil"/>
                  </w:tcBorders>
                  <w:vAlign w:val="center"/>
                </w:tcPr>
                <w:p>
                  <w:pPr>
                    <w:widowControl/>
                    <w:autoSpaceDE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2"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4</w:t>
                  </w:r>
                </w:p>
              </w:tc>
              <w:tc>
                <w:tcPr>
                  <w:tcW w:w="901" w:type="pct"/>
                  <w:tcBorders>
                    <w:tl2br w:val="nil"/>
                    <w:tr2bl w:val="nil"/>
                  </w:tcBorders>
                  <w:vAlign w:val="center"/>
                </w:tcPr>
                <w:p>
                  <w:pPr>
                    <w:spacing w:line="40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厂界北</w:t>
                  </w:r>
                </w:p>
              </w:tc>
              <w:tc>
                <w:tcPr>
                  <w:tcW w:w="806" w:type="pct"/>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pacing w:val="4"/>
                      <w:kern w:val="18"/>
                      <w:sz w:val="21"/>
                      <w:szCs w:val="21"/>
                      <w:highlight w:val="none"/>
                      <w:lang w:val="en-US" w:eastAsia="zh-CN"/>
                      <w14:textFill>
                        <w14:solidFill>
                          <w14:schemeClr w14:val="tx1"/>
                        </w14:solidFill>
                      </w14:textFill>
                    </w:rPr>
                    <w:t>40.9</w:t>
                  </w:r>
                </w:p>
              </w:tc>
              <w:tc>
                <w:tcPr>
                  <w:tcW w:w="1197" w:type="pct"/>
                  <w:tcBorders>
                    <w:tl2br w:val="nil"/>
                    <w:tr2bl w:val="nil"/>
                  </w:tcBorders>
                  <w:vAlign w:val="center"/>
                </w:tcPr>
                <w:p>
                  <w:pPr>
                    <w:pStyle w:val="86"/>
                    <w:ind w:right="2" w:rightChars="0"/>
                    <w:jc w:val="center"/>
                    <w:rPr>
                      <w:rFonts w:hint="default" w:ascii="Times New Roman" w:hAnsi="Times New Roman" w:eastAsia="宋体"/>
                      <w:caps w:val="0"/>
                      <w:color w:val="000000" w:themeColor="text1"/>
                      <w:sz w:val="21"/>
                      <w:szCs w:val="21"/>
                      <w:highlight w:val="none"/>
                      <w:lang w:val="en-US"/>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54.2</w:t>
                  </w:r>
                </w:p>
              </w:tc>
              <w:tc>
                <w:tcPr>
                  <w:tcW w:w="1948" w:type="dxa"/>
                  <w:tcBorders>
                    <w:tl2br w:val="nil"/>
                    <w:tr2bl w:val="nil"/>
                  </w:tcBorders>
                  <w:vAlign w:val="center"/>
                </w:tcPr>
                <w:p>
                  <w:pPr>
                    <w:spacing w:line="40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 xml:space="preserve">54.40 </w:t>
                  </w:r>
                </w:p>
              </w:tc>
              <w:tc>
                <w:tcPr>
                  <w:tcW w:w="744" w:type="pct"/>
                  <w:vMerge w:val="continue"/>
                  <w:tcBorders>
                    <w:tl2br w:val="nil"/>
                    <w:tr2bl w:val="nil"/>
                  </w:tcBorders>
                  <w:vAlign w:val="center"/>
                </w:tcPr>
                <w:p>
                  <w:pPr>
                    <w:widowControl/>
                    <w:autoSpaceDE w:val="0"/>
                    <w:adjustRightInd w:val="0"/>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bl>
          <w:p>
            <w:pPr>
              <w:widowControl/>
              <w:autoSpaceDE w:val="0"/>
              <w:adjustRightInd w:val="0"/>
              <w:snapToGrid w:val="0"/>
              <w:spacing w:before="156" w:beforeLines="50"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由上表可知，本项目运营过程中产生的噪声经厂房隔声及距离衰减后，厂界噪声排放值满足《工业企业厂界环境噪声排放标准》（GB12348-2008）中的3类标准（昼间≤65dB(A)，夜间≤55dB(A)）</w:t>
            </w:r>
            <w:r>
              <w:rPr>
                <w:rFonts w:hint="eastAsia" w:ascii="Times New Roman" w:hAnsi="Times New Roman" w:eastAsia="宋体"/>
                <w:caps w:val="0"/>
                <w:color w:val="000000" w:themeColor="text1"/>
                <w:sz w:val="24"/>
                <w:highlight w:val="none"/>
                <w:lang w:eastAsia="zh-CN"/>
                <w14:textFill>
                  <w14:solidFill>
                    <w14:schemeClr w14:val="tx1"/>
                  </w14:solidFill>
                </w14:textFill>
              </w:rPr>
              <w:t>。</w:t>
            </w:r>
            <w:r>
              <w:rPr>
                <w:rFonts w:ascii="Times New Roman" w:hAnsi="Times New Roman" w:eastAsia="宋体"/>
                <w:caps w:val="0"/>
                <w:color w:val="000000" w:themeColor="text1"/>
                <w:sz w:val="24"/>
                <w:highlight w:val="none"/>
                <w14:textFill>
                  <w14:solidFill>
                    <w14:schemeClr w14:val="tx1"/>
                  </w14:solidFill>
                </w14:textFill>
              </w:rPr>
              <w:t>因此，本项目产生的噪声对周围声环境影响不大。</w:t>
            </w:r>
          </w:p>
          <w:p>
            <w:pPr>
              <w:spacing w:line="460" w:lineRule="exact"/>
              <w:ind w:firstLine="472" w:firstLineChars="196"/>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4、固体废物处置分析</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项目产生的固废分为一般固废和危险固废，建设项目固体废物主要来源及处置方式：</w:t>
            </w:r>
          </w:p>
          <w:p>
            <w:pPr>
              <w:widowControl/>
              <w:autoSpaceDE w:val="0"/>
              <w:adjustRightInd w:val="0"/>
              <w:snapToGrid w:val="0"/>
              <w:spacing w:line="360" w:lineRule="auto"/>
              <w:ind w:firstLine="482" w:firstLineChars="200"/>
              <w:jc w:val="center"/>
              <w:rPr>
                <w:rFonts w:hint="eastAsia" w:ascii="Times New Roman" w:hAnsi="Times New Roman" w:eastAsia="宋体"/>
                <w:b/>
                <w:bCs/>
                <w:caps w:val="0"/>
                <w:color w:val="000000" w:themeColor="text1"/>
                <w:sz w:val="24"/>
                <w:highlight w:val="none"/>
                <w14:textFill>
                  <w14:solidFill>
                    <w14:schemeClr w14:val="tx1"/>
                  </w14:solidFill>
                </w14:textFill>
              </w:rPr>
            </w:pPr>
            <w:r>
              <w:rPr>
                <w:rFonts w:hint="eastAsia" w:ascii="Times New Roman" w:hAnsi="Times New Roman" w:eastAsia="宋体"/>
                <w:b/>
                <w:bCs/>
                <w:caps w:val="0"/>
                <w:color w:val="000000" w:themeColor="text1"/>
                <w:sz w:val="24"/>
                <w:highlight w:val="none"/>
                <w14:textFill>
                  <w14:solidFill>
                    <w14:schemeClr w14:val="tx1"/>
                  </w14:solidFill>
                </w14:textFill>
              </w:rPr>
              <w:t>表7-</w:t>
            </w: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7</w:t>
            </w:r>
            <w:r>
              <w:rPr>
                <w:rFonts w:hint="eastAsia" w:ascii="Times New Roman" w:hAnsi="Times New Roman" w:eastAsia="宋体"/>
                <w:b/>
                <w:bCs/>
                <w:caps w:val="0"/>
                <w:color w:val="000000" w:themeColor="text1"/>
                <w:sz w:val="24"/>
                <w:highlight w:val="none"/>
                <w14:textFill>
                  <w14:solidFill>
                    <w14:schemeClr w14:val="tx1"/>
                  </w14:solidFill>
                </w14:textFill>
              </w:rPr>
              <w:t xml:space="preserve"> 固废处置情况</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1293"/>
              <w:gridCol w:w="1925"/>
              <w:gridCol w:w="1525"/>
              <w:gridCol w:w="1500"/>
              <w:gridCol w:w="13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序号</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名称</w:t>
                  </w:r>
                </w:p>
              </w:tc>
              <w:tc>
                <w:tcPr>
                  <w:tcW w:w="19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类别</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产生量（t/a）</w:t>
                  </w:r>
                </w:p>
              </w:tc>
              <w:tc>
                <w:tcPr>
                  <w:tcW w:w="150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处置方式</w:t>
                  </w:r>
                </w:p>
              </w:tc>
              <w:tc>
                <w:tcPr>
                  <w:tcW w:w="134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1</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生活垃圾</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7.5</w:t>
                  </w:r>
                </w:p>
              </w:tc>
              <w:tc>
                <w:tcPr>
                  <w:tcW w:w="150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交由环卫部门定期清运</w:t>
                  </w:r>
                </w:p>
              </w:tc>
              <w:tc>
                <w:tcPr>
                  <w:tcW w:w="134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2</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金属屑</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0.2</w:t>
                  </w:r>
                </w:p>
              </w:tc>
              <w:tc>
                <w:tcPr>
                  <w:tcW w:w="1500" w:type="dxa"/>
                  <w:vMerge w:val="restart"/>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集中收集后外售</w:t>
                  </w:r>
                </w:p>
              </w:tc>
              <w:tc>
                <w:tcPr>
                  <w:tcW w:w="134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3</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z w:val="21"/>
                      <w:szCs w:val="21"/>
                      <w:highlight w:val="none"/>
                      <w14:textFill>
                        <w14:solidFill>
                          <w14:schemeClr w14:val="tx1"/>
                        </w14:solidFill>
                      </w14:textFill>
                    </w:rPr>
                    <w:t>除尘装置收集粉尘</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一般固废</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0.891</w:t>
                  </w:r>
                </w:p>
              </w:tc>
              <w:tc>
                <w:tcPr>
                  <w:tcW w:w="1500" w:type="dxa"/>
                  <w:vMerge w:val="continue"/>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p>
              </w:tc>
              <w:tc>
                <w:tcPr>
                  <w:tcW w:w="134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4</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废桶</w:t>
                  </w:r>
                </w:p>
              </w:tc>
              <w:tc>
                <w:tcPr>
                  <w:tcW w:w="1925" w:type="dxa"/>
                  <w:noWrap w:val="0"/>
                  <w:vAlign w:val="center"/>
                </w:tcPr>
                <w:p>
                  <w:pPr>
                    <w:spacing w:line="240" w:lineRule="atLeast"/>
                    <w:ind w:firstLine="0" w:firstLineChars="0"/>
                    <w:jc w:val="center"/>
                    <w:rPr>
                      <w:rFonts w:hint="eastAsia" w:ascii="Times New Roman" w:hAnsi="Times New Roman" w:eastAsia="宋体" w:cs="Times New Roman"/>
                      <w:caps w:val="0"/>
                      <w:color w:val="000000" w:themeColor="text1"/>
                      <w:spacing w:val="4"/>
                      <w:kern w:val="18"/>
                      <w:sz w:val="21"/>
                      <w:szCs w:val="21"/>
                      <w:highlight w:val="none"/>
                      <w:lang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危险废物</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0.1</w:t>
                  </w:r>
                </w:p>
              </w:tc>
              <w:tc>
                <w:tcPr>
                  <w:tcW w:w="1500" w:type="dxa"/>
                  <w:vMerge w:val="restart"/>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交由资质单位处理</w:t>
                  </w: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5</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废活性炭</w:t>
                  </w:r>
                </w:p>
              </w:tc>
              <w:tc>
                <w:tcPr>
                  <w:tcW w:w="1925"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危险废物</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1.377</w:t>
                  </w:r>
                </w:p>
              </w:tc>
              <w:tc>
                <w:tcPr>
                  <w:tcW w:w="1500" w:type="dxa"/>
                  <w:vMerge w:val="continue"/>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6</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废油</w:t>
                  </w:r>
                </w:p>
              </w:tc>
              <w:tc>
                <w:tcPr>
                  <w:tcW w:w="1925" w:type="dxa"/>
                  <w:noWrap w:val="0"/>
                  <w:vAlign w:val="center"/>
                </w:tcPr>
                <w:p>
                  <w:pPr>
                    <w:spacing w:line="240" w:lineRule="atLeast"/>
                    <w:ind w:firstLine="0" w:firstLineChars="0"/>
                    <w:jc w:val="cente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危险废物</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1.35</w:t>
                  </w:r>
                </w:p>
              </w:tc>
              <w:tc>
                <w:tcPr>
                  <w:tcW w:w="1500" w:type="dxa"/>
                  <w:vMerge w:val="continue"/>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2"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7</w:t>
                  </w:r>
                </w:p>
              </w:tc>
              <w:tc>
                <w:tcPr>
                  <w:tcW w:w="1293"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含油抹布手套</w:t>
                  </w:r>
                </w:p>
              </w:tc>
              <w:tc>
                <w:tcPr>
                  <w:tcW w:w="1925" w:type="dxa"/>
                  <w:noWrap w:val="0"/>
                  <w:vAlign w:val="center"/>
                </w:tcPr>
                <w:p>
                  <w:pPr>
                    <w:spacing w:line="240" w:lineRule="atLeast"/>
                    <w:ind w:firstLine="0" w:firstLineChars="0"/>
                    <w:jc w:val="cente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危险废物</w:t>
                  </w:r>
                </w:p>
              </w:tc>
              <w:tc>
                <w:tcPr>
                  <w:tcW w:w="1525"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pacing w:val="4"/>
                      <w:kern w:val="18"/>
                      <w:sz w:val="21"/>
                      <w:szCs w:val="21"/>
                      <w:highlight w:val="none"/>
                      <w:lang w:val="en-US" w:eastAsia="zh-CN"/>
                      <w14:textFill>
                        <w14:solidFill>
                          <w14:schemeClr w14:val="tx1"/>
                        </w14:solidFill>
                      </w14:textFill>
                    </w:rPr>
                    <w:t>0.001</w:t>
                  </w:r>
                </w:p>
              </w:tc>
              <w:tc>
                <w:tcPr>
                  <w:tcW w:w="1500" w:type="dxa"/>
                  <w:noWrap w:val="0"/>
                  <w:vAlign w:val="center"/>
                </w:tcPr>
                <w:p>
                  <w:pPr>
                    <w:tabs>
                      <w:tab w:val="left" w:pos="0"/>
                    </w:tabs>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交由环卫部门定期清运</w:t>
                  </w:r>
                </w:p>
              </w:tc>
              <w:tc>
                <w:tcPr>
                  <w:tcW w:w="1340" w:type="dxa"/>
                  <w:noWrap w:val="0"/>
                  <w:vAlign w:val="center"/>
                </w:tcPr>
                <w:p>
                  <w:pPr>
                    <w:spacing w:line="240" w:lineRule="atLeast"/>
                    <w:ind w:firstLine="0" w:firstLineChars="0"/>
                    <w:jc w:val="cente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1"/>
                      <w:szCs w:val="21"/>
                      <w:highlight w:val="none"/>
                      <w14:textFill>
                        <w14:solidFill>
                          <w14:schemeClr w14:val="tx1"/>
                        </w14:solidFill>
                      </w14:textFill>
                    </w:rPr>
                    <w:t>0</w:t>
                  </w:r>
                </w:p>
              </w:tc>
            </w:tr>
          </w:tbl>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项目产生的各种固废应分类收集，危险废物且必须装入密闭容器内，分别存放在危险废物间内，做好防雨、防风、防晒、防渗等措施。本项目危废暂存间位于</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w:t>
            </w:r>
            <w:r>
              <w:rPr>
                <w:rFonts w:hint="eastAsia" w:ascii="Times New Roman" w:hAnsi="Times New Roman" w:eastAsia="宋体"/>
                <w:caps w:val="0"/>
                <w:color w:val="000000" w:themeColor="text1"/>
                <w:sz w:val="24"/>
                <w:highlight w:val="none"/>
                <w14:textFill>
                  <w14:solidFill>
                    <w14:schemeClr w14:val="tx1"/>
                  </w14:solidFill>
                </w14:textFill>
              </w:rPr>
              <w:t>#生产车间</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内</w:t>
            </w:r>
            <w:r>
              <w:rPr>
                <w:rFonts w:hint="eastAsia" w:ascii="Times New Roman" w:hAnsi="Times New Roman" w:eastAsia="宋体"/>
                <w:caps w:val="0"/>
                <w:color w:val="000000" w:themeColor="text1"/>
                <w:sz w:val="24"/>
                <w:highlight w:val="none"/>
                <w14:textFill>
                  <w14:solidFill>
                    <w14:schemeClr w14:val="tx1"/>
                  </w14:solidFill>
                </w14:textFill>
              </w:rPr>
              <w:t>，面积</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15</w:t>
            </w:r>
            <w:r>
              <w:rPr>
                <w:rFonts w:hint="eastAsia" w:ascii="Times New Roman" w:hAnsi="Times New Roman" w:eastAsia="宋体"/>
                <w:caps w:val="0"/>
                <w:color w:val="000000" w:themeColor="text1"/>
                <w:sz w:val="24"/>
                <w:highlight w:val="none"/>
                <w14:textFill>
                  <w14:solidFill>
                    <w14:schemeClr w14:val="tx1"/>
                  </w14:solidFill>
                </w14:textFill>
              </w:rPr>
              <w:t>m</w:t>
            </w:r>
            <w:r>
              <w:rPr>
                <w:rFonts w:hint="eastAsia" w:ascii="Times New Roman" w:hAnsi="Times New Roman" w:eastAsia="宋体"/>
                <w:caps w:val="0"/>
                <w:color w:val="000000" w:themeColor="text1"/>
                <w:sz w:val="24"/>
                <w:highlight w:val="none"/>
                <w:vertAlign w:val="superscript"/>
                <w14:textFill>
                  <w14:solidFill>
                    <w14:schemeClr w14:val="tx1"/>
                  </w14:solidFill>
                </w14:textFill>
              </w:rPr>
              <w:t>2</w:t>
            </w:r>
            <w:r>
              <w:rPr>
                <w:rFonts w:hint="eastAsia" w:ascii="Times New Roman" w:hAnsi="Times New Roman" w:eastAsia="宋体"/>
                <w:caps w:val="0"/>
                <w:color w:val="000000" w:themeColor="text1"/>
                <w:sz w:val="24"/>
                <w:highlight w:val="none"/>
                <w14:textFill>
                  <w14:solidFill>
                    <w14:schemeClr w14:val="tx1"/>
                  </w14:solidFill>
                </w14:textFill>
              </w:rPr>
              <w:t>，厂内危险废物暂存应按照 GB18597-2001《危险废物储存污染控制标准》的规定设置，具体要求如下：</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（1）所有生产的危险废物均应当使用符合标准的容器盛装，装在危险废物的容器及材质要满足相应的强度要求，且必须完好无损。</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2）危险废物存储间地面与裙角要用坚固、防渗的材料建造，建筑材料必须与危险废物相容，贮存间要有安全照明设施和观察窗口，应设计堵截泄露的裙脚，地面与裙脚所围建的容积不低于堵截最大容积的最大储量或总储量的五分之一，不相容的危险物必须分开存放，并设有隔离间隔断；</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3）厂内建立危险废物台帐管理制度，做好危险废物情况的记录，记录上须注明危险废物的名称、来源、数量、特性和包装容器的类别、入库时间、存放库位、废物出库日期及接受单位名称，危险废物的记录和货单在危险废物处置后应继续保留三年以上；</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（4）必须定期对贮存的危险废物包装容器及贮存设施进行检查，发现破损，应及时采取措施清理更换；</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（5）危险废物贮存设施必须按 GB15562.2 的规定设置警示标志，配备通讯设备、照明设施、安全防护服装及工具，并设有应急防护设施。</w:t>
            </w:r>
          </w:p>
          <w:p>
            <w:pPr>
              <w:widowControl/>
              <w:autoSpaceDE w:val="0"/>
              <w:adjustRightInd w:val="0"/>
              <w:snapToGrid w:val="0"/>
              <w:spacing w:line="360" w:lineRule="auto"/>
              <w:ind w:firstLine="480" w:firstLineChars="200"/>
              <w:rPr>
                <w:rFonts w:hint="eastAsia"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（6）危险废物在转运过程中应严格执行《危险废物收集、贮存、运输技术规范》（HJ2025-2012）中要求，确保项目产生的危险项目安全运输。</w:t>
            </w:r>
          </w:p>
          <w:p>
            <w:pPr>
              <w:widowControl/>
              <w:autoSpaceDE w:val="0"/>
              <w:adjustRightInd w:val="0"/>
              <w:snapToGri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综上所述，本项目产生的固体废弃物均得到妥善的处理处置，对周围环境影响较小。</w:t>
            </w:r>
          </w:p>
          <w:p>
            <w:pPr>
              <w:spacing w:line="360" w:lineRule="auto"/>
              <w:ind w:firstLine="482" w:firstLineChars="200"/>
              <w:rPr>
                <w:rFonts w:ascii="Times New Roman" w:hAnsi="Times New Roman" w:eastAsia="宋体"/>
                <w:b/>
                <w:bCs/>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5、</w:t>
            </w:r>
            <w:r>
              <w:rPr>
                <w:rFonts w:ascii="Times New Roman" w:hAnsi="Times New Roman" w:eastAsia="宋体"/>
                <w:b/>
                <w:bCs/>
                <w:caps w:val="0"/>
                <w:color w:val="000000" w:themeColor="text1"/>
                <w:sz w:val="24"/>
                <w:highlight w:val="none"/>
                <w14:textFill>
                  <w14:solidFill>
                    <w14:schemeClr w14:val="tx1"/>
                  </w14:solidFill>
                </w14:textFill>
              </w:rPr>
              <w:t>地下水影响分析及防范措施</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（1）地下水评价等级</w:t>
            </w:r>
          </w:p>
          <w:p>
            <w:pPr>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根据《环境影响评价技术导则 地下水环境》（HJ610－2016）附录A中的有关规定，本项目为“I金属制品——52、金属铸件”中“其他”，属于Ⅳ类建设项目；根据《环境影响评价技术导则 地下水环境》（HJ610－2016）4.1节，Ⅳ类建设项目不开展地下水环境影响评价。</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 xml:space="preserve">（2）分区防渗措施 </w:t>
            </w:r>
          </w:p>
          <w:p>
            <w:pPr>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本项目应采取的地下水污染防治措施主要有：</w:t>
            </w:r>
          </w:p>
          <w:p>
            <w:pPr>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Ⅰ、防渗处理：对基础层进行防渗，对生产车间等进行环氧树脂防渗。</w:t>
            </w:r>
          </w:p>
          <w:p>
            <w:pPr>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Ⅱ、分区防控：项目所在地场地主要为粉质粘土，渗透性差，</w:t>
            </w:r>
            <w:r>
              <w:rPr>
                <w:rFonts w:ascii="Times New Roman" w:hAnsi="Times New Roman" w:eastAsia="宋体"/>
                <w:caps w:val="0"/>
                <w:color w:val="000000" w:themeColor="text1"/>
                <w:kern w:val="0"/>
                <w:sz w:val="24"/>
                <w:highlight w:val="none"/>
                <w14:textFill>
                  <w14:solidFill>
                    <w14:schemeClr w14:val="tx1"/>
                  </w14:solidFill>
                </w14:textFill>
              </w:rPr>
              <w:t>包气带防污性能为“中”，根据</w:t>
            </w:r>
            <w:r>
              <w:rPr>
                <w:rFonts w:ascii="Times New Roman" w:hAnsi="Times New Roman" w:eastAsia="宋体"/>
                <w:caps w:val="0"/>
                <w:color w:val="000000" w:themeColor="text1"/>
                <w:sz w:val="24"/>
                <w:highlight w:val="none"/>
                <w14:textFill>
                  <w14:solidFill>
                    <w14:schemeClr w14:val="tx1"/>
                  </w14:solidFill>
                </w14:textFill>
              </w:rPr>
              <w:t>《环境影响评价技术导则 地下水环境》（HJ610-2016），结合污染控制难易程度，确定项目防渗分区见表7-</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8</w:t>
            </w:r>
            <w:r>
              <w:rPr>
                <w:rFonts w:ascii="Times New Roman" w:hAnsi="Times New Roman" w:eastAsia="宋体"/>
                <w:caps w:val="0"/>
                <w:color w:val="000000" w:themeColor="text1"/>
                <w:sz w:val="24"/>
                <w:highlight w:val="none"/>
                <w14:textFill>
                  <w14:solidFill>
                    <w14:schemeClr w14:val="tx1"/>
                  </w14:solidFill>
                </w14:textFill>
              </w:rPr>
              <w:t>具体如下：</w:t>
            </w:r>
          </w:p>
          <w:p>
            <w:pPr>
              <w:spacing w:line="460" w:lineRule="exact"/>
              <w:ind w:firstLine="482" w:firstLineChars="200"/>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表7-</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8</w:t>
            </w:r>
            <w:r>
              <w:rPr>
                <w:rFonts w:ascii="Times New Roman" w:hAnsi="Times New Roman" w:eastAsia="宋体"/>
                <w:b/>
                <w:caps w:val="0"/>
                <w:color w:val="000000" w:themeColor="text1"/>
                <w:sz w:val="24"/>
                <w:highlight w:val="none"/>
                <w14:textFill>
                  <w14:solidFill>
                    <w14:schemeClr w14:val="tx1"/>
                  </w14:solidFill>
                </w14:textFill>
              </w:rPr>
              <w:t xml:space="preserve"> 项目防渗分区</w:t>
            </w:r>
          </w:p>
          <w:tbl>
            <w:tblPr>
              <w:tblStyle w:val="32"/>
              <w:tblW w:w="4999"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304"/>
              <w:gridCol w:w="1134"/>
              <w:gridCol w:w="1134"/>
              <w:gridCol w:w="1277"/>
              <w:gridCol w:w="992"/>
              <w:gridCol w:w="2951"/>
            </w:tblGrid>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589" w:hRule="atLeast"/>
                <w:jc w:val="center"/>
              </w:trPr>
              <w:tc>
                <w:tcPr>
                  <w:tcW w:w="742" w:type="pct"/>
                  <w:tcBorders>
                    <w:tl2br w:val="nil"/>
                    <w:tr2bl w:val="nil"/>
                  </w:tcBorders>
                  <w:vAlign w:val="center"/>
                </w:tcPr>
                <w:p>
                  <w:pPr>
                    <w:adjustRightInd w:val="0"/>
                    <w:spacing w:line="300" w:lineRule="exact"/>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场区内建构筑物</w:t>
                  </w:r>
                </w:p>
              </w:tc>
              <w:tc>
                <w:tcPr>
                  <w:tcW w:w="645" w:type="pct"/>
                  <w:tcBorders>
                    <w:tl2br w:val="nil"/>
                    <w:tr2bl w:val="nil"/>
                  </w:tcBorders>
                  <w:vAlign w:val="center"/>
                </w:tcPr>
                <w:p>
                  <w:pPr>
                    <w:adjustRightInd w:val="0"/>
                    <w:spacing w:line="300" w:lineRule="exact"/>
                    <w:ind w:left="-140" w:leftChars="-50" w:right="-140" w:rightChars="-50"/>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包气带防</w:t>
                  </w:r>
                </w:p>
                <w:p>
                  <w:pPr>
                    <w:adjustRightInd w:val="0"/>
                    <w:spacing w:line="300" w:lineRule="exact"/>
                    <w:ind w:left="-140" w:leftChars="-50" w:right="-140" w:rightChars="-50"/>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污性能</w:t>
                  </w:r>
                </w:p>
              </w:tc>
              <w:tc>
                <w:tcPr>
                  <w:tcW w:w="645" w:type="pct"/>
                  <w:tcBorders>
                    <w:tl2br w:val="nil"/>
                    <w:tr2bl w:val="nil"/>
                  </w:tcBorders>
                  <w:vAlign w:val="center"/>
                </w:tcPr>
                <w:p>
                  <w:pPr>
                    <w:adjustRightInd w:val="0"/>
                    <w:spacing w:line="300" w:lineRule="exact"/>
                    <w:ind w:left="-140" w:leftChars="-50" w:right="-140" w:rightChars="-50"/>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污染控制</w:t>
                  </w:r>
                </w:p>
                <w:p>
                  <w:pPr>
                    <w:adjustRightInd w:val="0"/>
                    <w:spacing w:line="300" w:lineRule="exact"/>
                    <w:ind w:left="-140" w:leftChars="-50" w:right="-140" w:rightChars="-50"/>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难易程度</w:t>
                  </w:r>
                </w:p>
              </w:tc>
              <w:tc>
                <w:tcPr>
                  <w:tcW w:w="726" w:type="pct"/>
                  <w:tcBorders>
                    <w:tl2br w:val="nil"/>
                    <w:tr2bl w:val="nil"/>
                  </w:tcBorders>
                  <w:vAlign w:val="center"/>
                </w:tcPr>
                <w:p>
                  <w:pPr>
                    <w:adjustRightInd w:val="0"/>
                    <w:spacing w:line="300" w:lineRule="exact"/>
                    <w:ind w:left="-140" w:leftChars="-50" w:right="-140" w:rightChars="-50"/>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污染物类型</w:t>
                  </w:r>
                </w:p>
              </w:tc>
              <w:tc>
                <w:tcPr>
                  <w:tcW w:w="564" w:type="pct"/>
                  <w:tcBorders>
                    <w:tl2br w:val="nil"/>
                    <w:tr2bl w:val="nil"/>
                  </w:tcBorders>
                  <w:vAlign w:val="center"/>
                </w:tcPr>
                <w:p>
                  <w:pPr>
                    <w:adjustRightInd w:val="0"/>
                    <w:spacing w:line="300" w:lineRule="exact"/>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防渗分区</w:t>
                  </w:r>
                </w:p>
              </w:tc>
              <w:tc>
                <w:tcPr>
                  <w:tcW w:w="1678" w:type="pct"/>
                  <w:tcBorders>
                    <w:tl2br w:val="nil"/>
                    <w:tr2bl w:val="nil"/>
                  </w:tcBorders>
                  <w:vAlign w:val="center"/>
                </w:tcPr>
                <w:p>
                  <w:pPr>
                    <w:adjustRightInd w:val="0"/>
                    <w:spacing w:line="300" w:lineRule="exact"/>
                    <w:jc w:val="center"/>
                    <w:rPr>
                      <w:rFonts w:ascii="Times New Roman" w:hAnsi="Times New Roman" w:eastAsia="宋体"/>
                      <w:b/>
                      <w:caps w:val="0"/>
                      <w:color w:val="000000" w:themeColor="text1"/>
                      <w:kern w:val="0"/>
                      <w:sz w:val="21"/>
                      <w:szCs w:val="21"/>
                      <w:highlight w:val="none"/>
                      <w14:textFill>
                        <w14:solidFill>
                          <w14:schemeClr w14:val="tx1"/>
                        </w14:solidFill>
                      </w14:textFill>
                    </w:rPr>
                  </w:pPr>
                  <w:r>
                    <w:rPr>
                      <w:rFonts w:ascii="Times New Roman" w:hAnsi="Times New Roman" w:eastAsia="宋体"/>
                      <w:b/>
                      <w:caps w:val="0"/>
                      <w:color w:val="000000" w:themeColor="text1"/>
                      <w:kern w:val="0"/>
                      <w:sz w:val="21"/>
                      <w:szCs w:val="21"/>
                      <w:highlight w:val="none"/>
                      <w14:textFill>
                        <w14:solidFill>
                          <w14:schemeClr w14:val="tx1"/>
                        </w14:solidFill>
                      </w14:textFill>
                    </w:rPr>
                    <w:t>防渗技术要求</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94" w:hRule="atLeast"/>
                <w:jc w:val="center"/>
              </w:trPr>
              <w:tc>
                <w:tcPr>
                  <w:tcW w:w="742"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bCs/>
                      <w:caps w:val="0"/>
                      <w:color w:val="000000" w:themeColor="text1"/>
                      <w:sz w:val="21"/>
                      <w:szCs w:val="21"/>
                      <w:highlight w:val="none"/>
                      <w14:textFill>
                        <w14:solidFill>
                          <w14:schemeClr w14:val="tx1"/>
                        </w14:solidFill>
                      </w14:textFill>
                    </w:rPr>
                    <w:t>危废间</w:t>
                  </w:r>
                </w:p>
              </w:tc>
              <w:tc>
                <w:tcPr>
                  <w:tcW w:w="645"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中</w:t>
                  </w:r>
                </w:p>
              </w:tc>
              <w:tc>
                <w:tcPr>
                  <w:tcW w:w="645"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难</w:t>
                  </w:r>
                </w:p>
              </w:tc>
              <w:tc>
                <w:tcPr>
                  <w:tcW w:w="726"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持久性有机污染物</w:t>
                  </w:r>
                </w:p>
              </w:tc>
              <w:tc>
                <w:tcPr>
                  <w:tcW w:w="564"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重点防渗区</w:t>
                  </w:r>
                </w:p>
              </w:tc>
              <w:tc>
                <w:tcPr>
                  <w:tcW w:w="167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等效黏土防渗层Mb≥6.0m，渗透系数K≤10</w:t>
                  </w:r>
                  <w:r>
                    <w:rPr>
                      <w:rFonts w:ascii="Times New Roman" w:hAnsi="Times New Roman" w:eastAsia="宋体"/>
                      <w:caps w:val="0"/>
                      <w:color w:val="000000" w:themeColor="text1"/>
                      <w:kern w:val="0"/>
                      <w:sz w:val="21"/>
                      <w:szCs w:val="21"/>
                      <w:highlight w:val="none"/>
                      <w:vertAlign w:val="superscript"/>
                      <w14:textFill>
                        <w14:solidFill>
                          <w14:schemeClr w14:val="tx1"/>
                        </w14:solidFill>
                      </w14:textFill>
                    </w:rPr>
                    <w:t>-7</w:t>
                  </w:r>
                  <w:r>
                    <w:rPr>
                      <w:rFonts w:ascii="Times New Roman" w:hAnsi="Times New Roman" w:eastAsia="宋体"/>
                      <w:caps w:val="0"/>
                      <w:color w:val="000000" w:themeColor="text1"/>
                      <w:kern w:val="0"/>
                      <w:sz w:val="21"/>
                      <w:szCs w:val="21"/>
                      <w:highlight w:val="none"/>
                      <w14:textFill>
                        <w14:solidFill>
                          <w14:schemeClr w14:val="tx1"/>
                        </w14:solidFill>
                      </w14:textFill>
                    </w:rPr>
                    <w:t>cm/s；或参照GB18598执行</w:t>
                  </w:r>
                  <w:r>
                    <w:rPr>
                      <w:rFonts w:ascii="Times New Roman" w:hAnsi="Times New Roman" w:eastAsia="宋体"/>
                      <w:caps w:val="0"/>
                      <w:color w:val="000000" w:themeColor="text1"/>
                      <w:sz w:val="21"/>
                      <w:szCs w:val="21"/>
                      <w:highlight w:val="none"/>
                      <w14:textFill>
                        <w14:solidFill>
                          <w14:schemeClr w14:val="tx1"/>
                        </w14:solidFill>
                      </w14:textFill>
                    </w:rPr>
                    <w:t xml:space="preserve"> </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94" w:hRule="atLeast"/>
                <w:jc w:val="center"/>
              </w:trPr>
              <w:tc>
                <w:tcPr>
                  <w:tcW w:w="742"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生产车间</w:t>
                  </w:r>
                </w:p>
              </w:tc>
              <w:tc>
                <w:tcPr>
                  <w:tcW w:w="645"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中</w:t>
                  </w:r>
                </w:p>
              </w:tc>
              <w:tc>
                <w:tcPr>
                  <w:tcW w:w="645"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易</w:t>
                  </w:r>
                </w:p>
              </w:tc>
              <w:tc>
                <w:tcPr>
                  <w:tcW w:w="726"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持久性有机污染物</w:t>
                  </w:r>
                </w:p>
              </w:tc>
              <w:tc>
                <w:tcPr>
                  <w:tcW w:w="564" w:type="pct"/>
                  <w:tcBorders>
                    <w:tl2br w:val="nil"/>
                    <w:tr2bl w:val="nil"/>
                  </w:tcBorders>
                  <w:vAlign w:val="center"/>
                </w:tcPr>
                <w:p>
                  <w:pPr>
                    <w:adjustRightInd w:val="0"/>
                    <w:spacing w:line="300" w:lineRule="exact"/>
                    <w:jc w:val="center"/>
                    <w:rPr>
                      <w:rFonts w:ascii="Times New Roman" w:hAnsi="Times New Roman" w:eastAsia="宋体"/>
                      <w:caps w:val="0"/>
                      <w:color w:val="000000" w:themeColor="text1"/>
                      <w:kern w:val="0"/>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一般防渗区</w:t>
                  </w:r>
                </w:p>
              </w:tc>
              <w:tc>
                <w:tcPr>
                  <w:tcW w:w="1678" w:type="pct"/>
                  <w:tcBorders>
                    <w:tl2br w:val="nil"/>
                    <w:tr2bl w:val="nil"/>
                  </w:tcBorders>
                  <w:vAlign w:val="center"/>
                </w:tcPr>
                <w:p>
                  <w:pPr>
                    <w:spacing w:line="32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kern w:val="0"/>
                      <w:sz w:val="21"/>
                      <w:szCs w:val="21"/>
                      <w:highlight w:val="none"/>
                      <w14:textFill>
                        <w14:solidFill>
                          <w14:schemeClr w14:val="tx1"/>
                        </w14:solidFill>
                      </w14:textFill>
                    </w:rPr>
                    <w:t>等效黏土防渗层Mb≥1.5m，渗透系数K≤10</w:t>
                  </w:r>
                  <w:r>
                    <w:rPr>
                      <w:rFonts w:ascii="Times New Roman" w:hAnsi="Times New Roman" w:eastAsia="宋体"/>
                      <w:caps w:val="0"/>
                      <w:color w:val="000000" w:themeColor="text1"/>
                      <w:kern w:val="0"/>
                      <w:sz w:val="21"/>
                      <w:szCs w:val="21"/>
                      <w:highlight w:val="none"/>
                      <w:vertAlign w:val="superscript"/>
                      <w14:textFill>
                        <w14:solidFill>
                          <w14:schemeClr w14:val="tx1"/>
                        </w14:solidFill>
                      </w14:textFill>
                    </w:rPr>
                    <w:t>-7</w:t>
                  </w:r>
                  <w:r>
                    <w:rPr>
                      <w:rFonts w:ascii="Times New Roman" w:hAnsi="Times New Roman" w:eastAsia="宋体"/>
                      <w:caps w:val="0"/>
                      <w:color w:val="000000" w:themeColor="text1"/>
                      <w:kern w:val="0"/>
                      <w:sz w:val="21"/>
                      <w:szCs w:val="21"/>
                      <w:highlight w:val="none"/>
                      <w14:textFill>
                        <w14:solidFill>
                          <w14:schemeClr w14:val="tx1"/>
                        </w14:solidFill>
                      </w14:textFill>
                    </w:rPr>
                    <w:t>cm/s；或参照GB16889执行</w:t>
                  </w:r>
                </w:p>
              </w:tc>
            </w:tr>
          </w:tbl>
          <w:p>
            <w:pPr>
              <w:spacing w:line="460" w:lineRule="exact"/>
              <w:ind w:firstLine="482"/>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分区防渗措施：</w:t>
            </w:r>
          </w:p>
          <w:p>
            <w:pPr>
              <w:spacing w:line="460" w:lineRule="exact"/>
              <w:ind w:firstLine="482"/>
              <w:rPr>
                <w:rFonts w:ascii="Times New Roman" w:hAnsi="Times New Roman" w:eastAsia="宋体"/>
                <w:bCs/>
                <w:caps w:val="0"/>
                <w:color w:val="000000" w:themeColor="text1"/>
                <w:sz w:val="24"/>
                <w:highlight w:val="none"/>
                <w14:textFill>
                  <w14:solidFill>
                    <w14:schemeClr w14:val="tx1"/>
                  </w14:solidFill>
                </w14:textFill>
              </w:rPr>
            </w:pPr>
            <w:r>
              <w:rPr>
                <w:rFonts w:ascii="Times New Roman" w:hAnsi="Times New Roman" w:eastAsia="宋体"/>
                <w:bCs/>
                <w:caps w:val="0"/>
                <w:color w:val="000000" w:themeColor="text1"/>
                <w:sz w:val="24"/>
                <w:highlight w:val="none"/>
                <w14:textFill>
                  <w14:solidFill>
                    <w14:schemeClr w14:val="tx1"/>
                  </w14:solidFill>
                </w14:textFill>
              </w:rPr>
              <w:t xml:space="preserve">为防止物料、废物等跑、冒、滴、漏以及产生渗漏水污染地下水，根据《环境影响评价技术导则  地下水环境》（HJ610-2016）。企业采取以下分区防护措施： </w:t>
            </w:r>
          </w:p>
          <w:p>
            <w:pPr>
              <w:spacing w:line="460" w:lineRule="exact"/>
              <w:ind w:firstLine="482"/>
              <w:rPr>
                <w:rFonts w:ascii="Times New Roman" w:hAnsi="Times New Roman" w:eastAsia="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①</w:t>
            </w:r>
            <w:r>
              <w:rPr>
                <w:rFonts w:ascii="Times New Roman" w:hAnsi="Times New Roman" w:eastAsia="宋体"/>
                <w:bCs/>
                <w:caps w:val="0"/>
                <w:color w:val="000000" w:themeColor="text1"/>
                <w:sz w:val="24"/>
                <w:highlight w:val="none"/>
                <w14:textFill>
                  <w14:solidFill>
                    <w14:schemeClr w14:val="tx1"/>
                  </w14:solidFill>
                </w14:textFill>
              </w:rPr>
              <w:t>重点防渗区：将危废间作为重点防渗区，根据《危险废物贮存污染控制标准》（GB18597-2001），危废暂存库基础防渗层为至少1米厚粘土层（渗透系数≤10</w:t>
            </w:r>
            <w:r>
              <w:rPr>
                <w:rFonts w:ascii="Times New Roman" w:hAnsi="Times New Roman" w:eastAsia="宋体"/>
                <w:bCs/>
                <w:caps w:val="0"/>
                <w:color w:val="000000" w:themeColor="text1"/>
                <w:sz w:val="24"/>
                <w:highlight w:val="none"/>
                <w:vertAlign w:val="superscript"/>
                <w14:textFill>
                  <w14:solidFill>
                    <w14:schemeClr w14:val="tx1"/>
                  </w14:solidFill>
                </w14:textFill>
              </w:rPr>
              <w:t>-7</w:t>
            </w:r>
            <w:r>
              <w:rPr>
                <w:rFonts w:ascii="Times New Roman" w:hAnsi="Times New Roman" w:eastAsia="宋体"/>
                <w:bCs/>
                <w:caps w:val="0"/>
                <w:color w:val="000000" w:themeColor="text1"/>
                <w:sz w:val="24"/>
                <w:highlight w:val="none"/>
                <w14:textFill>
                  <w14:solidFill>
                    <w14:schemeClr w14:val="tx1"/>
                  </w14:solidFill>
                </w14:textFill>
              </w:rPr>
              <w:t>cm/s），或2mm厚高密度聚乙烯，或至少2mm厚的其它人工材料（渗透系数≤10</w:t>
            </w:r>
            <w:r>
              <w:rPr>
                <w:rFonts w:ascii="Times New Roman" w:hAnsi="Times New Roman" w:eastAsia="宋体"/>
                <w:bCs/>
                <w:caps w:val="0"/>
                <w:color w:val="000000" w:themeColor="text1"/>
                <w:sz w:val="24"/>
                <w:highlight w:val="none"/>
                <w:vertAlign w:val="superscript"/>
                <w14:textFill>
                  <w14:solidFill>
                    <w14:schemeClr w14:val="tx1"/>
                  </w14:solidFill>
                </w14:textFill>
              </w:rPr>
              <w:t>-10</w:t>
            </w:r>
            <w:r>
              <w:rPr>
                <w:rFonts w:ascii="Times New Roman" w:hAnsi="Times New Roman" w:eastAsia="宋体"/>
                <w:bCs/>
                <w:caps w:val="0"/>
                <w:color w:val="000000" w:themeColor="text1"/>
                <w:sz w:val="24"/>
                <w:highlight w:val="none"/>
                <w14:textFill>
                  <w14:solidFill>
                    <w14:schemeClr w14:val="tx1"/>
                  </w14:solidFill>
                </w14:textFill>
              </w:rPr>
              <w:t>cm/s）。</w:t>
            </w:r>
          </w:p>
          <w:p>
            <w:pPr>
              <w:spacing w:line="460" w:lineRule="exact"/>
              <w:ind w:firstLine="482"/>
              <w:rPr>
                <w:rFonts w:ascii="Times New Roman" w:hAnsi="Times New Roman" w:eastAsia="宋体"/>
                <w:bCs/>
                <w:caps w:val="0"/>
                <w:color w:val="000000" w:themeColor="text1"/>
                <w:sz w:val="24"/>
                <w:highlight w:val="none"/>
                <w14:textFill>
                  <w14:solidFill>
                    <w14:schemeClr w14:val="tx1"/>
                  </w14:solidFill>
                </w14:textFill>
              </w:rPr>
            </w:pPr>
            <w:r>
              <w:rPr>
                <w:rFonts w:hint="eastAsia" w:ascii="Times New Roman" w:hAnsi="Times New Roman" w:eastAsia="宋体" w:cs="宋体"/>
                <w:bCs/>
                <w:caps w:val="0"/>
                <w:color w:val="000000" w:themeColor="text1"/>
                <w:sz w:val="24"/>
                <w:highlight w:val="none"/>
                <w14:textFill>
                  <w14:solidFill>
                    <w14:schemeClr w14:val="tx1"/>
                  </w14:solidFill>
                </w14:textFill>
              </w:rPr>
              <w:t>②</w:t>
            </w:r>
            <w:r>
              <w:rPr>
                <w:rFonts w:ascii="Times New Roman" w:hAnsi="Times New Roman" w:eastAsia="宋体"/>
                <w:bCs/>
                <w:caps w:val="0"/>
                <w:color w:val="000000" w:themeColor="text1"/>
                <w:sz w:val="24"/>
                <w:highlight w:val="none"/>
                <w14:textFill>
                  <w14:solidFill>
                    <w14:schemeClr w14:val="tx1"/>
                  </w14:solidFill>
                </w14:textFill>
              </w:rPr>
              <w:t>一般防渗区：将除去重点防渗区以外的生产车间作为一般防渗区，采用抗渗混凝土浇注硬化；按《一般工业固体废物贮存、处置场污染控制标准》相关要求，防渗层采用抗渗混凝土，防渗层的厚度应相当于渗透系数1.0×10</w:t>
            </w:r>
            <w:r>
              <w:rPr>
                <w:rFonts w:ascii="Times New Roman" w:hAnsi="Times New Roman" w:eastAsia="宋体"/>
                <w:bCs/>
                <w:caps w:val="0"/>
                <w:color w:val="000000" w:themeColor="text1"/>
                <w:sz w:val="24"/>
                <w:highlight w:val="none"/>
                <w:vertAlign w:val="superscript"/>
                <w14:textFill>
                  <w14:solidFill>
                    <w14:schemeClr w14:val="tx1"/>
                  </w14:solidFill>
                </w14:textFill>
              </w:rPr>
              <w:t>-7</w:t>
            </w:r>
            <w:r>
              <w:rPr>
                <w:rFonts w:ascii="Times New Roman" w:hAnsi="Times New Roman" w:eastAsia="宋体"/>
                <w:bCs/>
                <w:caps w:val="0"/>
                <w:color w:val="000000" w:themeColor="text1"/>
                <w:sz w:val="24"/>
                <w:highlight w:val="none"/>
                <w14:textFill>
                  <w14:solidFill>
                    <w14:schemeClr w14:val="tx1"/>
                  </w14:solidFill>
                </w14:textFill>
              </w:rPr>
              <w:t>cm/s和厚度1.5m的黏土层的防渗性能。</w:t>
            </w:r>
          </w:p>
          <w:p>
            <w:pPr>
              <w:spacing w:line="460" w:lineRule="exact"/>
              <w:ind w:firstLine="482"/>
              <w:rPr>
                <w:rFonts w:ascii="Times New Roman" w:hAnsi="Times New Roman" w:eastAsia="宋体"/>
                <w:bCs/>
                <w:caps w:val="0"/>
                <w:color w:val="000000" w:themeColor="text1"/>
                <w:sz w:val="24"/>
                <w:highlight w:val="none"/>
                <w14:textFill>
                  <w14:solidFill>
                    <w14:schemeClr w14:val="tx1"/>
                  </w14:solidFill>
                </w14:textFill>
              </w:rPr>
            </w:pPr>
            <w:r>
              <w:rPr>
                <w:rFonts w:ascii="Times New Roman" w:hAnsi="Times New Roman" w:eastAsia="宋体"/>
                <w:bCs/>
                <w:caps w:val="0"/>
                <w:color w:val="000000" w:themeColor="text1"/>
                <w:sz w:val="24"/>
                <w:highlight w:val="none"/>
                <w14:textFill>
                  <w14:solidFill>
                    <w14:schemeClr w14:val="tx1"/>
                  </w14:solidFill>
                </w14:textFill>
              </w:rPr>
              <w:t>经以上防护措施后，可有效防止污染物渗漏污染地下水，土壤以及地表水。</w:t>
            </w:r>
          </w:p>
          <w:p>
            <w:pPr>
              <w:spacing w:line="460" w:lineRule="exact"/>
              <w:ind w:firstLine="482" w:firstLineChars="200"/>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6、土壤环境影响评价</w:t>
            </w:r>
          </w:p>
          <w:p>
            <w:pPr>
              <w:keepNext w:val="0"/>
              <w:keepLines w:val="0"/>
              <w:widowControl w:val="0"/>
              <w:numPr>
                <w:ilvl w:val="0"/>
                <w:numId w:val="2"/>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土壤环境污染影响识别</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本项目属于</w:t>
            </w:r>
            <w:r>
              <w:rPr>
                <w:rFonts w:ascii="Times New Roman" w:hAnsi="Times New Roman" w:eastAsia="宋体"/>
                <w:caps w:val="0"/>
                <w:color w:val="000000" w:themeColor="text1"/>
                <w:sz w:val="24"/>
                <w:highlight w:val="none"/>
                <w14:textFill>
                  <w14:solidFill>
                    <w14:schemeClr w14:val="tx1"/>
                  </w14:solidFill>
                </w14:textFill>
              </w:rPr>
              <w:t>黑色金属铸造</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，根据项目具体情况，重点针对运营期的土壤环境影响类型与影响途径进行识别：</w:t>
            </w:r>
          </w:p>
          <w:p>
            <w:pPr>
              <w:keepNext w:val="0"/>
              <w:keepLines w:val="0"/>
              <w:widowControl w:val="0"/>
              <w:numPr>
                <w:ilvl w:val="0"/>
                <w:numId w:val="3"/>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建设项目类别</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根据《环境影响评价技术导则</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 xml:space="preserve">  </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土壤环境（试行）》（</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HJ964-2018</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）附录</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A</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土壤环境影响评价项目类别，本项目属于“制造业</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设备制造、金属制品、汽车制造及其他用品制造</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使用有机涂层的（喷粉、</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喷粉</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和电泳除外）”，项目类别为Ⅰ类</w:t>
            </w:r>
          </w:p>
          <w:p>
            <w:pPr>
              <w:keepNext w:val="0"/>
              <w:keepLines w:val="0"/>
              <w:widowControl w:val="0"/>
              <w:numPr>
                <w:ilvl w:val="0"/>
                <w:numId w:val="3"/>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土壤环境影响识别</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项目为</w:t>
            </w:r>
            <w:r>
              <w:rPr>
                <w:rFonts w:ascii="Times New Roman" w:hAnsi="Times New Roman" w:eastAsia="宋体"/>
                <w:caps w:val="0"/>
                <w:color w:val="000000" w:themeColor="text1"/>
                <w:sz w:val="24"/>
                <w:highlight w:val="none"/>
                <w14:textFill>
                  <w14:solidFill>
                    <w14:schemeClr w14:val="tx1"/>
                  </w14:solidFill>
                </w14:textFill>
              </w:rPr>
              <w:t>黑色金属铸造</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，属于污染影响型建设项目。根据中华人民共和国环境保护部办公厅于</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2017</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年</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6</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月</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28</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日印发的《关于印发</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&lt;</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农用地土壤污染状况详查点位布设技术规定</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&gt;</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的通知》，其附</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2</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中明确了需考虑大气沉降影响的行业如下：</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08</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黑色金属矿采选业、</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09</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有色金属矿采选业、</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25</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石油加工、炼焦和核燃料加工业、</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26</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化学原料和化学制品制造业、</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27</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医药制造业、</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31</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黑色金属冶炼和压延加工业、</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32</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有色金属冶炼和压延加工业、</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38</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电气机械和器材制造业（电池制造）、</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77</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生态保护和环境治理业（危废、医废处置）、</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78</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公共设施管理业（生活垃圾处置）。项目喷漆区设行密闭喷置</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密闭</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喷漆房进漆，如</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浸</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漆区、危废库等地面防渗措施破损会造成污水地表漫流影响以及垂直入渗影响区域土壤环境。</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综上所述，项目土壤环境影响识别见</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下</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表。</w:t>
            </w:r>
          </w:p>
          <w:p>
            <w:pPr>
              <w:pStyle w:val="55"/>
              <w:keepNext w:val="0"/>
              <w:keepLines w:val="0"/>
              <w:suppressLineNumbers w:val="0"/>
              <w:bidi w:val="0"/>
              <w:spacing w:before="0" w:beforeAutospacing="0" w:after="0" w:afterAutospacing="0"/>
              <w:ind w:left="0" w:right="0"/>
              <w:jc w:val="center"/>
              <w:rPr>
                <w:rFonts w:hint="eastAsia" w:ascii="Times New Roman" w:hAnsi="Times New Roman" w:eastAsia="宋体"/>
                <w:color w:val="000000" w:themeColor="text1"/>
                <w:highlight w:val="none"/>
                <w14:textFill>
                  <w14:solidFill>
                    <w14:schemeClr w14:val="tx1"/>
                  </w14:solidFill>
                </w14:textFill>
              </w:rPr>
            </w:pPr>
            <w:r>
              <w:rPr>
                <w:rFonts w:hint="eastAsia" w:ascii="Times New Roman" w:hAnsi="Times New Roman" w:eastAsia="宋体"/>
                <w:b/>
                <w:bCs/>
                <w:color w:val="000000" w:themeColor="text1"/>
                <w:highlight w:val="none"/>
                <w:lang w:val="en-US" w:eastAsia="zh-CN"/>
                <w14:textFill>
                  <w14:solidFill>
                    <w14:schemeClr w14:val="tx1"/>
                  </w14:solidFill>
                </w14:textFill>
              </w:rPr>
              <w:t xml:space="preserve">表7-9 </w:t>
            </w:r>
            <w:r>
              <w:rPr>
                <w:rFonts w:hint="eastAsia" w:ascii="Times New Roman" w:hAnsi="Times New Roman" w:eastAsia="宋体"/>
                <w:b/>
                <w:bCs/>
                <w:color w:val="000000" w:themeColor="text1"/>
                <w:highlight w:val="none"/>
                <w14:textFill>
                  <w14:solidFill>
                    <w14:schemeClr w14:val="tx1"/>
                  </w14:solidFill>
                </w14:textFill>
              </w:rPr>
              <w:t>土壤环境影响类型与影响途径表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406"/>
              <w:gridCol w:w="1104"/>
              <w:gridCol w:w="1114"/>
              <w:gridCol w:w="1094"/>
              <w:gridCol w:w="658"/>
              <w:gridCol w:w="888"/>
              <w:gridCol w:w="903"/>
              <w:gridCol w:w="816"/>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不同时段</w:t>
                  </w:r>
                </w:p>
              </w:tc>
              <w:tc>
                <w:tcPr>
                  <w:tcW w:w="3997" w:type="dxa"/>
                  <w:gridSpan w:val="4"/>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污染影响型</w:t>
                  </w:r>
                </w:p>
              </w:tc>
              <w:tc>
                <w:tcPr>
                  <w:tcW w:w="3430" w:type="dxa"/>
                  <w:gridSpan w:val="4"/>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生态影响型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111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大气沉降</w:t>
                  </w:r>
                </w:p>
              </w:tc>
              <w:tc>
                <w:tcPr>
                  <w:tcW w:w="112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地面漫流</w:t>
                  </w:r>
                </w:p>
              </w:tc>
              <w:tc>
                <w:tcPr>
                  <w:tcW w:w="110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垂直入渗</w:t>
                  </w:r>
                </w:p>
              </w:tc>
              <w:tc>
                <w:tcPr>
                  <w:tcW w:w="661"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其他</w:t>
                  </w:r>
                </w:p>
              </w:tc>
              <w:tc>
                <w:tcPr>
                  <w:tcW w:w="89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盐化</w:t>
                  </w:r>
                </w:p>
              </w:tc>
              <w:tc>
                <w:tcPr>
                  <w:tcW w:w="90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碱化</w:t>
                  </w:r>
                </w:p>
              </w:tc>
              <w:tc>
                <w:tcPr>
                  <w:tcW w:w="821"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酸化</w:t>
                  </w:r>
                </w:p>
              </w:tc>
              <w:tc>
                <w:tcPr>
                  <w:tcW w:w="80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建设期</w:t>
                  </w:r>
                </w:p>
              </w:tc>
              <w:tc>
                <w:tcPr>
                  <w:tcW w:w="111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112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110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661"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89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90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821"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80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运营前</w:t>
                  </w:r>
                </w:p>
              </w:tc>
              <w:tc>
                <w:tcPr>
                  <w:tcW w:w="111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112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110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661"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89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90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821"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80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服务器满后</w:t>
                  </w:r>
                </w:p>
              </w:tc>
              <w:tc>
                <w:tcPr>
                  <w:tcW w:w="111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112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1102"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661"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89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90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821"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80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45"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注：在可能产生的土壤环境影响类型处打“√”</w:t>
                  </w:r>
                </w:p>
              </w:tc>
            </w:tr>
          </w:tbl>
          <w:p>
            <w:pPr>
              <w:pStyle w:val="55"/>
              <w:keepNext w:val="0"/>
              <w:keepLines w:val="0"/>
              <w:suppressLineNumbers w:val="0"/>
              <w:bidi w:val="0"/>
              <w:spacing w:before="0" w:beforeAutospacing="0" w:after="0" w:afterAutospacing="0"/>
              <w:ind w:left="0" w:right="0"/>
              <w:jc w:val="center"/>
              <w:rPr>
                <w:rFonts w:hint="eastAsia" w:ascii="Times New Roman" w:hAnsi="Times New Roman" w:eastAsia="宋体"/>
                <w:b/>
                <w:bCs/>
                <w:color w:val="000000" w:themeColor="text1"/>
                <w:highlight w:val="none"/>
                <w14:textFill>
                  <w14:solidFill>
                    <w14:schemeClr w14:val="tx1"/>
                  </w14:solidFill>
                </w14:textFill>
              </w:rPr>
            </w:pPr>
            <w:r>
              <w:rPr>
                <w:rFonts w:hint="eastAsia" w:ascii="Times New Roman" w:hAnsi="Times New Roman" w:eastAsia="宋体"/>
                <w:b/>
                <w:bCs/>
                <w:color w:val="000000" w:themeColor="text1"/>
                <w:highlight w:val="none"/>
                <w:lang w:val="en-US" w:eastAsia="zh-CN"/>
                <w14:textFill>
                  <w14:solidFill>
                    <w14:schemeClr w14:val="tx1"/>
                  </w14:solidFill>
                </w14:textFill>
              </w:rPr>
              <w:t xml:space="preserve">表7-10 </w:t>
            </w:r>
            <w:r>
              <w:rPr>
                <w:rFonts w:hint="eastAsia" w:ascii="Times New Roman" w:hAnsi="Times New Roman" w:eastAsia="宋体"/>
                <w:b/>
                <w:bCs/>
                <w:color w:val="000000" w:themeColor="text1"/>
                <w:highlight w:val="none"/>
                <w14:textFill>
                  <w14:solidFill>
                    <w14:schemeClr w14:val="tx1"/>
                  </w14:solidFill>
                </w14:textFill>
              </w:rPr>
              <w:t>污染影响型建设项目土壤环境影响源及影响因子识别表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32"/>
              <w:gridCol w:w="2597"/>
              <w:gridCol w:w="1244"/>
              <w:gridCol w:w="1792"/>
              <w:gridCol w:w="1235"/>
              <w:gridCol w:w="1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污染源</w:t>
                  </w:r>
                </w:p>
              </w:tc>
              <w:tc>
                <w:tcPr>
                  <w:tcW w:w="2693"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工艺流程</w:t>
                  </w: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r>
                    <w:rPr>
                      <w:rFonts w:hint="eastAsia" w:ascii="Times New Roman" w:hAnsi="Times New Roman" w:eastAsia="宋体" w:cs="宋体"/>
                      <w:color w:val="000000" w:themeColor="text1"/>
                      <w:kern w:val="24"/>
                      <w:sz w:val="21"/>
                      <w:szCs w:val="21"/>
                      <w:highlight w:val="none"/>
                      <w:lang w:val="en-US" w:eastAsia="zh-CN" w:bidi="ar"/>
                      <w14:textFill>
                        <w14:solidFill>
                          <w14:schemeClr w14:val="tx1"/>
                        </w14:solidFill>
                      </w14:textFill>
                    </w:rPr>
                    <w:t>节点</w:t>
                  </w:r>
                </w:p>
              </w:tc>
              <w:tc>
                <w:tcPr>
                  <w:tcW w:w="127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污染途径</w:t>
                  </w:r>
                </w:p>
              </w:tc>
              <w:tc>
                <w:tcPr>
                  <w:tcW w:w="1843"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全部污染指标</w:t>
                  </w:r>
                </w:p>
              </w:tc>
              <w:tc>
                <w:tcPr>
                  <w:tcW w:w="1275"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土壤特征因子</w:t>
                  </w:r>
                </w:p>
              </w:tc>
              <w:tc>
                <w:tcPr>
                  <w:tcW w:w="1118"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废液</w:t>
                  </w:r>
                </w:p>
              </w:tc>
              <w:tc>
                <w:tcPr>
                  <w:tcW w:w="2693"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浸</w:t>
                  </w: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漆区</w:t>
                  </w:r>
                </w:p>
              </w:tc>
              <w:tc>
                <w:tcPr>
                  <w:tcW w:w="127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垂直入渗、地表漫流</w:t>
                  </w:r>
                </w:p>
              </w:tc>
              <w:tc>
                <w:tcPr>
                  <w:tcW w:w="1843" w:type="dxa"/>
                  <w:vMerge w:val="restart"/>
                  <w:tcBorders>
                    <w:top w:val="nil"/>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间二甲苯</w:t>
                  </w: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r>
                    <w:rPr>
                      <w:rFonts w:hint="eastAsia" w:ascii="Times New Roman" w:hAnsi="Times New Roman" w:eastAsia="宋体" w:cs="宋体"/>
                      <w:color w:val="000000" w:themeColor="text1"/>
                      <w:kern w:val="24"/>
                      <w:sz w:val="21"/>
                      <w:szCs w:val="21"/>
                      <w:highlight w:val="none"/>
                      <w:lang w:val="en-US" w:eastAsia="zh-CN" w:bidi="ar"/>
                      <w14:textFill>
                        <w14:solidFill>
                          <w14:schemeClr w14:val="tx1"/>
                        </w14:solidFill>
                      </w14:textFill>
                    </w:rPr>
                    <w:t>对二甲苯，邻二甲苯，氯仿，甲苯，乙苯，</w:t>
                  </w: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1,2-</w:t>
                  </w:r>
                  <w:r>
                    <w:rPr>
                      <w:rFonts w:hint="eastAsia" w:ascii="Times New Roman" w:hAnsi="Times New Roman" w:eastAsia="宋体" w:cs="宋体"/>
                      <w:color w:val="000000" w:themeColor="text1"/>
                      <w:kern w:val="24"/>
                      <w:sz w:val="21"/>
                      <w:szCs w:val="21"/>
                      <w:highlight w:val="none"/>
                      <w:lang w:val="en-US" w:eastAsia="zh-CN" w:bidi="ar"/>
                      <w14:textFill>
                        <w14:solidFill>
                          <w14:schemeClr w14:val="tx1"/>
                        </w14:solidFill>
                      </w14:textFill>
                    </w:rPr>
                    <w:t>二氯丙烷、</w:t>
                  </w: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1,2,3-</w:t>
                  </w:r>
                  <w:r>
                    <w:rPr>
                      <w:rFonts w:hint="eastAsia" w:ascii="Times New Roman" w:hAnsi="Times New Roman" w:eastAsia="宋体" w:cs="宋体"/>
                      <w:color w:val="000000" w:themeColor="text1"/>
                      <w:kern w:val="24"/>
                      <w:sz w:val="21"/>
                      <w:szCs w:val="21"/>
                      <w:highlight w:val="none"/>
                      <w:lang w:val="en-US" w:eastAsia="zh-CN" w:bidi="ar"/>
                      <w14:textFill>
                        <w14:solidFill>
                          <w14:schemeClr w14:val="tx1"/>
                        </w14:solidFill>
                      </w14:textFill>
                    </w:rPr>
                    <w:t>三氯丙烷，</w:t>
                  </w: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1,2-</w:t>
                  </w:r>
                  <w:r>
                    <w:rPr>
                      <w:rFonts w:hint="eastAsia" w:ascii="Times New Roman" w:hAnsi="Times New Roman" w:eastAsia="宋体" w:cs="宋体"/>
                      <w:color w:val="000000" w:themeColor="text1"/>
                      <w:kern w:val="24"/>
                      <w:sz w:val="21"/>
                      <w:szCs w:val="21"/>
                      <w:highlight w:val="none"/>
                      <w:lang w:val="en-US" w:eastAsia="zh-CN" w:bidi="ar"/>
                      <w14:textFill>
                        <w14:solidFill>
                          <w14:schemeClr w14:val="tx1"/>
                        </w14:solidFill>
                      </w14:textFill>
                    </w:rPr>
                    <w:t>二氯乙烷</w:t>
                  </w:r>
                </w:p>
              </w:tc>
              <w:tc>
                <w:tcPr>
                  <w:tcW w:w="1275"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1118"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事故工况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85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固废</w:t>
                  </w:r>
                </w:p>
              </w:tc>
              <w:tc>
                <w:tcPr>
                  <w:tcW w:w="2693"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危废库</w:t>
                  </w:r>
                </w:p>
              </w:tc>
              <w:tc>
                <w:tcPr>
                  <w:tcW w:w="127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垂直入渗</w:t>
                  </w:r>
                </w:p>
              </w:tc>
              <w:tc>
                <w:tcPr>
                  <w:tcW w:w="1843"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1275"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1118"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事故工况</w:t>
                  </w:r>
                </w:p>
              </w:tc>
            </w:tr>
          </w:tbl>
          <w:p>
            <w:pPr>
              <w:keepNext w:val="0"/>
              <w:keepLines w:val="0"/>
              <w:widowControl w:val="0"/>
              <w:numPr>
                <w:ilvl w:val="0"/>
                <w:numId w:val="3"/>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项目及周边土地利用类型及敏感目标</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根据生态环境部部长信箱中关于</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“周边”的定义，“周边”指建设项目可能影响的范围，应在工程分析基础上，识别建设项目影响类型与途径，结合建设项目所在地的气象、地形地貌、水文地质等条件判定。一般原则为地表漫流考虑厂界周围</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50m</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范围，垂直入渗考虑厂界内，无组织沉降考虑厂界周围</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200m</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范围；有组织沉降可根据最大落地浓度距离来考虑，一般可考虑</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1.0km</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范围。</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本项目的土壤环境影响途径识别是地表漫流和垂直入渗，故本评价周边确定为</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50m</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。项目位于繁昌经济开发区孙村园区，根据《土地利用现状分类》（</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GB/T21010-2017</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）判定，厂址周边</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50m</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范围内均为建设用地中第二类用地。</w:t>
            </w:r>
          </w:p>
          <w:p>
            <w:pPr>
              <w:keepNext w:val="0"/>
              <w:keepLines w:val="0"/>
              <w:widowControl w:val="0"/>
              <w:numPr>
                <w:ilvl w:val="0"/>
                <w:numId w:val="2"/>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评价等级确定</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建设项目土壤环境影响评价工作等级的划分标准，根据土壤环境影响评价项目类别、占地规模与敏感程度综合确定。</w:t>
            </w:r>
          </w:p>
          <w:p>
            <w:pPr>
              <w:keepNext w:val="0"/>
              <w:keepLines w:val="0"/>
              <w:widowControl w:val="0"/>
              <w:numPr>
                <w:ilvl w:val="0"/>
                <w:numId w:val="4"/>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建设项目类别</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根据上述分析，项目类别为</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Ⅰ类。</w:t>
            </w:r>
          </w:p>
          <w:p>
            <w:pPr>
              <w:keepNext w:val="0"/>
              <w:keepLines w:val="0"/>
              <w:widowControl w:val="0"/>
              <w:numPr>
                <w:ilvl w:val="0"/>
                <w:numId w:val="4"/>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建设项目占地规模</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本项目占地面积总计为</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9394</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m</w:t>
            </w:r>
            <w:r>
              <w:rPr>
                <w:rFonts w:hint="eastAsia" w:ascii="Times New Roman" w:hAnsi="Times New Roman" w:eastAsia="宋体" w:cs="Times New Roman"/>
                <w:color w:val="000000" w:themeColor="text1"/>
                <w:kern w:val="2"/>
                <w:sz w:val="24"/>
                <w:szCs w:val="24"/>
                <w:highlight w:val="none"/>
                <w:vertAlign w:val="superscript"/>
                <w:lang w:val="en-US" w:eastAsia="zh-CN" w:bidi="ar"/>
                <w14:textFill>
                  <w14:solidFill>
                    <w14:schemeClr w14:val="tx1"/>
                  </w14:solidFill>
                </w14:textFill>
              </w:rPr>
              <w:t>2</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，属于小型（</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5hm</w:t>
            </w:r>
            <w:r>
              <w:rPr>
                <w:rFonts w:hint="eastAsia" w:ascii="Times New Roman" w:hAnsi="Times New Roman" w:eastAsia="宋体" w:cs="Times New Roman"/>
                <w:color w:val="000000" w:themeColor="text1"/>
                <w:kern w:val="2"/>
                <w:sz w:val="24"/>
                <w:szCs w:val="24"/>
                <w:highlight w:val="none"/>
                <w:vertAlign w:val="superscript"/>
                <w:lang w:val="en-US" w:eastAsia="zh-CN" w:bidi="ar"/>
                <w14:textFill>
                  <w14:solidFill>
                    <w14:schemeClr w14:val="tx1"/>
                  </w14:solidFill>
                </w14:textFill>
              </w:rPr>
              <w:t>2</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w:t>
            </w:r>
          </w:p>
          <w:p>
            <w:pPr>
              <w:keepNext w:val="0"/>
              <w:keepLines w:val="0"/>
              <w:widowControl w:val="0"/>
              <w:numPr>
                <w:ilvl w:val="0"/>
                <w:numId w:val="4"/>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建设项目场地的土壤环境敏感程度</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建设项目的土壤环境敏感程度为不敏感，分级原则见</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下</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表。</w:t>
            </w:r>
          </w:p>
          <w:p>
            <w:pPr>
              <w:pStyle w:val="55"/>
              <w:keepNext w:val="0"/>
              <w:keepLines w:val="0"/>
              <w:suppressLineNumbers w:val="0"/>
              <w:bidi w:val="0"/>
              <w:spacing w:before="0" w:beforeAutospacing="0" w:after="0" w:afterAutospacing="0"/>
              <w:ind w:left="0" w:right="0"/>
              <w:jc w:val="center"/>
              <w:rPr>
                <w:rFonts w:hint="eastAsia" w:ascii="Times New Roman" w:hAnsi="Times New Roman" w:eastAsia="宋体"/>
                <w:b/>
                <w:bCs/>
                <w:color w:val="000000" w:themeColor="text1"/>
                <w:highlight w:val="none"/>
                <w14:textFill>
                  <w14:solidFill>
                    <w14:schemeClr w14:val="tx1"/>
                  </w14:solidFill>
                </w14:textFill>
              </w:rPr>
            </w:pPr>
            <w:r>
              <w:rPr>
                <w:rFonts w:hint="eastAsia" w:ascii="Times New Roman" w:hAnsi="Times New Roman" w:eastAsia="宋体"/>
                <w:b/>
                <w:bCs/>
                <w:color w:val="000000" w:themeColor="text1"/>
                <w:highlight w:val="none"/>
                <w:lang w:val="en-US" w:eastAsia="zh-CN"/>
                <w14:textFill>
                  <w14:solidFill>
                    <w14:schemeClr w14:val="tx1"/>
                  </w14:solidFill>
                </w14:textFill>
              </w:rPr>
              <w:t xml:space="preserve">表7-11 </w:t>
            </w:r>
            <w:r>
              <w:rPr>
                <w:rFonts w:hint="eastAsia" w:ascii="Times New Roman" w:hAnsi="Times New Roman" w:eastAsia="宋体"/>
                <w:b/>
                <w:bCs/>
                <w:color w:val="000000" w:themeColor="text1"/>
                <w:highlight w:val="none"/>
                <w14:textFill>
                  <w14:solidFill>
                    <w14:schemeClr w14:val="tx1"/>
                  </w14:solidFill>
                </w14:textFill>
              </w:rPr>
              <w:t>污染影响型敏感程度分级表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590"/>
              <w:gridCol w:w="7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敏感程度</w:t>
                  </w:r>
                </w:p>
              </w:tc>
              <w:tc>
                <w:tcPr>
                  <w:tcW w:w="7428"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判别依据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敏感</w:t>
                  </w:r>
                </w:p>
              </w:tc>
              <w:tc>
                <w:tcPr>
                  <w:tcW w:w="7428"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建设项目周边存在耕地、园地、牧草地、饮用水水源或居民区、学校、医院、疗养院、养老院等土壤环境敏感目标的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较敏感</w:t>
                  </w:r>
                </w:p>
              </w:tc>
              <w:tc>
                <w:tcPr>
                  <w:tcW w:w="7428"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建设项目周边存在其他土壤环境敏感目标的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1" w:type="dxa"/>
                  <w:tcBorders>
                    <w:top w:val="single" w:color="auto" w:sz="4" w:space="0"/>
                    <w:left w:val="single" w:color="auto" w:sz="4" w:space="0"/>
                    <w:bottom w:val="single" w:color="auto" w:sz="4" w:space="0"/>
                    <w:right w:val="single" w:color="auto" w:sz="4" w:space="0"/>
                  </w:tcBorders>
                  <w:shd w:val="clear" w:color="auto" w:fill="D7D7D7"/>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不敏感</w:t>
                  </w:r>
                </w:p>
              </w:tc>
              <w:tc>
                <w:tcPr>
                  <w:tcW w:w="7428" w:type="dxa"/>
                  <w:tcBorders>
                    <w:top w:val="single" w:color="auto" w:sz="4" w:space="0"/>
                    <w:left w:val="nil"/>
                    <w:bottom w:val="single" w:color="auto" w:sz="4" w:space="0"/>
                    <w:right w:val="single" w:color="auto" w:sz="4" w:space="0"/>
                  </w:tcBorders>
                  <w:shd w:val="clear" w:color="auto" w:fill="D7D7D7"/>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其他情况</w:t>
                  </w:r>
                </w:p>
              </w:tc>
            </w:tr>
          </w:tbl>
          <w:p>
            <w:pPr>
              <w:keepNext w:val="0"/>
              <w:keepLines w:val="0"/>
              <w:widowControl w:val="0"/>
              <w:numPr>
                <w:ilvl w:val="0"/>
                <w:numId w:val="4"/>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评价等级判定</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建设项目土壤环境影响评价工作等级划分见</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下</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表。</w:t>
            </w:r>
          </w:p>
          <w:p>
            <w:pPr>
              <w:pStyle w:val="55"/>
              <w:keepNext w:val="0"/>
              <w:keepLines w:val="0"/>
              <w:suppressLineNumbers w:val="0"/>
              <w:bidi w:val="0"/>
              <w:spacing w:before="0" w:beforeAutospacing="0" w:after="0" w:afterAutospacing="0"/>
              <w:ind w:left="0" w:right="0"/>
              <w:jc w:val="center"/>
              <w:rPr>
                <w:rFonts w:hint="eastAsia" w:ascii="Times New Roman" w:hAnsi="Times New Roman" w:eastAsia="宋体"/>
                <w:color w:val="000000" w:themeColor="text1"/>
                <w:highlight w:val="none"/>
                <w14:textFill>
                  <w14:solidFill>
                    <w14:schemeClr w14:val="tx1"/>
                  </w14:solidFill>
                </w14:textFill>
              </w:rPr>
            </w:pPr>
            <w:r>
              <w:rPr>
                <w:rFonts w:hint="eastAsia" w:ascii="Times New Roman" w:hAnsi="Times New Roman" w:eastAsia="宋体"/>
                <w:color w:val="000000" w:themeColor="text1"/>
                <w:highlight w:val="none"/>
                <w:lang w:val="en-US" w:eastAsia="zh-CN"/>
                <w14:textFill>
                  <w14:solidFill>
                    <w14:schemeClr w14:val="tx1"/>
                  </w14:solidFill>
                </w14:textFill>
              </w:rPr>
              <w:t xml:space="preserve">表7-12 </w:t>
            </w:r>
            <w:r>
              <w:rPr>
                <w:rFonts w:hint="eastAsia" w:ascii="Times New Roman" w:hAnsi="Times New Roman" w:eastAsia="宋体"/>
                <w:color w:val="000000" w:themeColor="text1"/>
                <w:highlight w:val="none"/>
                <w14:textFill>
                  <w14:solidFill>
                    <w14:schemeClr w14:val="tx1"/>
                  </w14:solidFill>
                </w14:textFill>
              </w:rPr>
              <w:t>评价工作等级分级表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476"/>
              <w:gridCol w:w="701"/>
              <w:gridCol w:w="699"/>
              <w:gridCol w:w="703"/>
              <w:gridCol w:w="702"/>
              <w:gridCol w:w="700"/>
              <w:gridCol w:w="698"/>
              <w:gridCol w:w="701"/>
              <w:gridCol w:w="701"/>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60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项目类别</w:t>
                  </w:r>
                </w:p>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环境敏感程度</w:t>
                  </w:r>
                </w:p>
              </w:tc>
              <w:tc>
                <w:tcPr>
                  <w:tcW w:w="2154" w:type="dxa"/>
                  <w:gridSpan w:val="3"/>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I</w:t>
                  </w: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类项目</w:t>
                  </w:r>
                </w:p>
              </w:tc>
              <w:tc>
                <w:tcPr>
                  <w:tcW w:w="2151" w:type="dxa"/>
                  <w:gridSpan w:val="3"/>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II</w:t>
                  </w: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类项目</w:t>
                  </w:r>
                </w:p>
              </w:tc>
              <w:tc>
                <w:tcPr>
                  <w:tcW w:w="2153" w:type="dxa"/>
                  <w:gridSpan w:val="3"/>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III</w:t>
                  </w: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718"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大</w:t>
                  </w:r>
                </w:p>
              </w:tc>
              <w:tc>
                <w:tcPr>
                  <w:tcW w:w="71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中</w:t>
                  </w:r>
                </w:p>
              </w:tc>
              <w:tc>
                <w:tcPr>
                  <w:tcW w:w="720"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小</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中</w:t>
                  </w:r>
                </w:p>
              </w:tc>
              <w:tc>
                <w:tcPr>
                  <w:tcW w:w="715"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小</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中</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敏感</w:t>
                  </w:r>
                </w:p>
              </w:tc>
              <w:tc>
                <w:tcPr>
                  <w:tcW w:w="718"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一级</w:t>
                  </w:r>
                </w:p>
              </w:tc>
              <w:tc>
                <w:tcPr>
                  <w:tcW w:w="71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一级</w:t>
                  </w:r>
                </w:p>
              </w:tc>
              <w:tc>
                <w:tcPr>
                  <w:tcW w:w="720"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一级</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二级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二级</w:t>
                  </w:r>
                </w:p>
              </w:tc>
              <w:tc>
                <w:tcPr>
                  <w:tcW w:w="715"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二级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三级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三级</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较敏感</w:t>
                  </w:r>
                </w:p>
              </w:tc>
              <w:tc>
                <w:tcPr>
                  <w:tcW w:w="718"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一级</w:t>
                  </w:r>
                </w:p>
              </w:tc>
              <w:tc>
                <w:tcPr>
                  <w:tcW w:w="71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一级</w:t>
                  </w:r>
                </w:p>
              </w:tc>
              <w:tc>
                <w:tcPr>
                  <w:tcW w:w="720"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二级</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二级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二级</w:t>
                  </w:r>
                </w:p>
              </w:tc>
              <w:tc>
                <w:tcPr>
                  <w:tcW w:w="715"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三级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三级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三级</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0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不敏感</w:t>
                  </w:r>
                </w:p>
              </w:tc>
              <w:tc>
                <w:tcPr>
                  <w:tcW w:w="718"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一级</w:t>
                  </w:r>
                </w:p>
              </w:tc>
              <w:tc>
                <w:tcPr>
                  <w:tcW w:w="716"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二级</w:t>
                  </w:r>
                </w:p>
              </w:tc>
              <w:tc>
                <w:tcPr>
                  <w:tcW w:w="720" w:type="dxa"/>
                  <w:tcBorders>
                    <w:top w:val="single" w:color="auto" w:sz="4" w:space="0"/>
                    <w:left w:val="nil"/>
                    <w:bottom w:val="single" w:color="auto" w:sz="4" w:space="0"/>
                    <w:right w:val="single" w:color="auto" w:sz="4" w:space="0"/>
                  </w:tcBorders>
                  <w:shd w:val="clear" w:color="auto" w:fill="D7D7D7" w:themeFill="background1" w:themeFillShade="D8"/>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二级</w:t>
                  </w:r>
                </w:p>
              </w:tc>
              <w:tc>
                <w:tcPr>
                  <w:tcW w:w="719" w:type="dxa"/>
                  <w:tcBorders>
                    <w:top w:val="single" w:color="auto" w:sz="4" w:space="0"/>
                    <w:left w:val="nil"/>
                    <w:bottom w:val="single" w:color="auto" w:sz="4" w:space="0"/>
                    <w:right w:val="single" w:color="auto" w:sz="4" w:space="0"/>
                  </w:tcBorders>
                  <w:shd w:val="clear" w:color="auto" w:fill="FFFFFF" w:themeFill="background1"/>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二级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三级</w:t>
                  </w:r>
                </w:p>
              </w:tc>
              <w:tc>
                <w:tcPr>
                  <w:tcW w:w="715"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三级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三级</w:t>
                  </w:r>
                </w:p>
              </w:tc>
              <w:tc>
                <w:tcPr>
                  <w:tcW w:w="71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c>
                <w:tcPr>
                  <w:tcW w:w="719"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059"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kern w:val="24"/>
                      <w:sz w:val="21"/>
                      <w:szCs w:val="21"/>
                      <w:highlight w:val="none"/>
                      <w14:textFill>
                        <w14:solidFill>
                          <w14:schemeClr w14:val="tx1"/>
                        </w14:solidFill>
                      </w14:textFill>
                    </w:rPr>
                  </w:pP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注：</w:t>
                  </w: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w:t>
                  </w:r>
                  <w:r>
                    <w:rPr>
                      <w:rFonts w:hint="eastAsia" w:ascii="Times New Roman" w:hAnsi="Times New Roman" w:eastAsia="宋体" w:cs="宋体"/>
                      <w:color w:val="000000" w:themeColor="text1"/>
                      <w:kern w:val="24"/>
                      <w:sz w:val="21"/>
                      <w:szCs w:val="21"/>
                      <w:highlight w:val="none"/>
                      <w:lang w:val="en-US" w:eastAsia="zh-CN" w:bidi="ar"/>
                      <w14:textFill>
                        <w14:solidFill>
                          <w14:schemeClr w14:val="tx1"/>
                        </w14:solidFill>
                      </w14:textFill>
                    </w:rPr>
                    <w:t>表示可不开展土壤环境影响评价工作</w:t>
                  </w:r>
                </w:p>
              </w:tc>
            </w:tr>
          </w:tbl>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本项目属于</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“Ⅰ类项目”，土壤环境敏感程度为“不敏感”，占地规模属于“小型”。根据上表，项目土壤环境影响评价工作等级为二级。</w:t>
            </w:r>
          </w:p>
          <w:p>
            <w:pPr>
              <w:keepNext w:val="0"/>
              <w:keepLines w:val="0"/>
              <w:widowControl w:val="0"/>
              <w:numPr>
                <w:ilvl w:val="0"/>
                <w:numId w:val="2"/>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土壤环境现状调查</w:t>
            </w:r>
          </w:p>
          <w:p>
            <w:pPr>
              <w:keepNext w:val="0"/>
              <w:keepLines w:val="0"/>
              <w:widowControl w:val="0"/>
              <w:numPr>
                <w:ilvl w:val="0"/>
                <w:numId w:val="5"/>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调查范围</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根据《环境影响评价技术导则</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 xml:space="preserve"> </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土壤环境》（</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HJ964-2018</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），建设项目</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除线性工程外</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土壤环境影响现状调查评价范围可根据建设项目影响类型、污染途径、气象条件、地形地貌、水文地质条件等确定并说明，或参考</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下</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表确定。</w:t>
            </w:r>
          </w:p>
          <w:p>
            <w:pPr>
              <w:pStyle w:val="55"/>
              <w:keepNext w:val="0"/>
              <w:keepLines w:val="0"/>
              <w:suppressLineNumbers w:val="0"/>
              <w:bidi w:val="0"/>
              <w:spacing w:before="0" w:beforeAutospacing="0" w:after="0" w:afterAutospacing="0"/>
              <w:ind w:left="0" w:right="0"/>
              <w:jc w:val="center"/>
              <w:rPr>
                <w:rFonts w:hint="eastAsia" w:ascii="Times New Roman" w:hAnsi="Times New Roman" w:eastAsia="宋体"/>
                <w:color w:val="000000" w:themeColor="text1"/>
                <w:highlight w:val="none"/>
                <w14:textFill>
                  <w14:solidFill>
                    <w14:schemeClr w14:val="tx1"/>
                  </w14:solidFill>
                </w14:textFill>
              </w:rPr>
            </w:pPr>
            <w:r>
              <w:rPr>
                <w:rFonts w:hint="eastAsia" w:ascii="Times New Roman" w:hAnsi="Times New Roman" w:eastAsia="宋体"/>
                <w:color w:val="000000" w:themeColor="text1"/>
                <w:highlight w:val="none"/>
                <w:lang w:val="en-US" w:eastAsia="zh-CN"/>
                <w14:textFill>
                  <w14:solidFill>
                    <w14:schemeClr w14:val="tx1"/>
                  </w14:solidFill>
                </w14:textFill>
              </w:rPr>
              <w:t xml:space="preserve">表7-13 </w:t>
            </w:r>
            <w:r>
              <w:rPr>
                <w:rFonts w:hint="eastAsia" w:ascii="Times New Roman" w:hAnsi="Times New Roman" w:eastAsia="宋体"/>
                <w:color w:val="000000" w:themeColor="text1"/>
                <w:highlight w:val="none"/>
                <w14:textFill>
                  <w14:solidFill>
                    <w14:schemeClr w14:val="tx1"/>
                  </w14:solidFill>
                </w14:textFill>
              </w:rPr>
              <w:t>现状调查范围</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769"/>
              <w:gridCol w:w="1776"/>
              <w:gridCol w:w="1988"/>
              <w:gridCol w:w="3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评价工作等级</w:t>
                  </w:r>
                </w:p>
              </w:tc>
              <w:tc>
                <w:tcPr>
                  <w:tcW w:w="1834" w:type="dxa"/>
                  <w:vMerge w:val="restart"/>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影响类型</w:t>
                  </w:r>
                </w:p>
              </w:tc>
              <w:tc>
                <w:tcPr>
                  <w:tcW w:w="5401" w:type="dxa"/>
                  <w:gridSpan w:val="2"/>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调查范围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1834"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205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占地范围内</w:t>
                  </w: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占地范围外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restart"/>
                  <w:tcBorders>
                    <w:top w:val="nil"/>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一级</w:t>
                  </w: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生态影响型</w:t>
                  </w:r>
                </w:p>
              </w:tc>
              <w:tc>
                <w:tcPr>
                  <w:tcW w:w="2054" w:type="dxa"/>
                  <w:vMerge w:val="restart"/>
                  <w:tcBorders>
                    <w:top w:val="nil"/>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全部</w:t>
                  </w: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5km</w:t>
                  </w: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污染影响型</w:t>
                  </w:r>
                </w:p>
              </w:tc>
              <w:tc>
                <w:tcPr>
                  <w:tcW w:w="205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1km</w:t>
                  </w: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restart"/>
                  <w:tcBorders>
                    <w:top w:val="nil"/>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二级</w:t>
                  </w: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生态影响型</w:t>
                  </w:r>
                </w:p>
              </w:tc>
              <w:tc>
                <w:tcPr>
                  <w:tcW w:w="205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2km</w:t>
                  </w: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污染影响型</w:t>
                  </w:r>
                </w:p>
              </w:tc>
              <w:tc>
                <w:tcPr>
                  <w:tcW w:w="205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0.2km</w:t>
                  </w: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restart"/>
                  <w:tcBorders>
                    <w:top w:val="nil"/>
                    <w:left w:val="single" w:color="auto" w:sz="4" w:space="0"/>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三级</w:t>
                  </w: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生态影响型</w:t>
                  </w:r>
                </w:p>
              </w:tc>
              <w:tc>
                <w:tcPr>
                  <w:tcW w:w="205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1km</w:t>
                  </w: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3" w:hRule="atLeast"/>
                <w:jc w:val="center"/>
              </w:trPr>
              <w:tc>
                <w:tcPr>
                  <w:tcW w:w="1827" w:type="dxa"/>
                  <w:vMerge w:val="continue"/>
                  <w:tcBorders>
                    <w:top w:val="nil"/>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1834"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污染影响型</w:t>
                  </w:r>
                </w:p>
              </w:tc>
              <w:tc>
                <w:tcPr>
                  <w:tcW w:w="2054"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3347" w:type="dxa"/>
                  <w:tcBorders>
                    <w:top w:val="single" w:color="auto" w:sz="4" w:space="0"/>
                    <w:left w:val="nil"/>
                    <w:bottom w:val="single" w:color="auto" w:sz="4" w:space="0"/>
                    <w:right w:val="single" w:color="auto" w:sz="4" w:space="0"/>
                  </w:tcBorders>
                  <w:shd w:val="clear" w:color="auto" w:fill="auto"/>
                  <w:vAlign w:val="center"/>
                </w:tcPr>
                <w:p>
                  <w:pPr>
                    <w:pStyle w:val="29"/>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4"/>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0.05km</w:t>
                  </w:r>
                  <w:r>
                    <w:rPr>
                      <w:rFonts w:hint="eastAsia" w:ascii="Times New Roman" w:hAnsi="Times New Roman" w:eastAsia="宋体" w:cs="Times New Roman"/>
                      <w:color w:val="000000" w:themeColor="text1"/>
                      <w:kern w:val="24"/>
                      <w:sz w:val="21"/>
                      <w:szCs w:val="21"/>
                      <w:highlight w:val="none"/>
                      <w:lang w:val="en-US" w:eastAsia="zh-CN" w:bidi="ar"/>
                      <w14:textFill>
                        <w14:solidFill>
                          <w14:schemeClr w14:val="tx1"/>
                        </w14:solidFill>
                      </w14:textFill>
                    </w:rPr>
                    <w:t>范围内</w:t>
                  </w:r>
                </w:p>
              </w:tc>
            </w:tr>
          </w:tbl>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本项目评价等级为二级、影响类型为污染影响型，故其现状评价范围确定为厂区以及厂区外</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0.2k</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m</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的范围内。</w:t>
            </w:r>
          </w:p>
          <w:p>
            <w:pPr>
              <w:keepNext w:val="0"/>
              <w:keepLines w:val="0"/>
              <w:widowControl w:val="0"/>
              <w:numPr>
                <w:ilvl w:val="0"/>
                <w:numId w:val="5"/>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区域土壤资料调查</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a.</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土壤类型分布</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根据</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“国家土壤信息平台”的数据，项目调查范围内共有一种土壤类型，土壤类型为鳝血水稻土。</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b.</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土地利用规划</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项目位于</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繁昌经济开发区孙村园区</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，项目区用地规划为工业用地。</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c.</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土地利用现状</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根据现场调查，项目区属于工业建设区域，现状为建设用地。</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d.</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气象资料、地形地貌特征资料、水文及水文地质资料等</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详见前述章节</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“建设项目所在地自然环境简况”。</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e.</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土地利用历史情况</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根据现场调查，项目区</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闲置厂房</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，无土地利用历史情况。</w:t>
            </w:r>
          </w:p>
          <w:p>
            <w:pPr>
              <w:keepNext w:val="0"/>
              <w:keepLines w:val="0"/>
              <w:widowControl w:val="0"/>
              <w:numPr>
                <w:ilvl w:val="0"/>
                <w:numId w:val="2"/>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土壤环境影响预测与评价</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项目评价工作等级为二级，本评价采用定性描述的方法进行预测。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全厂严格按照设计规范要求采取防渗措施，正常情况下不会污染土壤；如若发生防渗膜失效等非正常情况，污染物可能会透过防渗膜从而污染土壤。因此建设单位应该采取严格有效的防渗措施，一旦发生非正常情况，立即采取相应的应急处理措施，切断污染源，将事故影响减小至最低。故项目运行期对土壤环境的影响途径主要为喷漆区、危废库等地面防渗破损事故工况造成的污水地表漫流及垂直入渗影响区域土壤环境。</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本项目对喷漆区、危废库严格控制，按照监测计划定期监测土壤，同时对厂区可能产生污染的区域均按要求进行相应等级的防渗，事故情况下立即采取相应的应急处理措施，切断污染源，采取措施后，项目运行期对土壤环境的污染影响较小。</w:t>
            </w:r>
          </w:p>
          <w:p>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地面漫流途径土壤环境影响分析</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生产运行过程中喷漆区、危废库等地面防渗破损事故工况下废水会发生地面漫流，对区域土壤环境造成影响。本项目处理规模较小且安排专人巡查，发生泄漏等事故能及时发现，事故工况下地面漫流对区域土壤环境的影响很小。</w:t>
            </w:r>
          </w:p>
          <w:p>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垂直入渗算途径土壤环境影响分析</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生产运行过程中喷漆区、危废库等地面防渗破损事故工况会造成污染物垂直入渗影响区域土壤环境。根据项目各功能单元是否可能对地下水造成污染及其风险程度，将项目占地区域划分为重点防渗区、一般防渗区和简单防渗区并采取分区防渗措施。在全面落实分区防渗的情况下，废水及固废污染物的垂直入渗对区域土壤环境的影响较小。</w:t>
            </w:r>
          </w:p>
          <w:p>
            <w:pPr>
              <w:keepNext w:val="0"/>
              <w:keepLines w:val="0"/>
              <w:widowControl w:val="0"/>
              <w:numPr>
                <w:ilvl w:val="0"/>
                <w:numId w:val="6"/>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预测评价结论</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本项目通过定性分析，从地面漫流和垂直入渗两个途径分析了项目运营期对区域土壤环境的影响。在企业全面落实分区防渗、做好事故应急措施的情况下，本项目的建设对区域土壤环境的影响较小。</w:t>
            </w:r>
          </w:p>
          <w:p>
            <w:pPr>
              <w:keepNext w:val="0"/>
              <w:keepLines w:val="0"/>
              <w:widowControl w:val="0"/>
              <w:numPr>
                <w:ilvl w:val="0"/>
                <w:numId w:val="2"/>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土壤环境保护措施与对策</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根据《环境影响评价技术导则</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 xml:space="preserve"> </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土壤环境（试行）》（</w:t>
            </w: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HJ964-2018</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）、《工矿用地土壤环境管理办法（试行）》（部令第</w:t>
            </w:r>
            <w:r>
              <w:rPr>
                <w:rFonts w:hint="default"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3</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号）等要求，拟建项目应采取如下土壤污染控制措施：</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防控措施：</w:t>
            </w:r>
          </w:p>
          <w:p>
            <w:pPr>
              <w:keepNext w:val="0"/>
              <w:keepLines w:val="0"/>
              <w:widowControl w:val="0"/>
              <w:numPr>
                <w:ilvl w:val="0"/>
                <w:numId w:val="7"/>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严格按照防渗分区及防渗要求，对各构筑物采取相应的防渗措施；装置和管道等存在土壤污染风险的设施，应当按照国家有关标准和规范的要求，设计、建设和安装有关防腐蚀、防泄漏设施和泄漏监测装置，从而控制污染物通过垂直入渗影响土壤环境。</w:t>
            </w:r>
          </w:p>
          <w:p>
            <w:pPr>
              <w:keepNext w:val="0"/>
              <w:keepLines w:val="0"/>
              <w:widowControl w:val="0"/>
              <w:numPr>
                <w:ilvl w:val="0"/>
                <w:numId w:val="7"/>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建立土壤污染隐患排查治理制度，定期对重点区域、重点设施开展隐患排查。发现污染隐患的，应当制定整改方案，及时采取技术、管理措施消除隐患。隐患排查、治理情况应当如实记录并建立档案。</w:t>
            </w:r>
          </w:p>
          <w:p>
            <w:pPr>
              <w:keepNext w:val="0"/>
              <w:keepLines w:val="0"/>
              <w:widowControl w:val="0"/>
              <w:numPr>
                <w:ilvl w:val="0"/>
                <w:numId w:val="7"/>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s="Times New Roman"/>
                <w:color w:val="000000" w:themeColor="text1"/>
                <w:kern w:val="2"/>
                <w:sz w:val="24"/>
                <w:szCs w:val="24"/>
                <w:highlight w:val="none"/>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按照相关技术规范要求，自行或者委托第三方定期开展土壤监测，重点监测存在污染隐患的区域和设施周边的土壤、地下水，并按照规定公开相关信息。</w:t>
            </w:r>
          </w:p>
          <w:p>
            <w:pPr>
              <w:keepNext w:val="0"/>
              <w:keepLines w:val="0"/>
              <w:widowControl w:val="0"/>
              <w:numPr>
                <w:ilvl w:val="0"/>
                <w:numId w:val="7"/>
              </w:numPr>
              <w:suppressLineNumbers w:val="0"/>
              <w:spacing w:before="0" w:beforeAutospacing="0" w:after="0" w:afterAutospacing="0" w:line="360" w:lineRule="auto"/>
              <w:ind w:left="0" w:leftChars="0" w:right="0" w:firstLine="480" w:firstLineChars="200"/>
              <w:jc w:val="both"/>
              <w:rPr>
                <w:rFonts w:hint="eastAsia" w:ascii="Times New Roman" w:hAnsi="Times New Roman" w:eastAsia="宋体"/>
                <w:color w:val="000000" w:themeColor="text1"/>
                <w:sz w:val="24"/>
                <w:szCs w:val="22"/>
                <w:highlight w:val="none"/>
                <w:lang w:val="en-US" w:eastAsia="zh-CN"/>
                <w14:textFill>
                  <w14:solidFill>
                    <w14:schemeClr w14:val="tx1"/>
                  </w14:solidFill>
                </w14:textFill>
              </w:rPr>
            </w:pP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在隐患排查、监测等活动中发现项目用地土壤存在污染迹象的，应当排查污染源，查明污染原因，采取措施防止新增污染，并参照污染地块土壤环境管理有关规定及时开展土壤环境调查与风险评估，根据调查与风险评估结果采取风险管控或者治理与修复等措施</w:t>
            </w:r>
            <w:r>
              <w:rPr>
                <w:rFonts w:hint="eastAsia" w:ascii="Times New Roman" w:hAnsi="Times New Roman" w:eastAsia="宋体" w:cs="宋体"/>
                <w:color w:val="000000" w:themeColor="text1"/>
                <w:kern w:val="2"/>
                <w:sz w:val="24"/>
                <w:szCs w:val="24"/>
                <w:highlight w:val="none"/>
                <w:lang w:val="en-US" w:eastAsia="zh-CN" w:bidi="ar"/>
                <w14:textFill>
                  <w14:solidFill>
                    <w14:schemeClr w14:val="tx1"/>
                  </w14:solidFill>
                </w14:textFill>
              </w:rPr>
              <w:t>。</w:t>
            </w:r>
          </w:p>
          <w:p>
            <w:pPr>
              <w:spacing w:line="360" w:lineRule="auto"/>
              <w:ind w:firstLine="482" w:firstLineChars="200"/>
              <w:rPr>
                <w:rFonts w:ascii="Times New Roman" w:hAnsi="Times New Roman" w:eastAsia="宋体"/>
                <w:b/>
                <w:bCs/>
                <w:color w:val="000000" w:themeColor="text1"/>
                <w:sz w:val="24"/>
                <w:highlight w:val="none"/>
                <w14:textFill>
                  <w14:solidFill>
                    <w14:schemeClr w14:val="tx1"/>
                  </w14:solidFill>
                </w14:textFill>
              </w:rPr>
            </w:pPr>
            <w:r>
              <w:rPr>
                <w:rFonts w:ascii="Times New Roman" w:hAnsi="Times New Roman" w:eastAsia="宋体"/>
                <w:b/>
                <w:bCs/>
                <w:color w:val="000000" w:themeColor="text1"/>
                <w:sz w:val="24"/>
                <w:highlight w:val="none"/>
                <w14:textFill>
                  <w14:solidFill>
                    <w14:schemeClr w14:val="tx1"/>
                  </w14:solidFill>
                </w14:textFill>
              </w:rPr>
              <w:t>7、环境风险分析</w:t>
            </w:r>
          </w:p>
          <w:p>
            <w:pPr>
              <w:spacing w:line="360" w:lineRule="auto"/>
              <w:ind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环境风险防范意识是企业安全生产的前提和保障，本次评价仅对项目潜在的危险源和可能造成的污染事故及环境影响进行简单分析、评价，并提出防止事故措施，以达到降低风险，减少危害的目的。</w:t>
            </w:r>
          </w:p>
          <w:p>
            <w:pPr>
              <w:pStyle w:val="19"/>
              <w:tabs>
                <w:tab w:val="left" w:pos="180"/>
              </w:tabs>
              <w:spacing w:after="0" w:line="360" w:lineRule="auto"/>
              <w:ind w:leftChars="15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（1）环境风险评价等级判定依据</w:t>
            </w:r>
          </w:p>
          <w:p>
            <w:pPr>
              <w:pStyle w:val="17"/>
              <w:spacing w:line="360" w:lineRule="auto"/>
              <w:ind w:firstLine="480" w:firstLineChars="200"/>
              <w:rPr>
                <w:rFonts w:ascii="Times New Roman" w:hAnsi="Times New Roman" w:eastAsia="宋体"/>
                <w:color w:val="000000" w:themeColor="text1"/>
                <w:sz w:val="24"/>
                <w:szCs w:val="24"/>
                <w:highlight w:val="none"/>
                <w14:textFill>
                  <w14:solidFill>
                    <w14:schemeClr w14:val="tx1"/>
                  </w14:solidFill>
                </w14:textFill>
              </w:rPr>
            </w:pPr>
            <w:r>
              <w:rPr>
                <w:rFonts w:ascii="Times New Roman" w:hAnsi="Times New Roman" w:eastAsia="宋体"/>
                <w:color w:val="000000" w:themeColor="text1"/>
                <w:sz w:val="24"/>
                <w:szCs w:val="24"/>
                <w:highlight w:val="none"/>
                <w14:textFill>
                  <w14:solidFill>
                    <w14:schemeClr w14:val="tx1"/>
                  </w14:solidFill>
                </w14:textFill>
              </w:rPr>
              <w:t>依据《建设项目环境风险评价技术导则》（HJ169-2018），需对项目环境风险评价划分工作等级，划分依据见表7-1</w:t>
            </w: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4</w:t>
            </w:r>
            <w:r>
              <w:rPr>
                <w:rFonts w:ascii="Times New Roman" w:hAnsi="Times New Roman" w:eastAsia="宋体"/>
                <w:color w:val="000000" w:themeColor="text1"/>
                <w:sz w:val="24"/>
                <w:szCs w:val="24"/>
                <w:highlight w:val="none"/>
                <w14:textFill>
                  <w14:solidFill>
                    <w14:schemeClr w14:val="tx1"/>
                  </w14:solidFill>
                </w14:textFill>
              </w:rPr>
              <w:t>。</w:t>
            </w:r>
          </w:p>
          <w:p>
            <w:pPr>
              <w:pStyle w:val="17"/>
              <w:spacing w:line="440" w:lineRule="exact"/>
              <w:ind w:firstLine="482" w:firstLineChars="200"/>
              <w:jc w:val="center"/>
              <w:rPr>
                <w:rFonts w:ascii="Times New Roman" w:hAnsi="Times New Roman" w:eastAsia="宋体"/>
                <w:color w:val="000000" w:themeColor="text1"/>
                <w:sz w:val="24"/>
                <w:szCs w:val="24"/>
                <w:highlight w:val="none"/>
                <w14:textFill>
                  <w14:solidFill>
                    <w14:schemeClr w14:val="tx1"/>
                  </w14:solidFill>
                </w14:textFill>
              </w:rPr>
            </w:pPr>
            <w:r>
              <w:rPr>
                <w:rFonts w:ascii="Times New Roman" w:hAnsi="Times New Roman" w:eastAsia="宋体"/>
                <w:b/>
                <w:color w:val="000000" w:themeColor="text1"/>
                <w:sz w:val="24"/>
                <w:highlight w:val="none"/>
                <w14:textFill>
                  <w14:solidFill>
                    <w14:schemeClr w14:val="tx1"/>
                  </w14:solidFill>
                </w14:textFill>
              </w:rPr>
              <w:t>表7-1</w:t>
            </w:r>
            <w:r>
              <w:rPr>
                <w:rFonts w:hint="eastAsia" w:ascii="Times New Roman" w:hAnsi="Times New Roman" w:eastAsia="宋体"/>
                <w:b/>
                <w:color w:val="000000" w:themeColor="text1"/>
                <w:sz w:val="24"/>
                <w:highlight w:val="none"/>
                <w:lang w:val="en-US" w:eastAsia="zh-CN"/>
                <w14:textFill>
                  <w14:solidFill>
                    <w14:schemeClr w14:val="tx1"/>
                  </w14:solidFill>
                </w14:textFill>
              </w:rPr>
              <w:t>4</w:t>
            </w:r>
            <w:r>
              <w:rPr>
                <w:rFonts w:ascii="Times New Roman" w:hAnsi="Times New Roman" w:eastAsia="宋体"/>
                <w:b/>
                <w:color w:val="000000" w:themeColor="text1"/>
                <w:sz w:val="24"/>
                <w:highlight w:val="none"/>
                <w14:textFill>
                  <w14:solidFill>
                    <w14:schemeClr w14:val="tx1"/>
                  </w14:solidFill>
                </w14:textFill>
              </w:rPr>
              <w:t xml:space="preserve">  建设项目环境风险评价工作等级判别表</w:t>
            </w:r>
          </w:p>
          <w:tbl>
            <w:tblPr>
              <w:tblStyle w:val="32"/>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55"/>
              <w:gridCol w:w="1561"/>
              <w:gridCol w:w="1709"/>
              <w:gridCol w:w="2018"/>
              <w:gridCol w:w="175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98" w:type="pct"/>
                  <w:tcBorders>
                    <w:tl2br w:val="nil"/>
                    <w:tr2bl w:val="nil"/>
                  </w:tcBorders>
                  <w:vAlign w:val="center"/>
                </w:tcPr>
                <w:p>
                  <w:pPr>
                    <w:pStyle w:val="82"/>
                    <w:spacing w:before="0" w:line="240" w:lineRule="auto"/>
                    <w:ind w:firstLine="0"/>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环境风险潜势</w:t>
                  </w:r>
                </w:p>
              </w:tc>
              <w:tc>
                <w:tcPr>
                  <w:tcW w:w="887" w:type="pct"/>
                  <w:tcBorders>
                    <w:tl2br w:val="nil"/>
                    <w:tr2bl w:val="nil"/>
                  </w:tcBorders>
                  <w:vAlign w:val="center"/>
                </w:tcPr>
                <w:p>
                  <w:pPr>
                    <w:pStyle w:val="82"/>
                    <w:spacing w:before="0" w:line="240" w:lineRule="auto"/>
                    <w:ind w:firstLine="0"/>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IV、IV</w:t>
                  </w:r>
                  <w:r>
                    <w:rPr>
                      <w:rFonts w:ascii="Times New Roman" w:hAnsi="Times New Roman" w:eastAsia="宋体"/>
                      <w:color w:val="000000" w:themeColor="text1"/>
                      <w:sz w:val="21"/>
                      <w:szCs w:val="21"/>
                      <w:highlight w:val="none"/>
                      <w:vertAlign w:val="superscript"/>
                      <w14:textFill>
                        <w14:solidFill>
                          <w14:schemeClr w14:val="tx1"/>
                        </w14:solidFill>
                      </w14:textFill>
                    </w:rPr>
                    <w:t>+</w:t>
                  </w:r>
                </w:p>
              </w:tc>
              <w:tc>
                <w:tcPr>
                  <w:tcW w:w="971" w:type="pct"/>
                  <w:tcBorders>
                    <w:tl2br w:val="nil"/>
                    <w:tr2bl w:val="nil"/>
                  </w:tcBorders>
                  <w:vAlign w:val="center"/>
                </w:tcPr>
                <w:p>
                  <w:pPr>
                    <w:pStyle w:val="82"/>
                    <w:spacing w:before="0" w:line="240" w:lineRule="auto"/>
                    <w:ind w:firstLine="0"/>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Ⅲ</w:t>
                  </w:r>
                </w:p>
              </w:tc>
              <w:tc>
                <w:tcPr>
                  <w:tcW w:w="1147" w:type="pct"/>
                  <w:tcBorders>
                    <w:tl2br w:val="nil"/>
                    <w:tr2bl w:val="nil"/>
                  </w:tcBorders>
                  <w:vAlign w:val="center"/>
                </w:tcPr>
                <w:p>
                  <w:pPr>
                    <w:pStyle w:val="82"/>
                    <w:spacing w:before="0" w:line="240" w:lineRule="auto"/>
                    <w:ind w:firstLine="0"/>
                    <w:jc w:val="center"/>
                    <w:rPr>
                      <w:rFonts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П</w:t>
                  </w:r>
                </w:p>
              </w:tc>
              <w:tc>
                <w:tcPr>
                  <w:tcW w:w="995" w:type="pct"/>
                  <w:tcBorders>
                    <w:tl2br w:val="nil"/>
                    <w:tr2bl w:val="nil"/>
                  </w:tcBorders>
                  <w:vAlign w:val="center"/>
                </w:tcPr>
                <w:p>
                  <w:pPr>
                    <w:pStyle w:val="82"/>
                    <w:spacing w:before="0" w:line="240" w:lineRule="auto"/>
                    <w:ind w:firstLine="0"/>
                    <w:jc w:val="center"/>
                    <w:rPr>
                      <w:rFonts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98" w:type="pct"/>
                  <w:tcBorders>
                    <w:tl2br w:val="nil"/>
                    <w:tr2bl w:val="nil"/>
                  </w:tcBorders>
                  <w:vAlign w:val="center"/>
                </w:tcPr>
                <w:p>
                  <w:pPr>
                    <w:pStyle w:val="82"/>
                    <w:spacing w:before="0" w:line="240" w:lineRule="auto"/>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评价工作等级</w:t>
                  </w:r>
                </w:p>
              </w:tc>
              <w:tc>
                <w:tcPr>
                  <w:tcW w:w="887" w:type="pct"/>
                  <w:tcBorders>
                    <w:tl2br w:val="nil"/>
                    <w:tr2bl w:val="nil"/>
                  </w:tcBorders>
                  <w:vAlign w:val="center"/>
                </w:tcPr>
                <w:p>
                  <w:pPr>
                    <w:pStyle w:val="82"/>
                    <w:spacing w:before="0" w:line="240" w:lineRule="auto"/>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一</w:t>
                  </w:r>
                </w:p>
              </w:tc>
              <w:tc>
                <w:tcPr>
                  <w:tcW w:w="971" w:type="pct"/>
                  <w:tcBorders>
                    <w:tl2br w:val="nil"/>
                    <w:tr2bl w:val="nil"/>
                  </w:tcBorders>
                  <w:vAlign w:val="center"/>
                </w:tcPr>
                <w:p>
                  <w:pPr>
                    <w:pStyle w:val="82"/>
                    <w:spacing w:before="0" w:line="240" w:lineRule="auto"/>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二</w:t>
                  </w:r>
                </w:p>
              </w:tc>
              <w:tc>
                <w:tcPr>
                  <w:tcW w:w="1147" w:type="pct"/>
                  <w:tcBorders>
                    <w:tl2br w:val="nil"/>
                    <w:tr2bl w:val="nil"/>
                  </w:tcBorders>
                  <w:vAlign w:val="center"/>
                </w:tcPr>
                <w:p>
                  <w:pPr>
                    <w:pStyle w:val="82"/>
                    <w:spacing w:before="0" w:line="240" w:lineRule="auto"/>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三</w:t>
                  </w:r>
                </w:p>
              </w:tc>
              <w:tc>
                <w:tcPr>
                  <w:tcW w:w="995" w:type="pct"/>
                  <w:tcBorders>
                    <w:tl2br w:val="nil"/>
                    <w:tr2bl w:val="nil"/>
                  </w:tcBorders>
                  <w:vAlign w:val="center"/>
                </w:tcPr>
                <w:p>
                  <w:pPr>
                    <w:pStyle w:val="82"/>
                    <w:spacing w:before="0" w:line="240" w:lineRule="auto"/>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简单分析</w:t>
                  </w:r>
                </w:p>
              </w:tc>
            </w:tr>
          </w:tbl>
          <w:p>
            <w:pPr>
              <w:pStyle w:val="19"/>
              <w:tabs>
                <w:tab w:val="left" w:pos="180"/>
              </w:tabs>
              <w:spacing w:after="0" w:line="360" w:lineRule="auto"/>
              <w:ind w:left="0" w:leftChars="0"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（2）环境风险潜势确定</w:t>
            </w:r>
          </w:p>
          <w:p>
            <w:pPr>
              <w:pStyle w:val="19"/>
              <w:tabs>
                <w:tab w:val="left" w:pos="180"/>
              </w:tabs>
              <w:spacing w:after="0" w:line="360" w:lineRule="auto"/>
              <w:ind w:left="0" w:leftChars="0"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环境风险潜势是根据建设项目涉及的物质和工艺系统的危险性及其所在地的环境敏感程度，结合事故情形下环境影响途径，对建设项目潜在环境危害程度的一种量化形式。环境风险潜势划分依据见表7-1</w:t>
            </w:r>
            <w:r>
              <w:rPr>
                <w:rFonts w:hint="eastAsia" w:ascii="Times New Roman" w:hAnsi="Times New Roman" w:eastAsia="宋体"/>
                <w:color w:val="000000" w:themeColor="text1"/>
                <w:sz w:val="24"/>
                <w:highlight w:val="none"/>
                <w:lang w:val="en-US" w:eastAsia="zh-CN"/>
                <w14:textFill>
                  <w14:solidFill>
                    <w14:schemeClr w14:val="tx1"/>
                  </w14:solidFill>
                </w14:textFill>
              </w:rPr>
              <w:t>5</w:t>
            </w:r>
            <w:r>
              <w:rPr>
                <w:rFonts w:ascii="Times New Roman" w:hAnsi="Times New Roman" w:eastAsia="宋体"/>
                <w:color w:val="000000" w:themeColor="text1"/>
                <w:sz w:val="24"/>
                <w:highlight w:val="none"/>
                <w14:textFill>
                  <w14:solidFill>
                    <w14:schemeClr w14:val="tx1"/>
                  </w14:solidFill>
                </w14:textFill>
              </w:rPr>
              <w:t>。</w:t>
            </w:r>
          </w:p>
          <w:p>
            <w:pPr>
              <w:pStyle w:val="17"/>
              <w:spacing w:line="440" w:lineRule="exact"/>
              <w:ind w:firstLine="482" w:firstLineChars="200"/>
              <w:jc w:val="center"/>
              <w:rPr>
                <w:rFonts w:ascii="Times New Roman" w:hAnsi="Times New Roman" w:eastAsia="宋体"/>
                <w:color w:val="000000" w:themeColor="text1"/>
                <w:sz w:val="24"/>
                <w:szCs w:val="24"/>
                <w:highlight w:val="none"/>
                <w14:textFill>
                  <w14:solidFill>
                    <w14:schemeClr w14:val="tx1"/>
                  </w14:solidFill>
                </w14:textFill>
              </w:rPr>
            </w:pPr>
            <w:r>
              <w:rPr>
                <w:rFonts w:ascii="Times New Roman" w:hAnsi="Times New Roman" w:eastAsia="宋体"/>
                <w:b/>
                <w:color w:val="000000" w:themeColor="text1"/>
                <w:sz w:val="24"/>
                <w:highlight w:val="none"/>
                <w14:textFill>
                  <w14:solidFill>
                    <w14:schemeClr w14:val="tx1"/>
                  </w14:solidFill>
                </w14:textFill>
              </w:rPr>
              <w:t>表7-1</w:t>
            </w:r>
            <w:r>
              <w:rPr>
                <w:rFonts w:hint="eastAsia" w:ascii="Times New Roman" w:hAnsi="Times New Roman" w:eastAsia="宋体"/>
                <w:b/>
                <w:color w:val="000000" w:themeColor="text1"/>
                <w:sz w:val="24"/>
                <w:highlight w:val="none"/>
                <w:lang w:val="en-US" w:eastAsia="zh-CN"/>
                <w14:textFill>
                  <w14:solidFill>
                    <w14:schemeClr w14:val="tx1"/>
                  </w14:solidFill>
                </w14:textFill>
              </w:rPr>
              <w:t>5</w:t>
            </w:r>
            <w:r>
              <w:rPr>
                <w:rFonts w:ascii="Times New Roman" w:hAnsi="Times New Roman" w:eastAsia="宋体"/>
                <w:b/>
                <w:color w:val="000000" w:themeColor="text1"/>
                <w:sz w:val="24"/>
                <w:highlight w:val="none"/>
                <w14:textFill>
                  <w14:solidFill>
                    <w14:schemeClr w14:val="tx1"/>
                  </w14:solidFill>
                </w14:textFill>
              </w:rPr>
              <w:t xml:space="preserve"> 建设项目环境风险潜势划分</w:t>
            </w:r>
          </w:p>
          <w:tbl>
            <w:tblPr>
              <w:tblStyle w:val="32"/>
              <w:tblW w:w="0" w:type="auto"/>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54"/>
              <w:gridCol w:w="1560"/>
              <w:gridCol w:w="1707"/>
              <w:gridCol w:w="2015"/>
              <w:gridCol w:w="175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809" w:type="dxa"/>
                  <w:vMerge w:val="restart"/>
                  <w:tcBorders>
                    <w:tl2br w:val="nil"/>
                    <w:tr2bl w:val="nil"/>
                  </w:tcBorders>
                  <w:vAlign w:val="center"/>
                </w:tcPr>
                <w:p>
                  <w:pPr>
                    <w:pStyle w:val="82"/>
                    <w:spacing w:before="0" w:line="340" w:lineRule="exact"/>
                    <w:ind w:firstLine="0"/>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环境敏感程度E</w:t>
                  </w:r>
                </w:p>
              </w:tc>
              <w:tc>
                <w:tcPr>
                  <w:tcW w:w="7251" w:type="dxa"/>
                  <w:gridSpan w:val="4"/>
                  <w:tcBorders>
                    <w:tl2br w:val="nil"/>
                    <w:tr2bl w:val="nil"/>
                  </w:tcBorders>
                  <w:vAlign w:val="center"/>
                </w:tcPr>
                <w:p>
                  <w:pPr>
                    <w:pStyle w:val="82"/>
                    <w:spacing w:before="0" w:line="340" w:lineRule="exact"/>
                    <w:ind w:firstLine="0"/>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危险物质及工艺系统危险性P</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809" w:type="dxa"/>
                  <w:vMerge w:val="continue"/>
                  <w:tcBorders>
                    <w:tl2br w:val="nil"/>
                    <w:tr2bl w:val="nil"/>
                  </w:tcBorders>
                  <w:vAlign w:val="center"/>
                </w:tcPr>
                <w:p>
                  <w:pPr>
                    <w:pStyle w:val="82"/>
                    <w:spacing w:before="0" w:line="340" w:lineRule="exact"/>
                    <w:ind w:firstLine="0"/>
                    <w:jc w:val="center"/>
                    <w:rPr>
                      <w:rFonts w:ascii="Times New Roman" w:hAnsi="Times New Roman" w:eastAsia="宋体"/>
                      <w:b/>
                      <w:color w:val="000000" w:themeColor="text1"/>
                      <w:sz w:val="21"/>
                      <w:szCs w:val="21"/>
                      <w:highlight w:val="none"/>
                      <w14:textFill>
                        <w14:solidFill>
                          <w14:schemeClr w14:val="tx1"/>
                        </w14:solidFill>
                      </w14:textFill>
                    </w:rPr>
                  </w:pPr>
                </w:p>
              </w:tc>
              <w:tc>
                <w:tcPr>
                  <w:tcW w:w="1603" w:type="dxa"/>
                  <w:tcBorders>
                    <w:tl2br w:val="nil"/>
                    <w:tr2bl w:val="nil"/>
                  </w:tcBorders>
                  <w:vAlign w:val="center"/>
                </w:tcPr>
                <w:p>
                  <w:pPr>
                    <w:pStyle w:val="82"/>
                    <w:spacing w:before="0" w:line="340" w:lineRule="exact"/>
                    <w:ind w:firstLine="0"/>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极高危害</w:t>
                  </w:r>
                </w:p>
              </w:tc>
              <w:tc>
                <w:tcPr>
                  <w:tcW w:w="1759" w:type="dxa"/>
                  <w:tcBorders>
                    <w:tl2br w:val="nil"/>
                    <w:tr2bl w:val="nil"/>
                  </w:tcBorders>
                  <w:vAlign w:val="center"/>
                </w:tcPr>
                <w:p>
                  <w:pPr>
                    <w:pStyle w:val="82"/>
                    <w:spacing w:before="0" w:line="340" w:lineRule="exact"/>
                    <w:ind w:firstLine="0"/>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高度危害</w:t>
                  </w:r>
                </w:p>
              </w:tc>
              <w:tc>
                <w:tcPr>
                  <w:tcW w:w="2081" w:type="dxa"/>
                  <w:tcBorders>
                    <w:tl2br w:val="nil"/>
                    <w:tr2bl w:val="nil"/>
                  </w:tcBorders>
                  <w:vAlign w:val="center"/>
                </w:tcPr>
                <w:p>
                  <w:pPr>
                    <w:pStyle w:val="82"/>
                    <w:spacing w:before="0" w:line="340" w:lineRule="exact"/>
                    <w:ind w:firstLine="0"/>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中度危害</w:t>
                  </w:r>
                </w:p>
              </w:tc>
              <w:tc>
                <w:tcPr>
                  <w:tcW w:w="1808" w:type="dxa"/>
                  <w:tcBorders>
                    <w:tl2br w:val="nil"/>
                    <w:tr2bl w:val="nil"/>
                  </w:tcBorders>
                  <w:vAlign w:val="center"/>
                </w:tcPr>
                <w:p>
                  <w:pPr>
                    <w:pStyle w:val="82"/>
                    <w:spacing w:before="0" w:line="340" w:lineRule="exact"/>
                    <w:ind w:firstLine="0"/>
                    <w:jc w:val="center"/>
                    <w:rPr>
                      <w:rFonts w:ascii="Times New Roman" w:hAnsi="Times New Roman" w:eastAsia="宋体"/>
                      <w:b/>
                      <w:color w:val="000000" w:themeColor="text1"/>
                      <w:sz w:val="21"/>
                      <w:szCs w:val="21"/>
                      <w:highlight w:val="none"/>
                      <w14:textFill>
                        <w14:solidFill>
                          <w14:schemeClr w14:val="tx1"/>
                        </w14:solidFill>
                      </w14:textFill>
                    </w:rPr>
                  </w:pPr>
                  <w:r>
                    <w:rPr>
                      <w:rFonts w:ascii="Times New Roman" w:hAnsi="Times New Roman" w:eastAsia="宋体"/>
                      <w:b/>
                      <w:color w:val="000000" w:themeColor="text1"/>
                      <w:sz w:val="21"/>
                      <w:szCs w:val="21"/>
                      <w:highlight w:val="none"/>
                      <w14:textFill>
                        <w14:solidFill>
                          <w14:schemeClr w14:val="tx1"/>
                        </w14:solidFill>
                      </w14:textFill>
                    </w:rPr>
                    <w:t>轻度危害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809"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环境高度敏感区</w:t>
                  </w:r>
                </w:p>
              </w:tc>
              <w:tc>
                <w:tcPr>
                  <w:tcW w:w="1603"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IV</w:t>
                  </w:r>
                  <w:r>
                    <w:rPr>
                      <w:rFonts w:ascii="Times New Roman" w:hAnsi="Times New Roman" w:eastAsia="宋体"/>
                      <w:color w:val="000000" w:themeColor="text1"/>
                      <w:sz w:val="21"/>
                      <w:szCs w:val="21"/>
                      <w:highlight w:val="none"/>
                      <w:vertAlign w:val="superscript"/>
                      <w14:textFill>
                        <w14:solidFill>
                          <w14:schemeClr w14:val="tx1"/>
                        </w14:solidFill>
                      </w14:textFill>
                    </w:rPr>
                    <w:t>+</w:t>
                  </w:r>
                </w:p>
              </w:tc>
              <w:tc>
                <w:tcPr>
                  <w:tcW w:w="1759"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IV</w:t>
                  </w:r>
                </w:p>
              </w:tc>
              <w:tc>
                <w:tcPr>
                  <w:tcW w:w="2081"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Ⅲ</w:t>
                  </w:r>
                </w:p>
              </w:tc>
              <w:tc>
                <w:tcPr>
                  <w:tcW w:w="1808"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809"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环境中度敏感区</w:t>
                  </w:r>
                </w:p>
              </w:tc>
              <w:tc>
                <w:tcPr>
                  <w:tcW w:w="1603"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IV</w:t>
                  </w:r>
                </w:p>
              </w:tc>
              <w:tc>
                <w:tcPr>
                  <w:tcW w:w="1759"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Ⅲ</w:t>
                  </w:r>
                </w:p>
              </w:tc>
              <w:tc>
                <w:tcPr>
                  <w:tcW w:w="2081"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Ⅲ</w:t>
                  </w:r>
                </w:p>
              </w:tc>
              <w:tc>
                <w:tcPr>
                  <w:tcW w:w="1808"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Ⅱ</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809"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环境低度敏感区</w:t>
                  </w:r>
                </w:p>
              </w:tc>
              <w:tc>
                <w:tcPr>
                  <w:tcW w:w="1603"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Ⅲ</w:t>
                  </w:r>
                </w:p>
              </w:tc>
              <w:tc>
                <w:tcPr>
                  <w:tcW w:w="1759"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Ⅲ</w:t>
                  </w:r>
                </w:p>
              </w:tc>
              <w:tc>
                <w:tcPr>
                  <w:tcW w:w="2081"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Ⅱ</w:t>
                  </w:r>
                </w:p>
              </w:tc>
              <w:tc>
                <w:tcPr>
                  <w:tcW w:w="1808" w:type="dxa"/>
                  <w:tcBorders>
                    <w:tl2br w:val="nil"/>
                    <w:tr2bl w:val="nil"/>
                  </w:tcBorders>
                  <w:vAlign w:val="center"/>
                </w:tcPr>
                <w:p>
                  <w:pPr>
                    <w:pStyle w:val="82"/>
                    <w:spacing w:before="0" w:line="340" w:lineRule="exact"/>
                    <w:ind w:firstLine="0"/>
                    <w:jc w:val="center"/>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b/>
                      <w:bCs/>
                      <w:color w:val="000000" w:themeColor="text1"/>
                      <w:sz w:val="21"/>
                      <w:szCs w:val="21"/>
                      <w:highlight w:val="none"/>
                      <w14:textFill>
                        <w14:solidFill>
                          <w14:schemeClr w14:val="tx1"/>
                        </w14:solidFill>
                      </w14:textFill>
                    </w:rPr>
                    <w:t>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060" w:type="dxa"/>
                  <w:gridSpan w:val="5"/>
                  <w:tcBorders>
                    <w:tl2br w:val="nil"/>
                    <w:tr2bl w:val="nil"/>
                  </w:tcBorders>
                  <w:vAlign w:val="center"/>
                </w:tcPr>
                <w:p>
                  <w:pPr>
                    <w:pStyle w:val="82"/>
                    <w:spacing w:before="0" w:line="340" w:lineRule="exact"/>
                    <w:ind w:firstLine="0"/>
                    <w:rPr>
                      <w:rFonts w:ascii="Times New Roman" w:hAnsi="Times New Roman" w:eastAsia="宋体"/>
                      <w:color w:val="000000" w:themeColor="text1"/>
                      <w:sz w:val="21"/>
                      <w:szCs w:val="21"/>
                      <w:highlight w:val="none"/>
                      <w14:textFill>
                        <w14:solidFill>
                          <w14:schemeClr w14:val="tx1"/>
                        </w14:solidFill>
                      </w14:textFill>
                    </w:rPr>
                  </w:pPr>
                  <w:r>
                    <w:rPr>
                      <w:rFonts w:ascii="Times New Roman" w:hAnsi="Times New Roman" w:eastAsia="宋体"/>
                      <w:color w:val="000000" w:themeColor="text1"/>
                      <w:sz w:val="21"/>
                      <w:szCs w:val="21"/>
                      <w:highlight w:val="none"/>
                      <w14:textFill>
                        <w14:solidFill>
                          <w14:schemeClr w14:val="tx1"/>
                        </w14:solidFill>
                      </w14:textFill>
                    </w:rPr>
                    <w:t>注：IV</w:t>
                  </w:r>
                  <w:r>
                    <w:rPr>
                      <w:rFonts w:ascii="Times New Roman" w:hAnsi="Times New Roman" w:eastAsia="宋体"/>
                      <w:color w:val="000000" w:themeColor="text1"/>
                      <w:sz w:val="21"/>
                      <w:szCs w:val="21"/>
                      <w:highlight w:val="none"/>
                      <w:vertAlign w:val="superscript"/>
                      <w14:textFill>
                        <w14:solidFill>
                          <w14:schemeClr w14:val="tx1"/>
                        </w14:solidFill>
                      </w14:textFill>
                    </w:rPr>
                    <w:t>+</w:t>
                  </w:r>
                  <w:r>
                    <w:rPr>
                      <w:rFonts w:ascii="Times New Roman" w:hAnsi="Times New Roman" w:eastAsia="宋体"/>
                      <w:color w:val="000000" w:themeColor="text1"/>
                      <w:sz w:val="21"/>
                      <w:szCs w:val="21"/>
                      <w:highlight w:val="none"/>
                      <w14:textFill>
                        <w14:solidFill>
                          <w14:schemeClr w14:val="tx1"/>
                        </w14:solidFill>
                      </w14:textFill>
                    </w:rPr>
                    <w:t>为极高环境风险</w:t>
                  </w:r>
                </w:p>
              </w:tc>
            </w:tr>
          </w:tbl>
          <w:p>
            <w:pPr>
              <w:pStyle w:val="19"/>
              <w:tabs>
                <w:tab w:val="left" w:pos="180"/>
              </w:tabs>
              <w:spacing w:after="0" w:line="360" w:lineRule="auto"/>
              <w:ind w:left="0" w:leftChars="0" w:firstLine="480" w:firstLineChars="200"/>
              <w:rPr>
                <w:rFonts w:ascii="Times New Roman" w:hAnsi="Times New Roman" w:eastAsia="宋体"/>
                <w:color w:val="000000" w:themeColor="text1"/>
                <w:sz w:val="24"/>
                <w:highlight w:val="none"/>
                <w14:textFill>
                  <w14:solidFill>
                    <w14:schemeClr w14:val="tx1"/>
                  </w14:solidFill>
                </w14:textFill>
              </w:rPr>
            </w:pPr>
            <w:r>
              <w:rPr>
                <w:rFonts w:ascii="Times New Roman" w:hAnsi="Times New Roman" w:eastAsia="宋体"/>
                <w:color w:val="000000" w:themeColor="text1"/>
                <w:sz w:val="24"/>
                <w:highlight w:val="none"/>
                <w14:textFill>
                  <w14:solidFill>
                    <w14:schemeClr w14:val="tx1"/>
                  </w14:solidFill>
                </w14:textFill>
              </w:rPr>
              <w:t>经调查，本项目涉及</w:t>
            </w:r>
            <w:r>
              <w:rPr>
                <w:rFonts w:hint="eastAsia" w:ascii="Times New Roman" w:hAnsi="Times New Roman" w:eastAsia="宋体"/>
                <w:color w:val="000000" w:themeColor="text1"/>
                <w:sz w:val="24"/>
                <w:highlight w:val="none"/>
                <w14:textFill>
                  <w14:solidFill>
                    <w14:schemeClr w14:val="tx1"/>
                  </w14:solidFill>
                </w14:textFill>
              </w:rPr>
              <w:t>的风险</w:t>
            </w:r>
            <w:r>
              <w:rPr>
                <w:rFonts w:ascii="Times New Roman" w:hAnsi="Times New Roman" w:eastAsia="宋体"/>
                <w:color w:val="000000" w:themeColor="text1"/>
                <w:sz w:val="24"/>
                <w:highlight w:val="none"/>
                <w14:textFill>
                  <w14:solidFill>
                    <w14:schemeClr w14:val="tx1"/>
                  </w14:solidFill>
                </w14:textFill>
              </w:rPr>
              <w:t>物质</w:t>
            </w:r>
            <w:r>
              <w:rPr>
                <w:rFonts w:hint="eastAsia" w:ascii="Times New Roman" w:hAnsi="Times New Roman" w:eastAsia="宋体"/>
                <w:color w:val="000000" w:themeColor="text1"/>
                <w:sz w:val="24"/>
                <w:highlight w:val="none"/>
                <w14:textFill>
                  <w14:solidFill>
                    <w14:schemeClr w14:val="tx1"/>
                  </w14:solidFill>
                </w14:textFill>
              </w:rPr>
              <w:t>为润滑油、液压油</w:t>
            </w:r>
            <w:r>
              <w:rPr>
                <w:rFonts w:ascii="Times New Roman" w:hAnsi="Times New Roman" w:eastAsia="宋体"/>
                <w:color w:val="000000" w:themeColor="text1"/>
                <w:sz w:val="24"/>
                <w:highlight w:val="none"/>
                <w14:textFill>
                  <w14:solidFill>
                    <w14:schemeClr w14:val="tx1"/>
                  </w14:solidFill>
                </w14:textFill>
              </w:rPr>
              <w:t>。</w:t>
            </w:r>
          </w:p>
          <w:p>
            <w:pPr>
              <w:spacing w:line="360" w:lineRule="auto"/>
              <w:ind w:firstLine="480" w:firstLineChars="200"/>
              <w:rPr>
                <w:rFonts w:ascii="Times New Roman" w:hAnsi="Times New Roman" w:eastAsia="宋体"/>
                <w:bCs/>
                <w:color w:val="000000" w:themeColor="text1"/>
                <w:sz w:val="24"/>
                <w:highlight w:val="none"/>
                <w14:textFill>
                  <w14:solidFill>
                    <w14:schemeClr w14:val="tx1"/>
                  </w14:solidFill>
                </w14:textFill>
              </w:rPr>
            </w:pPr>
            <w:r>
              <w:rPr>
                <w:rFonts w:hint="eastAsia" w:ascii="Times New Roman" w:hAnsi="Times New Roman" w:eastAsia="宋体"/>
                <w:bCs/>
                <w:color w:val="000000" w:themeColor="text1"/>
                <w:sz w:val="24"/>
                <w:highlight w:val="none"/>
                <w14:textFill>
                  <w14:solidFill>
                    <w14:schemeClr w14:val="tx1"/>
                  </w14:solidFill>
                </w14:textFill>
              </w:rPr>
              <w:t>通过查询《建设项目环境风险评价技术导则》（</w:t>
            </w:r>
            <w:r>
              <w:rPr>
                <w:rFonts w:ascii="Times New Roman" w:hAnsi="Times New Roman" w:eastAsia="宋体"/>
                <w:bCs/>
                <w:color w:val="000000" w:themeColor="text1"/>
                <w:sz w:val="24"/>
                <w:highlight w:val="none"/>
                <w14:textFill>
                  <w14:solidFill>
                    <w14:schemeClr w14:val="tx1"/>
                  </w14:solidFill>
                </w14:textFill>
              </w:rPr>
              <w:t>HJ/T169-2018</w:t>
            </w:r>
            <w:r>
              <w:rPr>
                <w:rFonts w:hint="eastAsia" w:ascii="Times New Roman" w:hAnsi="Times New Roman" w:eastAsia="宋体"/>
                <w:bCs/>
                <w:color w:val="000000" w:themeColor="text1"/>
                <w:sz w:val="24"/>
                <w:highlight w:val="none"/>
                <w14:textFill>
                  <w14:solidFill>
                    <w14:schemeClr w14:val="tx1"/>
                  </w14:solidFill>
                </w14:textFill>
              </w:rPr>
              <w:t>）中附录</w:t>
            </w:r>
            <w:r>
              <w:rPr>
                <w:rFonts w:ascii="Times New Roman" w:hAnsi="Times New Roman" w:eastAsia="宋体"/>
                <w:bCs/>
                <w:color w:val="000000" w:themeColor="text1"/>
                <w:sz w:val="24"/>
                <w:highlight w:val="none"/>
                <w14:textFill>
                  <w14:solidFill>
                    <w14:schemeClr w14:val="tx1"/>
                  </w14:solidFill>
                </w14:textFill>
              </w:rPr>
              <w:t>B</w:t>
            </w:r>
            <w:r>
              <w:rPr>
                <w:rFonts w:hint="eastAsia" w:ascii="Times New Roman" w:hAnsi="Times New Roman" w:eastAsia="宋体"/>
                <w:bCs/>
                <w:color w:val="000000" w:themeColor="text1"/>
                <w:sz w:val="24"/>
                <w:highlight w:val="none"/>
                <w14:textFill>
                  <w14:solidFill>
                    <w14:schemeClr w14:val="tx1"/>
                  </w14:solidFill>
                </w14:textFill>
              </w:rPr>
              <w:t>的表</w:t>
            </w:r>
            <w:r>
              <w:rPr>
                <w:rFonts w:ascii="Times New Roman" w:hAnsi="Times New Roman" w:eastAsia="宋体"/>
                <w:bCs/>
                <w:color w:val="000000" w:themeColor="text1"/>
                <w:sz w:val="24"/>
                <w:highlight w:val="none"/>
                <w14:textFill>
                  <w14:solidFill>
                    <w14:schemeClr w14:val="tx1"/>
                  </w14:solidFill>
                </w14:textFill>
              </w:rPr>
              <w:t>B1</w:t>
            </w:r>
            <w:r>
              <w:rPr>
                <w:rFonts w:hint="eastAsia" w:ascii="Times New Roman" w:hAnsi="Times New Roman" w:eastAsia="宋体"/>
                <w:bCs/>
                <w:color w:val="000000" w:themeColor="text1"/>
                <w:sz w:val="24"/>
                <w:highlight w:val="none"/>
                <w14:textFill>
                  <w14:solidFill>
                    <w14:schemeClr w14:val="tx1"/>
                  </w14:solidFill>
                </w14:textFill>
              </w:rPr>
              <w:t>和表</w:t>
            </w:r>
            <w:r>
              <w:rPr>
                <w:rFonts w:ascii="Times New Roman" w:hAnsi="Times New Roman" w:eastAsia="宋体"/>
                <w:bCs/>
                <w:color w:val="000000" w:themeColor="text1"/>
                <w:sz w:val="24"/>
                <w:highlight w:val="none"/>
                <w14:textFill>
                  <w14:solidFill>
                    <w14:schemeClr w14:val="tx1"/>
                  </w14:solidFill>
                </w14:textFill>
              </w:rPr>
              <w:t>B2</w:t>
            </w:r>
            <w:r>
              <w:rPr>
                <w:rFonts w:hint="eastAsia" w:ascii="Times New Roman" w:hAnsi="Times New Roman" w:eastAsia="宋体"/>
                <w:bCs/>
                <w:color w:val="000000" w:themeColor="text1"/>
                <w:sz w:val="24"/>
                <w:highlight w:val="none"/>
                <w14:textFill>
                  <w14:solidFill>
                    <w14:schemeClr w14:val="tx1"/>
                  </w14:solidFill>
                </w14:textFill>
              </w:rPr>
              <w:t>计算风险物质的</w:t>
            </w:r>
            <w:r>
              <w:rPr>
                <w:rFonts w:ascii="Times New Roman" w:hAnsi="Times New Roman" w:eastAsia="宋体"/>
                <w:bCs/>
                <w:color w:val="000000" w:themeColor="text1"/>
                <w:sz w:val="24"/>
                <w:highlight w:val="none"/>
                <w14:textFill>
                  <w14:solidFill>
                    <w14:schemeClr w14:val="tx1"/>
                  </w14:solidFill>
                </w14:textFill>
              </w:rPr>
              <w:t>Q</w:t>
            </w:r>
            <w:r>
              <w:rPr>
                <w:rFonts w:hint="eastAsia" w:ascii="Times New Roman" w:hAnsi="Times New Roman" w:eastAsia="宋体"/>
                <w:bCs/>
                <w:color w:val="000000" w:themeColor="text1"/>
                <w:sz w:val="24"/>
                <w:highlight w:val="none"/>
                <w14:textFill>
                  <w14:solidFill>
                    <w14:schemeClr w14:val="tx1"/>
                  </w14:solidFill>
                </w14:textFill>
              </w:rPr>
              <w:t>值。</w:t>
            </w:r>
            <w:r>
              <w:rPr>
                <w:rFonts w:ascii="Times New Roman" w:hAnsi="Times New Roman" w:eastAsia="宋体"/>
                <w:bCs/>
                <w:color w:val="000000" w:themeColor="text1"/>
                <w:sz w:val="24"/>
                <w:highlight w:val="none"/>
                <w14:textFill>
                  <w14:solidFill>
                    <w14:schemeClr w14:val="tx1"/>
                  </w14:solidFill>
                </w14:textFill>
              </w:rPr>
              <w:t xml:space="preserve"> </w:t>
            </w:r>
          </w:p>
          <w:p>
            <w:pPr>
              <w:spacing w:line="360" w:lineRule="auto"/>
              <w:ind w:firstLine="480" w:firstLineChars="200"/>
              <w:rPr>
                <w:rFonts w:ascii="Times New Roman" w:hAnsi="Times New Roman" w:eastAsia="宋体"/>
                <w:bCs/>
                <w:color w:val="000000" w:themeColor="text1"/>
                <w:sz w:val="24"/>
                <w:highlight w:val="none"/>
                <w14:textFill>
                  <w14:solidFill>
                    <w14:schemeClr w14:val="tx1"/>
                  </w14:solidFill>
                </w14:textFill>
              </w:rPr>
            </w:pPr>
            <w:r>
              <w:rPr>
                <w:rFonts w:hint="eastAsia" w:ascii="Times New Roman" w:hAnsi="Times New Roman" w:eastAsia="宋体"/>
                <w:bCs/>
                <w:color w:val="000000" w:themeColor="text1"/>
                <w:sz w:val="24"/>
                <w:highlight w:val="none"/>
                <w14:textFill>
                  <w14:solidFill>
                    <w14:schemeClr w14:val="tx1"/>
                  </w14:solidFill>
                </w14:textFill>
              </w:rPr>
              <w:t>计算结果如下表所示：</w:t>
            </w:r>
          </w:p>
          <w:p>
            <w:pPr>
              <w:jc w:val="center"/>
              <w:rPr>
                <w:rFonts w:ascii="Times New Roman" w:hAnsi="Times New Roman" w:eastAsia="宋体"/>
                <w:b/>
                <w:bCs/>
                <w:color w:val="000000" w:themeColor="text1"/>
                <w:sz w:val="24"/>
                <w:highlight w:val="none"/>
                <w14:textFill>
                  <w14:solidFill>
                    <w14:schemeClr w14:val="tx1"/>
                  </w14:solidFill>
                </w14:textFill>
              </w:rPr>
            </w:pPr>
            <w:r>
              <w:rPr>
                <w:rFonts w:hint="eastAsia" w:ascii="Times New Roman" w:hAnsi="Times New Roman" w:eastAsia="宋体"/>
                <w:b/>
                <w:bCs/>
                <w:color w:val="000000" w:themeColor="text1"/>
                <w:sz w:val="24"/>
                <w:highlight w:val="none"/>
                <w14:textFill>
                  <w14:solidFill>
                    <w14:schemeClr w14:val="tx1"/>
                  </w14:solidFill>
                </w14:textFill>
              </w:rPr>
              <w:t>表</w:t>
            </w:r>
            <w:r>
              <w:rPr>
                <w:rFonts w:ascii="Times New Roman" w:hAnsi="Times New Roman" w:eastAsia="宋体"/>
                <w:b/>
                <w:bCs/>
                <w:color w:val="000000" w:themeColor="text1"/>
                <w:sz w:val="24"/>
                <w:highlight w:val="none"/>
                <w14:textFill>
                  <w14:solidFill>
                    <w14:schemeClr w14:val="tx1"/>
                  </w14:solidFill>
                </w14:textFill>
              </w:rPr>
              <w:t>7-1</w:t>
            </w:r>
            <w:r>
              <w:rPr>
                <w:rFonts w:hint="eastAsia" w:ascii="Times New Roman" w:hAnsi="Times New Roman" w:eastAsia="宋体"/>
                <w:b/>
                <w:bCs/>
                <w:color w:val="000000" w:themeColor="text1"/>
                <w:sz w:val="24"/>
                <w:highlight w:val="none"/>
                <w:lang w:val="en-US" w:eastAsia="zh-CN"/>
                <w14:textFill>
                  <w14:solidFill>
                    <w14:schemeClr w14:val="tx1"/>
                  </w14:solidFill>
                </w14:textFill>
              </w:rPr>
              <w:t>6</w:t>
            </w:r>
            <w:r>
              <w:rPr>
                <w:rFonts w:ascii="Times New Roman" w:hAnsi="Times New Roman" w:eastAsia="宋体"/>
                <w:b/>
                <w:bCs/>
                <w:color w:val="000000" w:themeColor="text1"/>
                <w:sz w:val="24"/>
                <w:highlight w:val="none"/>
                <w14:textFill>
                  <w14:solidFill>
                    <w14:schemeClr w14:val="tx1"/>
                  </w14:solidFill>
                </w14:textFill>
              </w:rPr>
              <w:t xml:space="preserve"> </w:t>
            </w:r>
            <w:r>
              <w:rPr>
                <w:rFonts w:hint="eastAsia" w:ascii="Times New Roman" w:hAnsi="Times New Roman" w:eastAsia="宋体"/>
                <w:b/>
                <w:bCs/>
                <w:color w:val="000000" w:themeColor="text1"/>
                <w:sz w:val="24"/>
                <w:highlight w:val="none"/>
                <w14:textFill>
                  <w14:solidFill>
                    <w14:schemeClr w14:val="tx1"/>
                  </w14:solidFill>
                </w14:textFill>
              </w:rPr>
              <w:t>建设项目</w:t>
            </w:r>
            <w:r>
              <w:rPr>
                <w:rFonts w:ascii="Times New Roman" w:hAnsi="Times New Roman" w:eastAsia="宋体"/>
                <w:b/>
                <w:bCs/>
                <w:color w:val="000000" w:themeColor="text1"/>
                <w:sz w:val="24"/>
                <w:highlight w:val="none"/>
                <w14:textFill>
                  <w14:solidFill>
                    <w14:schemeClr w14:val="tx1"/>
                  </w14:solidFill>
                </w14:textFill>
              </w:rPr>
              <w:t>Q</w:t>
            </w:r>
            <w:r>
              <w:rPr>
                <w:rFonts w:hint="eastAsia" w:ascii="Times New Roman" w:hAnsi="Times New Roman" w:eastAsia="宋体"/>
                <w:b/>
                <w:bCs/>
                <w:color w:val="000000" w:themeColor="text1"/>
                <w:sz w:val="24"/>
                <w:highlight w:val="none"/>
                <w14:textFill>
                  <w14:solidFill>
                    <w14:schemeClr w14:val="tx1"/>
                  </w14:solidFill>
                </w14:textFill>
              </w:rPr>
              <w:t>值确定表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1124"/>
              <w:gridCol w:w="1266"/>
              <w:gridCol w:w="1637"/>
              <w:gridCol w:w="1254"/>
              <w:gridCol w:w="1264"/>
              <w:gridCol w:w="1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pct"/>
                  <w:shd w:val="clear" w:color="auto" w:fill="auto"/>
                  <w:vAlign w:val="center"/>
                </w:tcPr>
                <w:p>
                  <w:pPr>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序号</w:t>
                  </w:r>
                </w:p>
              </w:tc>
              <w:tc>
                <w:tcPr>
                  <w:tcW w:w="640" w:type="pct"/>
                  <w:shd w:val="clear" w:color="auto" w:fill="auto"/>
                  <w:vAlign w:val="center"/>
                </w:tcPr>
                <w:p>
                  <w:pPr>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物质名称</w:t>
                  </w:r>
                </w:p>
              </w:tc>
              <w:tc>
                <w:tcPr>
                  <w:tcW w:w="721" w:type="pct"/>
                  <w:shd w:val="clear" w:color="auto" w:fill="auto"/>
                  <w:vAlign w:val="center"/>
                </w:tcPr>
                <w:p>
                  <w:pPr>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存储位置</w:t>
                  </w:r>
                </w:p>
              </w:tc>
              <w:tc>
                <w:tcPr>
                  <w:tcW w:w="932" w:type="pct"/>
                  <w:shd w:val="clear" w:color="auto" w:fill="auto"/>
                  <w:vAlign w:val="center"/>
                </w:tcPr>
                <w:p>
                  <w:pPr>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最大储存量</w:t>
                  </w:r>
                  <w:r>
                    <w:rPr>
                      <w:rFonts w:ascii="Times New Roman" w:hAnsi="Times New Roman" w:eastAsia="宋体"/>
                      <w:bCs/>
                      <w:color w:val="000000" w:themeColor="text1"/>
                      <w:sz w:val="21"/>
                      <w:szCs w:val="21"/>
                      <w:highlight w:val="none"/>
                      <w14:textFill>
                        <w14:solidFill>
                          <w14:schemeClr w14:val="tx1"/>
                        </w14:solidFill>
                      </w14:textFill>
                    </w:rPr>
                    <w:t>t</w:t>
                  </w:r>
                </w:p>
              </w:tc>
              <w:tc>
                <w:tcPr>
                  <w:tcW w:w="714" w:type="pct"/>
                  <w:shd w:val="clear" w:color="auto" w:fill="auto"/>
                  <w:vAlign w:val="center"/>
                </w:tcPr>
                <w:p>
                  <w:pPr>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临界量</w:t>
                  </w:r>
                  <w:r>
                    <w:rPr>
                      <w:rFonts w:ascii="Times New Roman" w:hAnsi="Times New Roman" w:eastAsia="宋体"/>
                      <w:bCs/>
                      <w:color w:val="000000" w:themeColor="text1"/>
                      <w:sz w:val="21"/>
                      <w:szCs w:val="21"/>
                      <w:highlight w:val="none"/>
                      <w14:textFill>
                        <w14:solidFill>
                          <w14:schemeClr w14:val="tx1"/>
                        </w14:solidFill>
                      </w14:textFill>
                    </w:rPr>
                    <w:t>t</w:t>
                  </w:r>
                </w:p>
              </w:tc>
              <w:tc>
                <w:tcPr>
                  <w:tcW w:w="719" w:type="pct"/>
                  <w:shd w:val="clear" w:color="auto" w:fill="auto"/>
                  <w:vAlign w:val="center"/>
                </w:tcPr>
                <w:p>
                  <w:pPr>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存储方式</w:t>
                  </w:r>
                </w:p>
              </w:tc>
              <w:tc>
                <w:tcPr>
                  <w:tcW w:w="714" w:type="pct"/>
                  <w:shd w:val="clear" w:color="auto" w:fill="auto"/>
                  <w:vAlign w:val="center"/>
                </w:tcPr>
                <w:p>
                  <w:pPr>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该种危险</w:t>
                  </w:r>
                </w:p>
                <w:p>
                  <w:pPr>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物质</w:t>
                  </w:r>
                  <w:r>
                    <w:rPr>
                      <w:rFonts w:ascii="Times New Roman" w:hAnsi="Times New Roman" w:eastAsia="宋体"/>
                      <w:bCs/>
                      <w:color w:val="000000" w:themeColor="text1"/>
                      <w:sz w:val="21"/>
                      <w:szCs w:val="21"/>
                      <w:highlight w:val="none"/>
                      <w14:textFill>
                        <w14:solidFill>
                          <w14:schemeClr w14:val="tx1"/>
                        </w14:solidFill>
                      </w14:textFill>
                    </w:rPr>
                    <w:t>Q</w:t>
                  </w:r>
                  <w:r>
                    <w:rPr>
                      <w:rFonts w:hint="eastAsia" w:ascii="Times New Roman" w:hAnsi="Times New Roman" w:eastAsia="宋体"/>
                      <w:bCs/>
                      <w:color w:val="000000" w:themeColor="text1"/>
                      <w:sz w:val="21"/>
                      <w:szCs w:val="21"/>
                      <w:highlight w:val="none"/>
                      <w14:textFill>
                        <w14:solidFill>
                          <w14:schemeClr w14:val="tx1"/>
                        </w14:solidFill>
                      </w14:textFill>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pct"/>
                  <w:shd w:val="clear" w:color="auto" w:fill="auto"/>
                  <w:vAlign w:val="center"/>
                </w:tcPr>
                <w:p>
                  <w:pPr>
                    <w:jc w:val="center"/>
                    <w:rPr>
                      <w:rFonts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1</w:t>
                  </w:r>
                </w:p>
              </w:tc>
              <w:tc>
                <w:tcPr>
                  <w:tcW w:w="640" w:type="pc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液压油</w:t>
                  </w:r>
                </w:p>
              </w:tc>
              <w:tc>
                <w:tcPr>
                  <w:tcW w:w="721" w:type="pct"/>
                  <w:vMerge w:val="restar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原料区</w:t>
                  </w:r>
                </w:p>
              </w:tc>
              <w:tc>
                <w:tcPr>
                  <w:tcW w:w="932" w:type="pc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0.</w:t>
                  </w:r>
                  <w:r>
                    <w:rPr>
                      <w:rFonts w:hint="eastAsia" w:ascii="Times New Roman" w:hAnsi="Times New Roman" w:eastAsia="宋体"/>
                      <w:bCs/>
                      <w:color w:val="000000" w:themeColor="text1"/>
                      <w:sz w:val="21"/>
                      <w:szCs w:val="21"/>
                      <w:highlight w:val="none"/>
                      <w:lang w:val="en-US" w:eastAsia="zh-CN"/>
                      <w14:textFill>
                        <w14:solidFill>
                          <w14:schemeClr w14:val="tx1"/>
                        </w14:solidFill>
                      </w14:textFill>
                    </w:rPr>
                    <w:t>0</w:t>
                  </w:r>
                  <w:r>
                    <w:rPr>
                      <w:rFonts w:hint="eastAsia" w:ascii="Times New Roman" w:hAnsi="Times New Roman" w:eastAsia="宋体"/>
                      <w:bCs/>
                      <w:color w:val="000000" w:themeColor="text1"/>
                      <w:sz w:val="21"/>
                      <w:szCs w:val="21"/>
                      <w:highlight w:val="none"/>
                      <w14:textFill>
                        <w14:solidFill>
                          <w14:schemeClr w14:val="tx1"/>
                        </w14:solidFill>
                      </w14:textFill>
                    </w:rPr>
                    <w:t>5</w:t>
                  </w:r>
                </w:p>
              </w:tc>
              <w:tc>
                <w:tcPr>
                  <w:tcW w:w="714" w:type="pc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2</w:t>
                  </w:r>
                  <w:r>
                    <w:rPr>
                      <w:rFonts w:ascii="Times New Roman" w:hAnsi="Times New Roman" w:eastAsia="宋体"/>
                      <w:bCs/>
                      <w:color w:val="000000" w:themeColor="text1"/>
                      <w:sz w:val="21"/>
                      <w:szCs w:val="21"/>
                      <w:highlight w:val="none"/>
                      <w14:textFill>
                        <w14:solidFill>
                          <w14:schemeClr w14:val="tx1"/>
                        </w14:solidFill>
                      </w14:textFill>
                    </w:rPr>
                    <w:t>500</w:t>
                  </w:r>
                </w:p>
              </w:tc>
              <w:tc>
                <w:tcPr>
                  <w:tcW w:w="719" w:type="pc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桶装</w:t>
                  </w:r>
                </w:p>
              </w:tc>
              <w:tc>
                <w:tcPr>
                  <w:tcW w:w="714" w:type="pc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0</w:t>
                  </w:r>
                  <w:r>
                    <w:rPr>
                      <w:rFonts w:ascii="Times New Roman" w:hAnsi="Times New Roman" w:eastAsia="宋体"/>
                      <w:bCs/>
                      <w:color w:val="000000" w:themeColor="text1"/>
                      <w:sz w:val="21"/>
                      <w:szCs w:val="21"/>
                      <w:highlight w:val="none"/>
                      <w14:textFill>
                        <w14:solidFill>
                          <w14:schemeClr w14:val="tx1"/>
                        </w14:solidFill>
                      </w14:textFill>
                    </w:rPr>
                    <w:t>.00</w:t>
                  </w:r>
                  <w:r>
                    <w:rPr>
                      <w:rFonts w:hint="eastAsia" w:ascii="Times New Roman" w:hAnsi="Times New Roman" w:eastAsia="宋体"/>
                      <w:bCs/>
                      <w:color w:val="000000" w:themeColor="text1"/>
                      <w:sz w:val="21"/>
                      <w:szCs w:val="21"/>
                      <w:highlight w:val="none"/>
                      <w:lang w:val="en-US" w:eastAsia="zh-CN"/>
                      <w14:textFill>
                        <w14:solidFill>
                          <w14:schemeClr w14:val="tx1"/>
                        </w14:solidFill>
                      </w14:textFill>
                    </w:rPr>
                    <w:t>0</w:t>
                  </w:r>
                  <w:r>
                    <w:rPr>
                      <w:rFonts w:ascii="Times New Roman" w:hAnsi="Times New Roman" w:eastAsia="宋体"/>
                      <w:bCs/>
                      <w:color w:val="000000" w:themeColor="text1"/>
                      <w:sz w:val="21"/>
                      <w:szCs w:val="21"/>
                      <w:highlight w:val="none"/>
                      <w14:textFill>
                        <w14:solidFill>
                          <w14:schemeClr w14:val="tx1"/>
                        </w14:solidFill>
                      </w14:textFill>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pc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2</w:t>
                  </w:r>
                </w:p>
              </w:tc>
              <w:tc>
                <w:tcPr>
                  <w:tcW w:w="640" w:type="pc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color w:val="000000" w:themeColor="text1"/>
                      <w:kern w:val="0"/>
                      <w:sz w:val="21"/>
                      <w:szCs w:val="21"/>
                      <w:highlight w:val="none"/>
                      <w14:textFill>
                        <w14:solidFill>
                          <w14:schemeClr w14:val="tx1"/>
                        </w14:solidFill>
                      </w14:textFill>
                    </w:rPr>
                    <w:t>润滑油</w:t>
                  </w:r>
                </w:p>
              </w:tc>
              <w:tc>
                <w:tcPr>
                  <w:tcW w:w="721" w:type="pct"/>
                  <w:vMerge w:val="continue"/>
                  <w:shd w:val="clear" w:color="auto" w:fill="auto"/>
                  <w:vAlign w:val="center"/>
                </w:tcPr>
                <w:p>
                  <w:pPr>
                    <w:jc w:val="center"/>
                    <w:rPr>
                      <w:rFonts w:ascii="Times New Roman" w:hAnsi="Times New Roman" w:eastAsia="宋体"/>
                      <w:bCs/>
                      <w:color w:val="000000" w:themeColor="text1"/>
                      <w:sz w:val="21"/>
                      <w:szCs w:val="21"/>
                      <w:highlight w:val="none"/>
                      <w14:textFill>
                        <w14:solidFill>
                          <w14:schemeClr w14:val="tx1"/>
                        </w14:solidFill>
                      </w14:textFill>
                    </w:rPr>
                  </w:pPr>
                </w:p>
              </w:tc>
              <w:tc>
                <w:tcPr>
                  <w:tcW w:w="932" w:type="pct"/>
                  <w:shd w:val="clear" w:color="auto" w:fill="auto"/>
                  <w:vAlign w:val="center"/>
                </w:tcPr>
                <w:p>
                  <w:pPr>
                    <w:spacing w:line="320" w:lineRule="exact"/>
                    <w:jc w:val="center"/>
                    <w:rPr>
                      <w:rFonts w:hint="default" w:ascii="Times New Roman" w:hAnsi="Times New Roman" w:eastAsia="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Cs/>
                      <w:color w:val="000000" w:themeColor="text1"/>
                      <w:sz w:val="21"/>
                      <w:szCs w:val="21"/>
                      <w:highlight w:val="none"/>
                      <w:lang w:val="en-US" w:eastAsia="zh-CN"/>
                      <w14:textFill>
                        <w14:solidFill>
                          <w14:schemeClr w14:val="tx1"/>
                        </w14:solidFill>
                      </w14:textFill>
                    </w:rPr>
                    <w:t>0.05</w:t>
                  </w:r>
                </w:p>
              </w:tc>
              <w:tc>
                <w:tcPr>
                  <w:tcW w:w="714" w:type="pc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2</w:t>
                  </w:r>
                  <w:r>
                    <w:rPr>
                      <w:rFonts w:ascii="Times New Roman" w:hAnsi="Times New Roman" w:eastAsia="宋体"/>
                      <w:bCs/>
                      <w:color w:val="000000" w:themeColor="text1"/>
                      <w:sz w:val="21"/>
                      <w:szCs w:val="21"/>
                      <w:highlight w:val="none"/>
                      <w14:textFill>
                        <w14:solidFill>
                          <w14:schemeClr w14:val="tx1"/>
                        </w14:solidFill>
                      </w14:textFill>
                    </w:rPr>
                    <w:t>500</w:t>
                  </w:r>
                </w:p>
              </w:tc>
              <w:tc>
                <w:tcPr>
                  <w:tcW w:w="719" w:type="pc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ascii="Times New Roman" w:hAnsi="Times New Roman" w:eastAsia="宋体"/>
                      <w:bCs/>
                      <w:color w:val="000000" w:themeColor="text1"/>
                      <w:sz w:val="21"/>
                      <w:szCs w:val="21"/>
                      <w:highlight w:val="none"/>
                      <w14:textFill>
                        <w14:solidFill>
                          <w14:schemeClr w14:val="tx1"/>
                        </w14:solidFill>
                      </w14:textFill>
                    </w:rPr>
                    <w:t>桶装</w:t>
                  </w:r>
                </w:p>
              </w:tc>
              <w:tc>
                <w:tcPr>
                  <w:tcW w:w="714" w:type="pct"/>
                  <w:shd w:val="clear" w:color="auto" w:fill="auto"/>
                  <w:vAlign w:val="center"/>
                </w:tcPr>
                <w:p>
                  <w:pPr>
                    <w:spacing w:line="320" w:lineRule="exact"/>
                    <w:jc w:val="center"/>
                    <w:rPr>
                      <w:rFonts w:hint="default" w:ascii="Times New Roman" w:hAnsi="Times New Roman" w:eastAsia="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0</w:t>
                  </w:r>
                  <w:r>
                    <w:rPr>
                      <w:rFonts w:ascii="Times New Roman" w:hAnsi="Times New Roman" w:eastAsia="宋体"/>
                      <w:bCs/>
                      <w:color w:val="000000" w:themeColor="text1"/>
                      <w:sz w:val="21"/>
                      <w:szCs w:val="21"/>
                      <w:highlight w:val="none"/>
                      <w14:textFill>
                        <w14:solidFill>
                          <w14:schemeClr w14:val="tx1"/>
                        </w14:solidFill>
                      </w14:textFill>
                    </w:rPr>
                    <w:t>.000</w:t>
                  </w:r>
                  <w:r>
                    <w:rPr>
                      <w:rFonts w:hint="eastAsia" w:ascii="Times New Roman" w:hAnsi="Times New Roman" w:eastAsia="宋体"/>
                      <w:bCs/>
                      <w:color w:val="000000" w:themeColor="text1"/>
                      <w:sz w:val="21"/>
                      <w:szCs w:val="21"/>
                      <w:highlight w:val="none"/>
                      <w:lang w:val="en-US" w:eastAsia="zh-CN"/>
                      <w14:textFill>
                        <w14:solidFill>
                          <w14:schemeClr w14:val="tx1"/>
                        </w14:solidFill>
                      </w14:textFill>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pct"/>
                  <w:shd w:val="clear" w:color="auto" w:fill="auto"/>
                  <w:vAlign w:val="center"/>
                </w:tcPr>
                <w:p>
                  <w:pPr>
                    <w:spacing w:line="320" w:lineRule="exact"/>
                    <w:jc w:val="center"/>
                    <w:rPr>
                      <w:rFonts w:ascii="Times New Roman" w:hAnsi="Times New Roman" w:eastAsia="宋体"/>
                      <w:bCs/>
                      <w:color w:val="000000" w:themeColor="text1"/>
                      <w:sz w:val="21"/>
                      <w:szCs w:val="21"/>
                      <w:highlight w:val="none"/>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合计</w:t>
                  </w:r>
                </w:p>
              </w:tc>
              <w:tc>
                <w:tcPr>
                  <w:tcW w:w="3727" w:type="pct"/>
                  <w:gridSpan w:val="5"/>
                  <w:shd w:val="clear" w:color="auto" w:fill="auto"/>
                  <w:vAlign w:val="center"/>
                </w:tcPr>
                <w:p>
                  <w:pPr>
                    <w:jc w:val="center"/>
                    <w:rPr>
                      <w:rFonts w:ascii="Times New Roman" w:hAnsi="Times New Roman" w:eastAsia="宋体"/>
                      <w:bCs/>
                      <w:color w:val="000000" w:themeColor="text1"/>
                      <w:sz w:val="21"/>
                      <w:szCs w:val="21"/>
                      <w:highlight w:val="none"/>
                      <w14:textFill>
                        <w14:solidFill>
                          <w14:schemeClr w14:val="tx1"/>
                        </w14:solidFill>
                      </w14:textFill>
                    </w:rPr>
                  </w:pPr>
                </w:p>
              </w:tc>
              <w:tc>
                <w:tcPr>
                  <w:tcW w:w="714" w:type="pct"/>
                  <w:shd w:val="clear" w:color="auto" w:fill="auto"/>
                  <w:vAlign w:val="center"/>
                </w:tcPr>
                <w:p>
                  <w:pPr>
                    <w:spacing w:line="320" w:lineRule="exact"/>
                    <w:jc w:val="center"/>
                    <w:rPr>
                      <w:rFonts w:hint="default" w:ascii="Times New Roman" w:hAnsi="Times New Roman" w:eastAsia="宋体"/>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bCs/>
                      <w:color w:val="000000" w:themeColor="text1"/>
                      <w:sz w:val="21"/>
                      <w:szCs w:val="21"/>
                      <w:highlight w:val="none"/>
                      <w14:textFill>
                        <w14:solidFill>
                          <w14:schemeClr w14:val="tx1"/>
                        </w14:solidFill>
                      </w14:textFill>
                    </w:rPr>
                    <w:t>0</w:t>
                  </w:r>
                  <w:r>
                    <w:rPr>
                      <w:rFonts w:ascii="Times New Roman" w:hAnsi="Times New Roman" w:eastAsia="宋体"/>
                      <w:bCs/>
                      <w:color w:val="000000" w:themeColor="text1"/>
                      <w:sz w:val="21"/>
                      <w:szCs w:val="21"/>
                      <w:highlight w:val="none"/>
                      <w14:textFill>
                        <w14:solidFill>
                          <w14:schemeClr w14:val="tx1"/>
                        </w14:solidFill>
                      </w14:textFill>
                    </w:rPr>
                    <w:t>.00</w:t>
                  </w:r>
                  <w:r>
                    <w:rPr>
                      <w:rFonts w:hint="eastAsia" w:ascii="Times New Roman" w:hAnsi="Times New Roman" w:eastAsia="宋体"/>
                      <w:bCs/>
                      <w:color w:val="000000" w:themeColor="text1"/>
                      <w:sz w:val="21"/>
                      <w:szCs w:val="21"/>
                      <w:highlight w:val="none"/>
                      <w:lang w:val="en-US" w:eastAsia="zh-CN"/>
                      <w14:textFill>
                        <w14:solidFill>
                          <w14:schemeClr w14:val="tx1"/>
                        </w14:solidFill>
                      </w14:textFill>
                    </w:rPr>
                    <w:t>004</w:t>
                  </w:r>
                </w:p>
              </w:tc>
            </w:tr>
          </w:tbl>
          <w:p>
            <w:pPr>
              <w:pStyle w:val="19"/>
              <w:tabs>
                <w:tab w:val="left" w:pos="180"/>
              </w:tabs>
              <w:spacing w:after="0" w:line="360" w:lineRule="auto"/>
              <w:ind w:left="0" w:leftChars="0" w:firstLine="480" w:firstLineChars="200"/>
              <w:rPr>
                <w:rFonts w:ascii="Times New Roman" w:hAnsi="Times New Roman" w:eastAsia="宋体"/>
                <w:color w:val="000000" w:themeColor="text1"/>
                <w:kern w:val="0"/>
                <w:sz w:val="24"/>
                <w:highlight w:val="none"/>
                <w14:textFill>
                  <w14:solidFill>
                    <w14:schemeClr w14:val="tx1"/>
                  </w14:solidFill>
                </w14:textFill>
              </w:rPr>
            </w:pPr>
            <w:r>
              <w:rPr>
                <w:rFonts w:hint="eastAsia" w:ascii="Times New Roman" w:hAnsi="Times New Roman" w:eastAsia="宋体"/>
                <w:bCs/>
                <w:color w:val="000000" w:themeColor="text1"/>
                <w:sz w:val="24"/>
                <w:highlight w:val="none"/>
                <w14:textFill>
                  <w14:solidFill>
                    <w14:schemeClr w14:val="tx1"/>
                  </w14:solidFill>
                </w14:textFill>
              </w:rPr>
              <w:t>由上表可知，本项目厂界内最大存在总量中各危险物质实际量与临界量比值之和为</w:t>
            </w:r>
            <w:r>
              <w:rPr>
                <w:rFonts w:ascii="Times New Roman" w:hAnsi="Times New Roman" w:eastAsia="宋体"/>
                <w:bCs/>
                <w:color w:val="000000" w:themeColor="text1"/>
                <w:sz w:val="24"/>
                <w:highlight w:val="none"/>
                <w14:textFill>
                  <w14:solidFill>
                    <w14:schemeClr w14:val="tx1"/>
                  </w14:solidFill>
                </w14:textFill>
              </w:rPr>
              <w:t>0.00</w:t>
            </w:r>
            <w:r>
              <w:rPr>
                <w:rFonts w:hint="eastAsia" w:ascii="Times New Roman" w:hAnsi="Times New Roman" w:eastAsia="宋体"/>
                <w:bCs/>
                <w:color w:val="000000" w:themeColor="text1"/>
                <w:sz w:val="24"/>
                <w:highlight w:val="none"/>
                <w:lang w:val="en-US" w:eastAsia="zh-CN"/>
                <w14:textFill>
                  <w14:solidFill>
                    <w14:schemeClr w14:val="tx1"/>
                  </w14:solidFill>
                </w14:textFill>
              </w:rPr>
              <w:t>04</w:t>
            </w:r>
            <w:r>
              <w:rPr>
                <w:rFonts w:hint="eastAsia" w:ascii="Times New Roman" w:hAnsi="Times New Roman" w:eastAsia="宋体"/>
                <w:bCs/>
                <w:color w:val="000000" w:themeColor="text1"/>
                <w:sz w:val="24"/>
                <w:highlight w:val="none"/>
                <w14:textFill>
                  <w14:solidFill>
                    <w14:schemeClr w14:val="tx1"/>
                  </w14:solidFill>
                </w14:textFill>
              </w:rPr>
              <w:t>。</w:t>
            </w:r>
            <w:r>
              <w:rPr>
                <w:rFonts w:ascii="Times New Roman" w:hAnsi="Times New Roman" w:eastAsia="宋体"/>
                <w:color w:val="000000" w:themeColor="text1"/>
                <w:sz w:val="24"/>
                <w:highlight w:val="none"/>
                <w14:textFill>
                  <w14:solidFill>
                    <w14:schemeClr w14:val="tx1"/>
                  </w14:solidFill>
                </w14:textFill>
              </w:rPr>
              <w:t>依据《建设项目环境风险评价技术导则》（HJ169-2018）附录C中“临界量比值Q＜1时，环境风险潜势为Ⅰ”，</w:t>
            </w:r>
            <w:r>
              <w:rPr>
                <w:rFonts w:ascii="Times New Roman" w:hAnsi="Times New Roman" w:eastAsia="宋体"/>
                <w:color w:val="000000" w:themeColor="text1"/>
                <w:kern w:val="0"/>
                <w:sz w:val="24"/>
                <w:highlight w:val="none"/>
                <w14:textFill>
                  <w14:solidFill>
                    <w14:schemeClr w14:val="tx1"/>
                  </w14:solidFill>
                </w14:textFill>
              </w:rPr>
              <w:t>本项目风险潜势为Ⅰ，仅进行简单分析。</w:t>
            </w:r>
          </w:p>
          <w:p>
            <w:pPr>
              <w:widowControl/>
              <w:spacing w:line="360" w:lineRule="auto"/>
              <w:ind w:firstLine="480" w:firstLineChars="200"/>
              <w:rPr>
                <w:rFonts w:ascii="Times New Roman" w:hAnsi="Times New Roman" w:eastAsia="宋体"/>
                <w:color w:val="000000" w:themeColor="text1"/>
                <w:szCs w:val="22"/>
                <w:highlight w:val="none"/>
                <w14:textFill>
                  <w14:solidFill>
                    <w14:schemeClr w14:val="tx1"/>
                  </w14:solidFill>
                </w14:textFill>
              </w:rPr>
            </w:pPr>
            <w:r>
              <w:rPr>
                <w:rFonts w:ascii="Times New Roman" w:hAnsi="Times New Roman" w:eastAsia="宋体"/>
                <w:color w:val="000000" w:themeColor="text1"/>
                <w:kern w:val="0"/>
                <w:sz w:val="24"/>
                <w:szCs w:val="22"/>
                <w:highlight w:val="none"/>
                <w14:textFill>
                  <w14:solidFill>
                    <w14:schemeClr w14:val="tx1"/>
                  </w14:solidFill>
                </w14:textFill>
              </w:rPr>
              <w:t>（3）废气处理装置事故影响分析</w:t>
            </w:r>
          </w:p>
          <w:p>
            <w:pPr>
              <w:widowControl/>
              <w:spacing w:line="360" w:lineRule="auto"/>
              <w:ind w:firstLine="480" w:firstLineChars="200"/>
              <w:rPr>
                <w:rFonts w:ascii="Times New Roman" w:hAnsi="Times New Roman" w:eastAsia="宋体"/>
                <w:color w:val="000000" w:themeColor="text1"/>
                <w:kern w:val="0"/>
                <w:sz w:val="24"/>
                <w:szCs w:val="22"/>
                <w:highlight w:val="none"/>
                <w14:textFill>
                  <w14:solidFill>
                    <w14:schemeClr w14:val="tx1"/>
                  </w14:solidFill>
                </w14:textFill>
              </w:rPr>
            </w:pPr>
            <w:r>
              <w:rPr>
                <w:rFonts w:ascii="Times New Roman" w:hAnsi="Times New Roman" w:eastAsia="宋体"/>
                <w:color w:val="000000" w:themeColor="text1"/>
                <w:kern w:val="0"/>
                <w:sz w:val="24"/>
                <w:szCs w:val="22"/>
                <w:highlight w:val="none"/>
                <w14:textFill>
                  <w14:solidFill>
                    <w14:schemeClr w14:val="tx1"/>
                  </w14:solidFill>
                </w14:textFill>
              </w:rPr>
              <w:t>废气处理装置出现故障时，污染物超标排放，会对周围居民健康造成不利影响。在出现故障时应立即停止生产。</w:t>
            </w:r>
          </w:p>
          <w:p>
            <w:pPr>
              <w:spacing w:line="360" w:lineRule="auto"/>
              <w:ind w:firstLine="472" w:firstLineChars="196"/>
              <w:rPr>
                <w:rFonts w:ascii="Times New Roman" w:hAnsi="Times New Roman" w:eastAsia="宋体"/>
                <w:b/>
                <w:bCs/>
                <w:caps w:val="0"/>
                <w:color w:val="000000" w:themeColor="text1"/>
                <w:sz w:val="24"/>
                <w:highlight w:val="none"/>
                <w14:textFill>
                  <w14:solidFill>
                    <w14:schemeClr w14:val="tx1"/>
                  </w14:solidFill>
                </w14:textFill>
              </w:rPr>
            </w:pP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8</w:t>
            </w:r>
            <w:r>
              <w:rPr>
                <w:rFonts w:hint="eastAsia" w:ascii="Times New Roman" w:hAnsi="Times New Roman" w:eastAsia="宋体"/>
                <w:b/>
                <w:bCs/>
                <w:caps w:val="0"/>
                <w:color w:val="000000" w:themeColor="text1"/>
                <w:sz w:val="24"/>
                <w:highlight w:val="none"/>
                <w14:textFill>
                  <w14:solidFill>
                    <w14:schemeClr w14:val="tx1"/>
                  </w14:solidFill>
                </w14:textFill>
              </w:rPr>
              <w:t>、清洁生产</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清洁生产就是将整体预防的环境战略持续应用于生产过程、产品和服务中，以增加生态效率和减少人类和环境的风险。它要求对生产过程，要节约原材料和能源，淘汰有毒原材料，减降所有废弃物的数量；对产品，要减少从原材料到产品的最终处置的全生命周期的不利影响；对服务，要将环境因素纳入设计和所提供的服务中。它是与传统单纯末端治理为主的污染防治措施不同的新概念，即“污染预防”概念，是已被实践证明需要优先考虑的一种环境战略。</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本次评价将结合清洁生产的一般要求，对本项目清洁生产进行分析。</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1）原辅材料及能源：项目生产过程中使用的能源为电能，符合清洁生产要求。</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2）生产工艺及产品：建设项目属于机械铸造行业，根据《产业结构调整指导目录（2019年本）内容要求，本项目不在现行产业政策中规定的限制和淘汰类建设项目之列，不在鼓励建设项目之列，视为允许项目，且该项目已通过和县发展和改革委员会备案批准，因此建设项目符合国家和地方产业政策。</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3）设备先进性：选用高度自动化、智能化、高速度的生产设备，来实现高效率化生产。项目几乎全部使用自动化设备，绝大部分设备是具有无人化、智能化的系统：</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①</w:t>
            </w:r>
            <w:r>
              <w:rPr>
                <w:rFonts w:hint="eastAsia" w:ascii="Times New Roman" w:hAnsi="Times New Roman" w:eastAsia="宋体"/>
                <w:caps w:val="0"/>
                <w:color w:val="000000" w:themeColor="text1"/>
                <w:sz w:val="24"/>
                <w:highlight w:val="none"/>
                <w14:textFill>
                  <w14:solidFill>
                    <w14:schemeClr w14:val="tx1"/>
                  </w14:solidFill>
                </w14:textFill>
              </w:rPr>
              <w:tab/>
            </w:r>
            <w:r>
              <w:rPr>
                <w:rFonts w:hint="eastAsia" w:ascii="Times New Roman" w:hAnsi="Times New Roman" w:eastAsia="宋体"/>
                <w:caps w:val="0"/>
                <w:color w:val="000000" w:themeColor="text1"/>
                <w:sz w:val="24"/>
                <w:highlight w:val="none"/>
                <w14:textFill>
                  <w14:solidFill>
                    <w14:schemeClr w14:val="tx1"/>
                  </w14:solidFill>
                </w14:textFill>
              </w:rPr>
              <w:t>配料、熔炼设备系统和配砂设备系统通过智能化在线检测仪器对生产过程进行实时监控检测，并反馈给主机进行动态调整。</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②</w:t>
            </w:r>
            <w:r>
              <w:rPr>
                <w:rFonts w:hint="eastAsia" w:ascii="Times New Roman" w:hAnsi="Times New Roman" w:eastAsia="宋体"/>
                <w:caps w:val="0"/>
                <w:color w:val="000000" w:themeColor="text1"/>
                <w:sz w:val="24"/>
                <w:highlight w:val="none"/>
                <w14:textFill>
                  <w14:solidFill>
                    <w14:schemeClr w14:val="tx1"/>
                  </w14:solidFill>
                </w14:textFill>
              </w:rPr>
              <w:tab/>
            </w:r>
            <w:r>
              <w:rPr>
                <w:rFonts w:hint="eastAsia" w:ascii="Times New Roman" w:hAnsi="Times New Roman" w:eastAsia="宋体"/>
                <w:caps w:val="0"/>
                <w:color w:val="000000" w:themeColor="text1"/>
                <w:sz w:val="24"/>
                <w:highlight w:val="none"/>
                <w14:textFill>
                  <w14:solidFill>
                    <w14:schemeClr w14:val="tx1"/>
                  </w14:solidFill>
                </w14:textFill>
              </w:rPr>
              <w:t>铁水倒运系统和孕育、球化系统，能进行自动称重，并根据重量自动计算孕育、球化剂的加入量，全程实现无人化，智能化。</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③</w:t>
            </w:r>
            <w:r>
              <w:rPr>
                <w:rFonts w:hint="eastAsia" w:ascii="Times New Roman" w:hAnsi="Times New Roman" w:eastAsia="宋体"/>
                <w:caps w:val="0"/>
                <w:color w:val="000000" w:themeColor="text1"/>
                <w:sz w:val="24"/>
                <w:highlight w:val="none"/>
                <w14:textFill>
                  <w14:solidFill>
                    <w14:schemeClr w14:val="tx1"/>
                  </w14:solidFill>
                </w14:textFill>
              </w:rPr>
              <w:tab/>
            </w:r>
            <w:r>
              <w:rPr>
                <w:rFonts w:hint="eastAsia" w:ascii="Times New Roman" w:hAnsi="Times New Roman" w:eastAsia="宋体"/>
                <w:caps w:val="0"/>
                <w:color w:val="000000" w:themeColor="text1"/>
                <w:sz w:val="24"/>
                <w:highlight w:val="none"/>
                <w14:textFill>
                  <w14:solidFill>
                    <w14:schemeClr w14:val="tx1"/>
                  </w14:solidFill>
                </w14:textFill>
              </w:rPr>
              <w:t>造型主机及浇注机都是采用当今速度最快、最可靠的机器，来实现高效率化生产。</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4）固废综合利用：项目生产过程中产生的各类固废收集后全部交由物资回收部门综合利用或委托有资质单位安全处理处置，一般固废综合利用率达到100%。</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5）污染物治理和排放：项目运行期间通过采取本评价所提措施后，其废气、废水、噪声处理措施有效可行，可实现达标排放；固废处置措施合理，不会对外环境造成二次污染。</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6）环境管理要求</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生产过程环境管理和全过程环境管理是企业实现清洁生产的重要手段，实施清洁生产审核是企业清洁生产的重要前提。因此，环评对项目生产过程环境管理、全过程环境管理和清洁生产审核提出相应的要求。</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①生产过程环境管理</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开工前对所有生产岗位进行严格培训，正常生产后将有计划的定期进行培训。</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所有工作应严格按岗位操作执行，有完善的管理制度，并严格执行。</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定期进行设备和管线的检修和保养；安装必要的检测仪表，加强计量监督；使用高效率、低耗能的设备，改善设备和管线布局。</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②全过程环境管理</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公司应建立健全的环境管理制度，并予以落实；有专门的环境管理机构和专职员工负责环境管理工作，制订环境管理计划和实施，有完善的运行数据记录并建立管理档案。</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③清洁生产审核</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通过开展清洁生产审核，查找生产运行、管理以及废物产生等环节存在的问题，了解差距，发现清洁生产机会，制定并完善清洁生产方案。</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7</w:t>
            </w:r>
            <w:r>
              <w:rPr>
                <w:rFonts w:hint="eastAsia" w:ascii="Times New Roman" w:hAnsi="Times New Roman" w:eastAsia="宋体"/>
                <w:caps w:val="0"/>
                <w:color w:val="000000" w:themeColor="text1"/>
                <w:sz w:val="24"/>
                <w:highlight w:val="none"/>
                <w14:textFill>
                  <w14:solidFill>
                    <w14:schemeClr w14:val="tx1"/>
                  </w14:solidFill>
                </w14:textFill>
              </w:rPr>
              <w:t>）清洁生产结论</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本项目将通过在内部管理、生产工艺与设备选择、原辅材料选用和管理、废物回收利用、污染治理等几方面采取合理可行的清洁生产措施，有效地控制污染，公司采取清洁生产方案和措施后，可大大降低能耗、物耗，减少污染物的排放，降低产品的生产成本。</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综上所述，评价认为，该项目属于国内清洁生产先进企业，满足清洁生产要求。</w:t>
            </w:r>
          </w:p>
          <w:p>
            <w:pPr>
              <w:spacing w:line="360" w:lineRule="auto"/>
              <w:ind w:firstLine="472" w:firstLineChars="196"/>
              <w:rPr>
                <w:rFonts w:ascii="Times New Roman" w:hAnsi="Times New Roman" w:eastAsia="宋体"/>
                <w:b/>
                <w:bCs/>
                <w:caps w:val="0"/>
                <w:color w:val="000000" w:themeColor="text1"/>
                <w:sz w:val="24"/>
                <w:highlight w:val="none"/>
                <w14:textFill>
                  <w14:solidFill>
                    <w14:schemeClr w14:val="tx1"/>
                  </w14:solidFill>
                </w14:textFill>
              </w:rPr>
            </w:pP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9</w:t>
            </w:r>
            <w:r>
              <w:rPr>
                <w:rFonts w:ascii="Times New Roman" w:hAnsi="Times New Roman" w:eastAsia="宋体"/>
                <w:b/>
                <w:bCs/>
                <w:caps w:val="0"/>
                <w:color w:val="000000" w:themeColor="text1"/>
                <w:sz w:val="24"/>
                <w:highlight w:val="none"/>
                <w14:textFill>
                  <w14:solidFill>
                    <w14:schemeClr w14:val="tx1"/>
                  </w14:solidFill>
                </w14:textFill>
              </w:rPr>
              <w:t>、环境管理及监测</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（1）环境管理机构设置</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为了本工程在运营期能更好地执行和遵守国家、省及地方的有关环境保护法律、法规、政策及标准，接受地方环境保护主管部门的环境监督，调整和制订环境规划和目标，进行一切与改善环境有关的管理活动，同时对工程施工及运营期产生的污染物进行监测、分析、了解工程对环境的影响状况，公司应设置专职的环境管理人员，参与项目的环保设施“三同时”管理，同时需负责产生污染防治设施运行管理。由于环保工作政策性强，涉及多学科、综合性知识，建议该项目的专职环境管理人员选用具备环保专业知识并有一定工作经验的专业人员担任。</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（2）环境管理制度</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贯彻执行“三同时”制度：设计单位必须将环境保护设施与主体工程同时设计，工程建设单位必须保证防治污染及其它公害的设施与主体工程项目同时施工、同时投入运行，工程竣工后，经验收合格后，方可投入运行。</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执行排污申报登记：按照国家和地方环境保护规定，企业应及时向当地环境保护部门进行污染物排放申报登记。经环保部门批准后，方可按分配的指标排放。</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环保设施运行管理制度：应建立环保设施定期检查制度和污染治理措施岗位责任制，实行污染治理岗位运行记录制度，以确保污染治理设施稳定高效运行。当污染治理设施发生故障时，应及时组织抢修，并根据实际情况采取相应措施，防止污染事故的发生。</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建立企业环保档案：企业应对废气、废水处理装置等进行定期监测，建立污染源档案，发现污染物非正常排放，应分析原因并及时采取相应措施，以控制污染影响的范围和程度。</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（3）环境监测计划</w:t>
            </w:r>
          </w:p>
          <w:p>
            <w:pPr>
              <w:spacing w:line="360" w:lineRule="auto"/>
              <w:ind w:firstLine="470" w:firstLineChars="196"/>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本项目运营期环境监测计划见下表。</w:t>
            </w:r>
          </w:p>
          <w:p>
            <w:pPr>
              <w:adjustRightInd w:val="0"/>
              <w:snapToGrid w:val="0"/>
              <w:spacing w:line="480" w:lineRule="exact"/>
              <w:jc w:val="center"/>
              <w:textAlignment w:val="baseline"/>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表7-1</w:t>
            </w:r>
            <w:r>
              <w:rPr>
                <w:rFonts w:hint="eastAsia" w:ascii="Times New Roman" w:hAnsi="Times New Roman" w:eastAsia="宋体"/>
                <w:b/>
                <w:caps w:val="0"/>
                <w:color w:val="000000" w:themeColor="text1"/>
                <w:sz w:val="24"/>
                <w:highlight w:val="none"/>
                <w:lang w:val="en-US" w:eastAsia="zh-CN"/>
                <w14:textFill>
                  <w14:solidFill>
                    <w14:schemeClr w14:val="tx1"/>
                  </w14:solidFill>
                </w14:textFill>
              </w:rPr>
              <w:t>7</w:t>
            </w:r>
            <w:r>
              <w:rPr>
                <w:rFonts w:ascii="Times New Roman" w:hAnsi="Times New Roman" w:eastAsia="宋体"/>
                <w:b/>
                <w:caps w:val="0"/>
                <w:color w:val="000000" w:themeColor="text1"/>
                <w:sz w:val="24"/>
                <w:highlight w:val="none"/>
                <w14:textFill>
                  <w14:solidFill>
                    <w14:schemeClr w14:val="tx1"/>
                  </w14:solidFill>
                </w14:textFill>
              </w:rPr>
              <w:t xml:space="preserve">  项目运营期环境监测计划一览表</w:t>
            </w:r>
          </w:p>
          <w:tbl>
            <w:tblPr>
              <w:tblStyle w:val="3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709"/>
              <w:gridCol w:w="1442"/>
              <w:gridCol w:w="1808"/>
              <w:gridCol w:w="1186"/>
              <w:gridCol w:w="1375"/>
              <w:gridCol w:w="157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vAlign w:val="center"/>
                </w:tcPr>
                <w:p>
                  <w:pPr>
                    <w:tabs>
                      <w:tab w:val="left" w:pos="3400"/>
                    </w:tabs>
                    <w:snapToGri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时段</w:t>
                  </w:r>
                </w:p>
              </w:tc>
              <w:tc>
                <w:tcPr>
                  <w:tcW w:w="403" w:type="pct"/>
                  <w:vAlign w:val="center"/>
                </w:tcPr>
                <w:p>
                  <w:pPr>
                    <w:tabs>
                      <w:tab w:val="left" w:pos="3400"/>
                    </w:tabs>
                    <w:snapToGri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类型</w:t>
                  </w:r>
                </w:p>
              </w:tc>
              <w:tc>
                <w:tcPr>
                  <w:tcW w:w="819" w:type="pct"/>
                  <w:vAlign w:val="center"/>
                </w:tcPr>
                <w:p>
                  <w:pPr>
                    <w:tabs>
                      <w:tab w:val="left" w:pos="3400"/>
                    </w:tabs>
                    <w:snapToGri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监测位置</w:t>
                  </w:r>
                </w:p>
              </w:tc>
              <w:tc>
                <w:tcPr>
                  <w:tcW w:w="1027" w:type="pct"/>
                  <w:vAlign w:val="center"/>
                </w:tcPr>
                <w:p>
                  <w:pPr>
                    <w:tabs>
                      <w:tab w:val="left" w:pos="3400"/>
                    </w:tabs>
                    <w:snapToGri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监测项目</w:t>
                  </w:r>
                </w:p>
              </w:tc>
              <w:tc>
                <w:tcPr>
                  <w:tcW w:w="674" w:type="pct"/>
                  <w:vAlign w:val="center"/>
                </w:tcPr>
                <w:p>
                  <w:pPr>
                    <w:tabs>
                      <w:tab w:val="left" w:pos="3400"/>
                    </w:tabs>
                    <w:snapToGri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频次</w:t>
                  </w:r>
                </w:p>
              </w:tc>
              <w:tc>
                <w:tcPr>
                  <w:tcW w:w="781" w:type="pct"/>
                  <w:vAlign w:val="center"/>
                </w:tcPr>
                <w:p>
                  <w:pPr>
                    <w:snapToGri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bCs/>
                      <w:caps w:val="0"/>
                      <w:color w:val="000000" w:themeColor="text1"/>
                      <w:sz w:val="21"/>
                      <w:szCs w:val="21"/>
                      <w:highlight w:val="none"/>
                      <w14:textFill>
                        <w14:solidFill>
                          <w14:schemeClr w14:val="tx1"/>
                        </w14:solidFill>
                      </w14:textFill>
                    </w:rPr>
                    <w:t>监测方法</w:t>
                  </w:r>
                </w:p>
              </w:tc>
              <w:tc>
                <w:tcPr>
                  <w:tcW w:w="897" w:type="pct"/>
                  <w:vAlign w:val="center"/>
                </w:tcPr>
                <w:p>
                  <w:pPr>
                    <w:tabs>
                      <w:tab w:val="left" w:pos="3400"/>
                    </w:tabs>
                    <w:snapToGrid w:val="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95" w:type="pct"/>
                  <w:vMerge w:val="restar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运</w:t>
                  </w:r>
                </w:p>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营</w:t>
                  </w:r>
                </w:p>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期</w:t>
                  </w:r>
                </w:p>
              </w:tc>
              <w:tc>
                <w:tcPr>
                  <w:tcW w:w="403" w:type="pct"/>
                  <w:vMerge w:val="restar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废气</w:t>
                  </w:r>
                </w:p>
              </w:tc>
              <w:tc>
                <w:tcPr>
                  <w:tcW w:w="819" w:type="pct"/>
                  <w:vAlign w:val="center"/>
                </w:tcPr>
                <w:p>
                  <w:pPr>
                    <w:ind w:left="-140" w:leftChars="-50" w:right="-140"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6</w:t>
                  </w:r>
                  <w:r>
                    <w:rPr>
                      <w:rFonts w:ascii="Times New Roman" w:hAnsi="Times New Roman" w:eastAsia="宋体"/>
                      <w:caps w:val="0"/>
                      <w:color w:val="000000" w:themeColor="text1"/>
                      <w:sz w:val="21"/>
                      <w:szCs w:val="21"/>
                      <w:highlight w:val="none"/>
                      <w14:textFill>
                        <w14:solidFill>
                          <w14:schemeClr w14:val="tx1"/>
                        </w14:solidFill>
                      </w14:textFill>
                    </w:rPr>
                    <w:t>#排气筒</w:t>
                  </w:r>
                </w:p>
              </w:tc>
              <w:tc>
                <w:tcPr>
                  <w:tcW w:w="1027" w:type="pct"/>
                  <w:vAlign w:val="center"/>
                </w:tcPr>
                <w:p>
                  <w:pPr>
                    <w:ind w:left="-140" w:leftChars="-50" w:right="-140"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颗粒物</w:t>
                  </w:r>
                </w:p>
              </w:tc>
              <w:tc>
                <w:tcPr>
                  <w:tcW w:w="674"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每年一次</w:t>
                  </w:r>
                </w:p>
              </w:tc>
              <w:tc>
                <w:tcPr>
                  <w:tcW w:w="781" w:type="pct"/>
                  <w:vMerge w:val="restart"/>
                  <w:vAlign w:val="center"/>
                </w:tcPr>
                <w:p>
                  <w:pPr>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bCs/>
                      <w:caps w:val="0"/>
                      <w:color w:val="000000" w:themeColor="text1"/>
                      <w:sz w:val="21"/>
                      <w:szCs w:val="21"/>
                      <w:highlight w:val="none"/>
                      <w14:textFill>
                        <w14:solidFill>
                          <w14:schemeClr w14:val="tx1"/>
                        </w14:solidFill>
                      </w14:textFill>
                    </w:rPr>
                    <w:t>采用国家规定最新监测方法与标准</w:t>
                  </w:r>
                </w:p>
              </w:tc>
              <w:tc>
                <w:tcPr>
                  <w:tcW w:w="897" w:type="pct"/>
                  <w:vMerge w:val="restar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委托当地环境监测站或第三方单位监测，在有自行监测能力情况下可自行监测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03"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819" w:type="pct"/>
                  <w:vAlign w:val="center"/>
                </w:tcPr>
                <w:p>
                  <w:pPr>
                    <w:ind w:left="-140" w:leftChars="-50" w:right="-140" w:rightChars="-50"/>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7</w:t>
                  </w:r>
                  <w:r>
                    <w:rPr>
                      <w:rFonts w:ascii="Times New Roman" w:hAnsi="Times New Roman" w:eastAsia="宋体"/>
                      <w:caps w:val="0"/>
                      <w:color w:val="000000" w:themeColor="text1"/>
                      <w:sz w:val="21"/>
                      <w:szCs w:val="21"/>
                      <w:highlight w:val="none"/>
                      <w14:textFill>
                        <w14:solidFill>
                          <w14:schemeClr w14:val="tx1"/>
                        </w14:solidFill>
                      </w14:textFill>
                    </w:rPr>
                    <w:t>#排气筒</w:t>
                  </w:r>
                </w:p>
              </w:tc>
              <w:tc>
                <w:tcPr>
                  <w:tcW w:w="1027" w:type="pct"/>
                  <w:vAlign w:val="center"/>
                </w:tcPr>
                <w:p>
                  <w:pPr>
                    <w:ind w:left="-140" w:leftChars="-50" w:right="-140" w:rightChars="-5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二甲苯、非甲烷总烃</w:t>
                  </w:r>
                </w:p>
              </w:tc>
              <w:tc>
                <w:tcPr>
                  <w:tcW w:w="674" w:type="pct"/>
                  <w:vAlign w:val="center"/>
                </w:tcPr>
                <w:p>
                  <w:pPr>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每</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半</w:t>
                  </w:r>
                  <w:r>
                    <w:rPr>
                      <w:rFonts w:ascii="Times New Roman" w:hAnsi="Times New Roman" w:eastAsia="宋体"/>
                      <w:caps w:val="0"/>
                      <w:color w:val="000000" w:themeColor="text1"/>
                      <w:sz w:val="21"/>
                      <w:szCs w:val="21"/>
                      <w:highlight w:val="none"/>
                      <w14:textFill>
                        <w14:solidFill>
                          <w14:schemeClr w14:val="tx1"/>
                        </w14:solidFill>
                      </w14:textFill>
                    </w:rPr>
                    <w:t>年一次</w:t>
                  </w:r>
                </w:p>
              </w:tc>
              <w:tc>
                <w:tcPr>
                  <w:tcW w:w="781" w:type="pct"/>
                  <w:vMerge w:val="continue"/>
                  <w:vAlign w:val="center"/>
                </w:tcPr>
                <w:p>
                  <w:pPr>
                    <w:snapToGrid w:val="0"/>
                    <w:jc w:val="center"/>
                    <w:rPr>
                      <w:rFonts w:ascii="Times New Roman" w:hAnsi="Times New Roman" w:eastAsia="宋体"/>
                      <w:bCs/>
                      <w:caps w:val="0"/>
                      <w:color w:val="000000" w:themeColor="text1"/>
                      <w:sz w:val="21"/>
                      <w:szCs w:val="21"/>
                      <w:highlight w:val="none"/>
                      <w14:textFill>
                        <w14:solidFill>
                          <w14:schemeClr w14:val="tx1"/>
                        </w14:solidFill>
                      </w14:textFill>
                    </w:rPr>
                  </w:pPr>
                </w:p>
              </w:tc>
              <w:tc>
                <w:tcPr>
                  <w:tcW w:w="897"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03"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819" w:type="pct"/>
                  <w:vAlign w:val="center"/>
                </w:tcPr>
                <w:p>
                  <w:pPr>
                    <w:ind w:left="-140" w:leftChars="-50" w:right="-140" w:rightChars="-5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厂区四周</w:t>
                  </w:r>
                </w:p>
              </w:tc>
              <w:tc>
                <w:tcPr>
                  <w:tcW w:w="1027" w:type="pct"/>
                  <w:vAlign w:val="center"/>
                </w:tcPr>
                <w:p>
                  <w:pPr>
                    <w:ind w:left="-140" w:leftChars="-50" w:right="-140" w:rightChars="-5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颗粒物、非甲烷总烃</w:t>
                  </w: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二甲苯</w:t>
                  </w:r>
                </w:p>
              </w:tc>
              <w:tc>
                <w:tcPr>
                  <w:tcW w:w="674" w:type="pct"/>
                  <w:vAlign w:val="center"/>
                </w:tcPr>
                <w:p>
                  <w:pPr>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每</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半</w:t>
                  </w:r>
                  <w:r>
                    <w:rPr>
                      <w:rFonts w:ascii="Times New Roman" w:hAnsi="Times New Roman" w:eastAsia="宋体"/>
                      <w:caps w:val="0"/>
                      <w:color w:val="000000" w:themeColor="text1"/>
                      <w:sz w:val="21"/>
                      <w:szCs w:val="21"/>
                      <w:highlight w:val="none"/>
                      <w14:textFill>
                        <w14:solidFill>
                          <w14:schemeClr w14:val="tx1"/>
                        </w14:solidFill>
                      </w14:textFill>
                    </w:rPr>
                    <w:t>年一次</w:t>
                  </w:r>
                </w:p>
              </w:tc>
              <w:tc>
                <w:tcPr>
                  <w:tcW w:w="781" w:type="pct"/>
                  <w:vMerge w:val="continue"/>
                  <w:vAlign w:val="center"/>
                </w:tcPr>
                <w:p>
                  <w:pPr>
                    <w:snapToGrid w:val="0"/>
                    <w:jc w:val="center"/>
                    <w:rPr>
                      <w:rFonts w:ascii="Times New Roman" w:hAnsi="Times New Roman" w:eastAsia="宋体"/>
                      <w:bCs/>
                      <w:caps w:val="0"/>
                      <w:color w:val="000000" w:themeColor="text1"/>
                      <w:sz w:val="21"/>
                      <w:szCs w:val="21"/>
                      <w:highlight w:val="none"/>
                      <w14:textFill>
                        <w14:solidFill>
                          <w14:schemeClr w14:val="tx1"/>
                        </w14:solidFill>
                      </w14:textFill>
                    </w:rPr>
                  </w:pPr>
                </w:p>
              </w:tc>
              <w:tc>
                <w:tcPr>
                  <w:tcW w:w="897"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03"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废水</w:t>
                  </w:r>
                </w:p>
              </w:tc>
              <w:tc>
                <w:tcPr>
                  <w:tcW w:w="819"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厂区总排口</w:t>
                  </w:r>
                </w:p>
              </w:tc>
              <w:tc>
                <w:tcPr>
                  <w:tcW w:w="1027"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 xml:space="preserve"> pH、COD、SS、氨氮、BOD</w:t>
                  </w:r>
                  <w:r>
                    <w:rPr>
                      <w:rFonts w:ascii="Times New Roman" w:hAnsi="Times New Roman" w:eastAsia="宋体"/>
                      <w:caps w:val="0"/>
                      <w:color w:val="000000" w:themeColor="text1"/>
                      <w:sz w:val="21"/>
                      <w:szCs w:val="21"/>
                      <w:highlight w:val="none"/>
                      <w:vertAlign w:val="subscript"/>
                      <w14:textFill>
                        <w14:solidFill>
                          <w14:schemeClr w14:val="tx1"/>
                        </w14:solidFill>
                      </w14:textFill>
                    </w:rPr>
                    <w:t>5</w:t>
                  </w:r>
                </w:p>
              </w:tc>
              <w:tc>
                <w:tcPr>
                  <w:tcW w:w="674"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每年一次</w:t>
                  </w:r>
                </w:p>
              </w:tc>
              <w:tc>
                <w:tcPr>
                  <w:tcW w:w="781"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897"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03"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噪声</w:t>
                  </w:r>
                </w:p>
              </w:tc>
              <w:tc>
                <w:tcPr>
                  <w:tcW w:w="819"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厂界外1米</w:t>
                  </w:r>
                </w:p>
              </w:tc>
              <w:tc>
                <w:tcPr>
                  <w:tcW w:w="1027"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Leq(A)</w:t>
                  </w:r>
                </w:p>
              </w:tc>
              <w:tc>
                <w:tcPr>
                  <w:tcW w:w="674"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每季一次</w:t>
                  </w:r>
                </w:p>
              </w:tc>
              <w:tc>
                <w:tcPr>
                  <w:tcW w:w="781"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897"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5"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03"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固废</w:t>
                  </w:r>
                </w:p>
              </w:tc>
              <w:tc>
                <w:tcPr>
                  <w:tcW w:w="819"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统计各类固废量</w:t>
                  </w:r>
                </w:p>
              </w:tc>
              <w:tc>
                <w:tcPr>
                  <w:tcW w:w="1027"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统计固废种类、处置方式及去向</w:t>
                  </w:r>
                </w:p>
              </w:tc>
              <w:tc>
                <w:tcPr>
                  <w:tcW w:w="674"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每月统计一次</w:t>
                  </w:r>
                </w:p>
              </w:tc>
              <w:tc>
                <w:tcPr>
                  <w:tcW w:w="781" w:type="pct"/>
                  <w:vMerge w:val="continue"/>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897" w:type="pct"/>
                  <w:vAlign w:val="center"/>
                </w:tcPr>
                <w:p>
                  <w:pPr>
                    <w:tabs>
                      <w:tab w:val="left" w:pos="3400"/>
                    </w:tabs>
                    <w:snapToGrid w:val="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w:t>
                  </w:r>
                </w:p>
              </w:tc>
            </w:tr>
          </w:tbl>
          <w:p>
            <w:pPr>
              <w:spacing w:line="360" w:lineRule="auto"/>
              <w:ind w:firstLine="472" w:firstLineChars="196"/>
              <w:rPr>
                <w:rFonts w:ascii="Times New Roman" w:hAnsi="Times New Roman" w:eastAsia="宋体"/>
                <w:b/>
                <w:bCs/>
                <w:caps w:val="0"/>
                <w:color w:val="000000" w:themeColor="text1"/>
                <w:sz w:val="24"/>
                <w:highlight w:val="none"/>
                <w14:textFill>
                  <w14:solidFill>
                    <w14:schemeClr w14:val="tx1"/>
                  </w14:solidFill>
                </w14:textFill>
              </w:rPr>
            </w:pP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10</w:t>
            </w:r>
            <w:r>
              <w:rPr>
                <w:rFonts w:ascii="Times New Roman" w:hAnsi="Times New Roman" w:eastAsia="宋体"/>
                <w:b/>
                <w:bCs/>
                <w:caps w:val="0"/>
                <w:color w:val="000000" w:themeColor="text1"/>
                <w:sz w:val="24"/>
                <w:highlight w:val="none"/>
                <w14:textFill>
                  <w14:solidFill>
                    <w14:schemeClr w14:val="tx1"/>
                  </w14:solidFill>
                </w14:textFill>
              </w:rPr>
              <w:t>、排污口规范化设置</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根据国家环保总局《关于开展排污口规范化整治试点工作的意见》、《关于加快排污口规范化整治试点工作的通知》和《安徽省污染源排放口规范化整治管理办法》精神，企业所有排放口（包括水、气、声、渣）必须按照“便于采集样品、便于计量监测、便于日常现场监督检查”的原则和规范化要求，排污口要立标管理，设立国家标准规定的标志牌，根据排污口污染物的排放特点，设置提示性或警告性环境保护图形标志牌，一般污染源设置提示性标志牌，毒性污染物设置警告性环境保护图形标志牌；绘制企业排污口分布图，对治理设施安装运行监控装置、排污口的规范化要符合有关要求。</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（1）合理设置排污口位置，排污口应按规范设计，并按《污染源监测技术规范》设置采样点；本项目共设置</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w:t>
            </w:r>
            <w:r>
              <w:rPr>
                <w:rFonts w:ascii="Times New Roman" w:hAnsi="Times New Roman" w:eastAsia="宋体"/>
                <w:caps w:val="0"/>
                <w:color w:val="000000" w:themeColor="text1"/>
                <w:sz w:val="24"/>
                <w:highlight w:val="none"/>
                <w14:textFill>
                  <w14:solidFill>
                    <w14:schemeClr w14:val="tx1"/>
                  </w14:solidFill>
                </w14:textFill>
              </w:rPr>
              <w:t>根排气筒和1个废水排放口。</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（2）按照GB15562.1-1995及GB15562.2-1995《环境保护图形标志》的规定，规范化设置</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11</w:t>
            </w:r>
            <w:r>
              <w:rPr>
                <w:rFonts w:ascii="Times New Roman" w:hAnsi="Times New Roman" w:eastAsia="宋体"/>
                <w:caps w:val="0"/>
                <w:color w:val="000000" w:themeColor="text1"/>
                <w:sz w:val="24"/>
                <w:highlight w:val="none"/>
                <w14:textFill>
                  <w14:solidFill>
                    <w14:schemeClr w14:val="tx1"/>
                  </w14:solidFill>
                </w14:textFill>
              </w:rPr>
              <w:t>根废气排气筒、废水排放口、噪声排放口及危废暂存库图形标志。</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对企业车间废气处理装置的排口分别设置平面固定式提示标志牌或树立式固定式提示标志牌，平面固定式标志牌为0.48cm×0.3cm的长方形冷轧钢板，树立式提示标志牌为0.42cm×0.42cm的正方形冷轧钢板，提示牌的背景和立柱为绿色，图案、边框、支架和铺助标志的文字为白色，文字字型为黑体，标志牌辅助标志内容包括排污单位名称、标志牌名称、排污口编号和主要污染物名称，并交付当地环保部门注明。</w:t>
            </w:r>
          </w:p>
          <w:p>
            <w:pPr>
              <w:spacing w:before="156" w:beforeLines="50" w:line="360" w:lineRule="exact"/>
              <w:ind w:firstLine="470" w:firstLineChars="196"/>
              <w:jc w:val="center"/>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drawing>
                <wp:anchor distT="0" distB="0" distL="114300" distR="114300" simplePos="0" relativeHeight="251659264" behindDoc="1" locked="0" layoutInCell="1" allowOverlap="1">
                  <wp:simplePos x="0" y="0"/>
                  <wp:positionH relativeFrom="column">
                    <wp:posOffset>63500</wp:posOffset>
                  </wp:positionH>
                  <wp:positionV relativeFrom="paragraph">
                    <wp:posOffset>69215</wp:posOffset>
                  </wp:positionV>
                  <wp:extent cx="5499735" cy="1776095"/>
                  <wp:effectExtent l="0" t="0" r="5715" b="14605"/>
                  <wp:wrapSquare wrapText="bothSides"/>
                  <wp:docPr id="43" name="图片 3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555"/>
                          <pic:cNvPicPr>
                            <a:picLocks noChangeAspect="1"/>
                          </pic:cNvPicPr>
                        </pic:nvPicPr>
                        <pic:blipFill>
                          <a:blip r:embed="rId9"/>
                          <a:stretch>
                            <a:fillRect/>
                          </a:stretch>
                        </pic:blipFill>
                        <pic:spPr>
                          <a:xfrm>
                            <a:off x="0" y="0"/>
                            <a:ext cx="5499735" cy="1776095"/>
                          </a:xfrm>
                          <a:prstGeom prst="rect">
                            <a:avLst/>
                          </a:prstGeom>
                          <a:noFill/>
                          <a:ln>
                            <a:noFill/>
                          </a:ln>
                        </pic:spPr>
                      </pic:pic>
                    </a:graphicData>
                  </a:graphic>
                </wp:anchor>
              </w:drawing>
            </w:r>
            <w:r>
              <w:rPr>
                <w:rFonts w:ascii="Times New Roman" w:hAnsi="Times New Roman" w:eastAsia="宋体"/>
                <w:caps w:val="0"/>
                <w:color w:val="000000" w:themeColor="text1"/>
                <w:sz w:val="24"/>
                <w:highlight w:val="none"/>
                <w14:textFill>
                  <w14:solidFill>
                    <w14:schemeClr w14:val="tx1"/>
                  </w14:solidFill>
                </w14:textFill>
              </w:rPr>
              <w:t>图7-2  各排污口（源）标志牌设置示意图</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（3）按照要求填写由原国家环保部统一印制的《中华人民共和国规范化排污口标志登记证》。</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（4）规范化设置的排污口有关设置属于环境保护设施，应将其纳入本单位设备管理，并选派具有专业知识的专职或兼职人员对排污口进行管理。</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另外，项目建成投入运行后，应向环保主管部门进行排污申报。</w:t>
            </w:r>
          </w:p>
          <w:p>
            <w:pPr>
              <w:pStyle w:val="40"/>
              <w:rPr>
                <w:rFonts w:ascii="Times New Roman" w:hAnsi="Times New Roman" w:eastAsia="宋体" w:cs="Times New Roman"/>
                <w:caps w:val="0"/>
                <w:color w:val="000000" w:themeColor="text1"/>
                <w:highlight w:val="none"/>
                <w14:textFill>
                  <w14:solidFill>
                    <w14:schemeClr w14:val="tx1"/>
                  </w14:solidFill>
                </w14:textFill>
              </w:rPr>
            </w:pPr>
          </w:p>
          <w:p>
            <w:pPr>
              <w:pStyle w:val="40"/>
              <w:rPr>
                <w:rFonts w:ascii="Times New Roman" w:hAnsi="Times New Roman" w:eastAsia="宋体" w:cs="Times New Roman"/>
                <w:caps w:val="0"/>
                <w:color w:val="000000" w:themeColor="text1"/>
                <w:highlight w:val="none"/>
                <w14:textFill>
                  <w14:solidFill>
                    <w14:schemeClr w14:val="tx1"/>
                  </w14:solidFill>
                </w14:textFill>
              </w:rPr>
            </w:pPr>
          </w:p>
          <w:p>
            <w:pPr>
              <w:pStyle w:val="40"/>
              <w:rPr>
                <w:rFonts w:ascii="Times New Roman" w:hAnsi="Times New Roman" w:eastAsia="宋体" w:cs="Times New Roman"/>
                <w:caps w:val="0"/>
                <w:color w:val="000000" w:themeColor="text1"/>
                <w:highlight w:val="none"/>
                <w14:textFill>
                  <w14:solidFill>
                    <w14:schemeClr w14:val="tx1"/>
                  </w14:solidFill>
                </w14:textFill>
              </w:rPr>
            </w:pPr>
          </w:p>
          <w:p>
            <w:pPr>
              <w:pStyle w:val="40"/>
              <w:rPr>
                <w:rFonts w:ascii="Times New Roman" w:hAnsi="Times New Roman" w:eastAsia="宋体" w:cs="Times New Roman"/>
                <w:caps w:val="0"/>
                <w:color w:val="000000" w:themeColor="text1"/>
                <w:highlight w:val="none"/>
                <w14:textFill>
                  <w14:solidFill>
                    <w14:schemeClr w14:val="tx1"/>
                  </w14:solidFill>
                </w14:textFill>
              </w:rPr>
            </w:pPr>
          </w:p>
          <w:p>
            <w:pPr>
              <w:pStyle w:val="40"/>
              <w:rPr>
                <w:rFonts w:ascii="Times New Roman" w:hAnsi="Times New Roman" w:eastAsia="宋体" w:cs="Times New Roman"/>
                <w:caps w:val="0"/>
                <w:color w:val="000000" w:themeColor="text1"/>
                <w:highlight w:val="none"/>
                <w14:textFill>
                  <w14:solidFill>
                    <w14:schemeClr w14:val="tx1"/>
                  </w14:solidFill>
                </w14:textFill>
              </w:rPr>
            </w:pPr>
          </w:p>
        </w:tc>
      </w:tr>
    </w:tbl>
    <w:p>
      <w:pPr>
        <w:rPr>
          <w:rFonts w:ascii="Times New Roman" w:hAnsi="Times New Roman" w:eastAsia="宋体"/>
          <w:caps w:val="0"/>
          <w:color w:val="000000" w:themeColor="text1"/>
          <w:highlight w:val="none"/>
          <w14:textFill>
            <w14:solidFill>
              <w14:schemeClr w14:val="tx1"/>
            </w14:solidFill>
          </w14:textFill>
        </w:rPr>
        <w:sectPr>
          <w:pgSz w:w="11906" w:h="16838"/>
          <w:pgMar w:top="1440" w:right="1440" w:bottom="1440" w:left="1440" w:header="851" w:footer="992" w:gutter="0"/>
          <w:cols w:space="720" w:num="1"/>
          <w:docGrid w:type="lines" w:linePitch="312" w:charSpace="0"/>
        </w:sectPr>
      </w:pP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310" w:hRule="atLeast"/>
          <w:jc w:val="center"/>
        </w:trPr>
        <w:tc>
          <w:tcPr>
            <w:tcW w:w="9010" w:type="dxa"/>
          </w:tcPr>
          <w:p>
            <w:pPr>
              <w:spacing w:line="400" w:lineRule="exact"/>
              <w:ind w:firstLine="472" w:firstLineChars="196"/>
              <w:rPr>
                <w:rFonts w:ascii="Times New Roman" w:hAnsi="Times New Roman" w:eastAsia="宋体"/>
                <w:b/>
                <w:bCs/>
                <w:caps w:val="0"/>
                <w:color w:val="000000" w:themeColor="text1"/>
                <w:sz w:val="24"/>
                <w:highlight w:val="none"/>
                <w14:textFill>
                  <w14:solidFill>
                    <w14:schemeClr w14:val="tx1"/>
                  </w14:solidFill>
                </w14:textFill>
              </w:rPr>
            </w:pP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11</w:t>
            </w:r>
            <w:r>
              <w:rPr>
                <w:rFonts w:ascii="Times New Roman" w:hAnsi="Times New Roman" w:eastAsia="宋体"/>
                <w:b/>
                <w:bCs/>
                <w:caps w:val="0"/>
                <w:color w:val="000000" w:themeColor="text1"/>
                <w:sz w:val="24"/>
                <w:highlight w:val="none"/>
                <w14:textFill>
                  <w14:solidFill>
                    <w14:schemeClr w14:val="tx1"/>
                  </w14:solidFill>
                </w14:textFill>
              </w:rPr>
              <w:t>、环保投资</w:t>
            </w:r>
          </w:p>
          <w:p>
            <w:pPr>
              <w:spacing w:line="40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该项目环保投资</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71</w:t>
            </w:r>
            <w:r>
              <w:rPr>
                <w:rFonts w:ascii="Times New Roman" w:hAnsi="Times New Roman" w:eastAsia="宋体"/>
                <w:caps w:val="0"/>
                <w:color w:val="000000" w:themeColor="text1"/>
                <w:sz w:val="24"/>
                <w:highlight w:val="none"/>
                <w14:textFill>
                  <w14:solidFill>
                    <w14:schemeClr w14:val="tx1"/>
                  </w14:solidFill>
                </w14:textFill>
              </w:rPr>
              <w:t>万元，占本项目总投资</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8022</w:t>
            </w:r>
            <w:r>
              <w:rPr>
                <w:rFonts w:ascii="Times New Roman" w:hAnsi="Times New Roman" w:eastAsia="宋体"/>
                <w:caps w:val="0"/>
                <w:color w:val="000000" w:themeColor="text1"/>
                <w:sz w:val="24"/>
                <w:highlight w:val="none"/>
                <w14:textFill>
                  <w14:solidFill>
                    <w14:schemeClr w14:val="tx1"/>
                  </w14:solidFill>
                </w14:textFill>
              </w:rPr>
              <w:t>万元的的</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0.89</w:t>
            </w:r>
            <w:r>
              <w:rPr>
                <w:rFonts w:ascii="Times New Roman" w:hAnsi="Times New Roman" w:eastAsia="宋体"/>
                <w:caps w:val="0"/>
                <w:color w:val="000000" w:themeColor="text1"/>
                <w:sz w:val="24"/>
                <w:highlight w:val="none"/>
                <w14:textFill>
                  <w14:solidFill>
                    <w14:schemeClr w14:val="tx1"/>
                  </w14:solidFill>
                </w14:textFill>
              </w:rPr>
              <w:t>%，具体见表：</w:t>
            </w:r>
          </w:p>
          <w:p>
            <w:pPr>
              <w:spacing w:line="400" w:lineRule="exact"/>
              <w:jc w:val="center"/>
              <w:rPr>
                <w:rFonts w:ascii="Times New Roman" w:hAnsi="Times New Roman" w:eastAsia="宋体"/>
                <w:b/>
                <w:bCs/>
                <w:caps w:val="0"/>
                <w:color w:val="000000" w:themeColor="text1"/>
                <w:kern w:val="0"/>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表7-</w:t>
            </w:r>
            <w:r>
              <w:rPr>
                <w:rFonts w:hint="eastAsia" w:ascii="Times New Roman" w:hAnsi="Times New Roman" w:eastAsia="宋体"/>
                <w:b/>
                <w:bCs/>
                <w:caps w:val="0"/>
                <w:color w:val="000000" w:themeColor="text1"/>
                <w:sz w:val="24"/>
                <w:highlight w:val="none"/>
                <w:lang w:val="en-US" w:eastAsia="zh-CN"/>
                <w14:textFill>
                  <w14:solidFill>
                    <w14:schemeClr w14:val="tx1"/>
                  </w14:solidFill>
                </w14:textFill>
              </w:rPr>
              <w:t>18</w:t>
            </w:r>
            <w:r>
              <w:rPr>
                <w:rFonts w:ascii="Times New Roman" w:hAnsi="Times New Roman" w:eastAsia="宋体"/>
                <w:b/>
                <w:bCs/>
                <w:caps w:val="0"/>
                <w:color w:val="000000" w:themeColor="text1"/>
                <w:sz w:val="24"/>
                <w:highlight w:val="none"/>
                <w14:textFill>
                  <w14:solidFill>
                    <w14:schemeClr w14:val="tx1"/>
                  </w14:solidFill>
                </w14:textFill>
              </w:rPr>
              <w:t xml:space="preserve"> </w:t>
            </w:r>
            <w:r>
              <w:rPr>
                <w:rFonts w:ascii="Times New Roman" w:hAnsi="Times New Roman" w:eastAsia="宋体"/>
                <w:b/>
                <w:bCs/>
                <w:caps w:val="0"/>
                <w:color w:val="000000" w:themeColor="text1"/>
                <w:kern w:val="0"/>
                <w:sz w:val="24"/>
                <w:highlight w:val="none"/>
                <w14:textFill>
                  <w14:solidFill>
                    <w14:schemeClr w14:val="tx1"/>
                  </w14:solidFill>
                </w14:textFill>
              </w:rPr>
              <w:t>建设项目环保措施投资一览表  单位：万元</w:t>
            </w:r>
          </w:p>
          <w:tbl>
            <w:tblPr>
              <w:tblStyle w:val="32"/>
              <w:tblW w:w="4997"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0"/>
              <w:gridCol w:w="2219"/>
              <w:gridCol w:w="4585"/>
              <w:gridCol w:w="635"/>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768" w:type="pct"/>
                  <w:tcBorders>
                    <w:tl2br w:val="nil"/>
                    <w:tr2bl w:val="nil"/>
                  </w:tcBorders>
                  <w:vAlign w:val="center"/>
                </w:tcPr>
                <w:p>
                  <w:pPr>
                    <w:spacing w:line="34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类 别</w:t>
                  </w:r>
                </w:p>
              </w:tc>
              <w:tc>
                <w:tcPr>
                  <w:tcW w:w="1262" w:type="pct"/>
                  <w:tcBorders>
                    <w:tl2br w:val="nil"/>
                    <w:tr2bl w:val="nil"/>
                  </w:tcBorders>
                  <w:vAlign w:val="center"/>
                </w:tcPr>
                <w:p>
                  <w:pPr>
                    <w:spacing w:line="340" w:lineRule="exact"/>
                    <w:ind w:left="-108" w:right="-108"/>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治理对象</w:t>
                  </w:r>
                </w:p>
              </w:tc>
              <w:tc>
                <w:tcPr>
                  <w:tcW w:w="2608" w:type="pct"/>
                  <w:tcBorders>
                    <w:tl2br w:val="nil"/>
                    <w:tr2bl w:val="nil"/>
                  </w:tcBorders>
                  <w:vAlign w:val="center"/>
                </w:tcPr>
                <w:p>
                  <w:pPr>
                    <w:spacing w:line="340" w:lineRule="exact"/>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治理方案</w:t>
                  </w:r>
                </w:p>
              </w:tc>
              <w:tc>
                <w:tcPr>
                  <w:tcW w:w="361" w:type="pct"/>
                  <w:tcBorders>
                    <w:tl2br w:val="nil"/>
                    <w:tr2bl w:val="nil"/>
                  </w:tcBorders>
                  <w:vAlign w:val="center"/>
                </w:tcPr>
                <w:p>
                  <w:pPr>
                    <w:spacing w:line="340" w:lineRule="exact"/>
                    <w:ind w:left="-108" w:right="-108"/>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投资</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768" w:type="pct"/>
                  <w:vMerge w:val="restart"/>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废气防治措施</w:t>
                  </w:r>
                </w:p>
              </w:tc>
              <w:tc>
                <w:tcPr>
                  <w:tcW w:w="1262" w:type="pct"/>
                  <w:tcBorders>
                    <w:tl2br w:val="nil"/>
                    <w:tr2bl w:val="nil"/>
                  </w:tcBorders>
                  <w:vAlign w:val="center"/>
                </w:tcPr>
                <w:p>
                  <w:pPr>
                    <w:adjustRightInd w:val="0"/>
                    <w:spacing w:line="330" w:lineRule="exact"/>
                    <w:jc w:val="center"/>
                    <w:rPr>
                      <w:rFonts w:hint="default" w:ascii="Times New Roman" w:hAnsi="Times New Roman" w:eastAsia="宋体" w:cs="Times New Roman"/>
                      <w:caps w:val="0"/>
                      <w:color w:val="000000" w:themeColor="text1"/>
                      <w:highlight w:val="none"/>
                      <w:lang w:val="en-US"/>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抛丸粉尘</w:t>
                  </w:r>
                </w:p>
              </w:tc>
              <w:tc>
                <w:tcPr>
                  <w:tcW w:w="2608" w:type="pct"/>
                  <w:tcBorders>
                    <w:tl2br w:val="nil"/>
                    <w:tr2bl w:val="nil"/>
                  </w:tcBorders>
                  <w:vAlign w:val="center"/>
                </w:tcPr>
                <w:p>
                  <w:pPr>
                    <w:adjustRightInd w:val="0"/>
                    <w:spacing w:line="33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1</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套脉冲式布袋除尘器+15m高排气筒</w:t>
                  </w:r>
                  <w:r>
                    <w:rPr>
                      <w:rFonts w:ascii="Times New Roman" w:hAnsi="Times New Roman" w:eastAsia="宋体"/>
                      <w:caps w:val="0"/>
                      <w:color w:val="000000" w:themeColor="text1"/>
                      <w:kern w:val="0"/>
                      <w:sz w:val="21"/>
                      <w:szCs w:val="21"/>
                      <w:highlight w:val="none"/>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6</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c>
                <w:tcPr>
                  <w:tcW w:w="361" w:type="pct"/>
                  <w:vMerge w:val="restart"/>
                  <w:tcBorders>
                    <w:tl2br w:val="nil"/>
                    <w:tr2bl w:val="nil"/>
                  </w:tcBorders>
                  <w:vAlign w:val="center"/>
                </w:tcPr>
                <w:p>
                  <w:pPr>
                    <w:spacing w:line="34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50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68"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default" w:ascii="Times New Roman" w:hAnsi="Times New Roman" w:eastAsia="宋体"/>
                      <w:caps w:val="0"/>
                      <w:color w:val="000000" w:themeColor="text1"/>
                      <w:kern w:val="2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1"/>
                      <w:sz w:val="21"/>
                      <w:szCs w:val="21"/>
                      <w:highlight w:val="none"/>
                      <w:lang w:val="en-US" w:eastAsia="zh-CN"/>
                      <w14:textFill>
                        <w14:solidFill>
                          <w14:schemeClr w14:val="tx1"/>
                        </w14:solidFill>
                      </w14:textFill>
                    </w:rPr>
                    <w:t>浸漆废气</w:t>
                  </w:r>
                </w:p>
              </w:tc>
              <w:tc>
                <w:tcPr>
                  <w:tcW w:w="2608" w:type="pct"/>
                  <w:vMerge w:val="restart"/>
                  <w:tcBorders>
                    <w:tl2br w:val="nil"/>
                    <w:tr2bl w:val="nil"/>
                  </w:tcBorders>
                  <w:vAlign w:val="center"/>
                </w:tcPr>
                <w:p>
                  <w:pPr>
                    <w:adjustRightInd w:val="0"/>
                    <w:spacing w:line="330" w:lineRule="exact"/>
                    <w:jc w:val="cente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1</w:t>
                  </w:r>
                  <w:r>
                    <w:rPr>
                      <w:rFonts w:hint="eastAsia" w:ascii="Times New Roman" w:hAnsi="Times New Roman" w:eastAsia="宋体"/>
                      <w:caps w:val="0"/>
                      <w:color w:val="000000" w:themeColor="text1"/>
                      <w:kern w:val="0"/>
                      <w:sz w:val="21"/>
                      <w:szCs w:val="21"/>
                      <w:highlight w:val="none"/>
                      <w14:textFill>
                        <w14:solidFill>
                          <w14:schemeClr w14:val="tx1"/>
                        </w14:solidFill>
                      </w14:textFill>
                    </w:rPr>
                    <w:t>套</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两级活性炭装置</w:t>
                  </w:r>
                  <w:r>
                    <w:rPr>
                      <w:rFonts w:hint="eastAsia" w:ascii="Times New Roman" w:hAnsi="Times New Roman" w:eastAsia="宋体"/>
                      <w:caps w:val="0"/>
                      <w:color w:val="000000" w:themeColor="text1"/>
                      <w:kern w:val="0"/>
                      <w:sz w:val="21"/>
                      <w:szCs w:val="21"/>
                      <w:highlight w:val="none"/>
                      <w14:textFill>
                        <w14:solidFill>
                          <w14:schemeClr w14:val="tx1"/>
                        </w14:solidFill>
                      </w14:textFill>
                    </w:rPr>
                    <w:t>+15m高排气筒</w:t>
                  </w:r>
                  <w:r>
                    <w:rPr>
                      <w:rFonts w:ascii="Times New Roman" w:hAnsi="Times New Roman" w:eastAsia="宋体"/>
                      <w:caps w:val="0"/>
                      <w:color w:val="000000" w:themeColor="text1"/>
                      <w:kern w:val="0"/>
                      <w:sz w:val="21"/>
                      <w:szCs w:val="21"/>
                      <w:highlight w:val="none"/>
                      <w14:textFill>
                        <w14:solidFill>
                          <w14:schemeClr w14:val="tx1"/>
                        </w14:solidFill>
                      </w14:textFill>
                    </w:rPr>
                    <w:t>（</w:t>
                  </w:r>
                  <w:r>
                    <w:rPr>
                      <w:rFonts w:hint="eastAsia" w:ascii="Times New Roman" w:hAnsi="Times New Roman" w:eastAsia="宋体"/>
                      <w:caps w:val="0"/>
                      <w:color w:val="000000" w:themeColor="text1"/>
                      <w:kern w:val="0"/>
                      <w:sz w:val="21"/>
                      <w:szCs w:val="21"/>
                      <w:highlight w:val="none"/>
                      <w:lang w:val="en-US" w:eastAsia="zh-CN"/>
                      <w14:textFill>
                        <w14:solidFill>
                          <w14:schemeClr w14:val="tx1"/>
                        </w14:solidFill>
                      </w14:textFill>
                    </w:rPr>
                    <w:t>7</w:t>
                  </w:r>
                  <w:r>
                    <w:rPr>
                      <w:rFonts w:ascii="Times New Roman" w:hAnsi="Times New Roman" w:eastAsia="宋体"/>
                      <w:caps w:val="0"/>
                      <w:color w:val="000000" w:themeColor="text1"/>
                      <w:kern w:val="0"/>
                      <w:sz w:val="21"/>
                      <w:szCs w:val="21"/>
                      <w:highlight w:val="none"/>
                      <w14:textFill>
                        <w14:solidFill>
                          <w14:schemeClr w14:val="tx1"/>
                        </w14:solidFill>
                      </w14:textFill>
                    </w:rPr>
                    <w:t>#）</w:t>
                  </w: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68" w:type="pct"/>
                  <w:vMerge w:val="continue"/>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262" w:type="pct"/>
                  <w:tcBorders>
                    <w:tl2br w:val="nil"/>
                    <w:tr2bl w:val="nil"/>
                  </w:tcBorders>
                  <w:vAlign w:val="center"/>
                </w:tcPr>
                <w:p>
                  <w:pPr>
                    <w:adjustRightInd w:val="0"/>
                    <w:spacing w:line="330" w:lineRule="exact"/>
                    <w:jc w:val="center"/>
                    <w:rPr>
                      <w:rFonts w:hint="default" w:ascii="Times New Roman" w:hAnsi="Times New Roman" w:eastAsia="宋体"/>
                      <w:caps w:val="0"/>
                      <w:color w:val="000000" w:themeColor="text1"/>
                      <w:kern w:val="2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1"/>
                      <w:sz w:val="21"/>
                      <w:szCs w:val="21"/>
                      <w:highlight w:val="none"/>
                      <w:lang w:val="en-US" w:eastAsia="zh-CN"/>
                      <w14:textFill>
                        <w14:solidFill>
                          <w14:schemeClr w14:val="tx1"/>
                        </w14:solidFill>
                      </w14:textFill>
                    </w:rPr>
                    <w:t>焚烧炉废气</w:t>
                  </w:r>
                </w:p>
              </w:tc>
              <w:tc>
                <w:tcPr>
                  <w:tcW w:w="2608" w:type="pct"/>
                  <w:vMerge w:val="continue"/>
                  <w:tcBorders>
                    <w:tl2br w:val="nil"/>
                    <w:tr2bl w:val="nil"/>
                  </w:tcBorders>
                  <w:vAlign w:val="center"/>
                </w:tcPr>
                <w:p>
                  <w:pPr>
                    <w:adjustRightInd w:val="0"/>
                    <w:spacing w:line="330" w:lineRule="exact"/>
                    <w:jc w:val="center"/>
                    <w:rPr>
                      <w:rFonts w:hint="default" w:ascii="Times New Roman" w:hAnsi="Times New Roman" w:eastAsia="宋体"/>
                      <w:caps w:val="0"/>
                      <w:color w:val="000000" w:themeColor="text1"/>
                      <w:kern w:val="0"/>
                      <w:sz w:val="21"/>
                      <w:szCs w:val="21"/>
                      <w:highlight w:val="none"/>
                      <w:lang w:val="en-US" w:eastAsia="zh-CN"/>
                      <w14:textFill>
                        <w14:solidFill>
                          <w14:schemeClr w14:val="tx1"/>
                        </w14:solidFill>
                      </w14:textFill>
                    </w:rPr>
                  </w:pPr>
                </w:p>
              </w:tc>
              <w:tc>
                <w:tcPr>
                  <w:tcW w:w="361"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768"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废水防治措施</w:t>
                  </w:r>
                </w:p>
              </w:tc>
              <w:tc>
                <w:tcPr>
                  <w:tcW w:w="1262" w:type="pct"/>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生活污水</w:t>
                  </w:r>
                </w:p>
              </w:tc>
              <w:tc>
                <w:tcPr>
                  <w:tcW w:w="2608"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化粪池、雨污管网</w:t>
                  </w:r>
                  <w:r>
                    <w:rPr>
                      <w:rFonts w:ascii="Times New Roman" w:hAnsi="Times New Roman" w:eastAsia="宋体"/>
                      <w:caps w:val="0"/>
                      <w:color w:val="000000" w:themeColor="text1"/>
                      <w:sz w:val="21"/>
                      <w:szCs w:val="21"/>
                      <w:highlight w:val="none"/>
                      <w14:textFill>
                        <w14:solidFill>
                          <w14:schemeClr w14:val="tx1"/>
                        </w14:solidFill>
                      </w14:textFill>
                    </w:rPr>
                    <w:t>（依托现有）</w:t>
                  </w:r>
                </w:p>
              </w:tc>
              <w:tc>
                <w:tcPr>
                  <w:tcW w:w="361"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768" w:type="pct"/>
                  <w:tcBorders>
                    <w:tl2br w:val="nil"/>
                    <w:tr2bl w:val="nil"/>
                  </w:tcBorders>
                  <w:vAlign w:val="center"/>
                </w:tcPr>
                <w:p>
                  <w:pPr>
                    <w:spacing w:line="340" w:lineRule="exact"/>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噪声防治措施</w:t>
                  </w:r>
                </w:p>
              </w:tc>
              <w:tc>
                <w:tcPr>
                  <w:tcW w:w="1262" w:type="pct"/>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产噪设备</w:t>
                  </w:r>
                </w:p>
              </w:tc>
              <w:tc>
                <w:tcPr>
                  <w:tcW w:w="2608" w:type="pct"/>
                  <w:tcBorders>
                    <w:tl2br w:val="nil"/>
                    <w:tr2bl w:val="nil"/>
                  </w:tcBorders>
                  <w:vAlign w:val="center"/>
                </w:tcPr>
                <w:p>
                  <w:pPr>
                    <w:spacing w:line="340" w:lineRule="exact"/>
                    <w:ind w:left="-109" w:leftChars="-39" w:right="-252" w:rightChars="-9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设备基础安装减振垫，厂房隔声等</w:t>
                  </w:r>
                </w:p>
              </w:tc>
              <w:tc>
                <w:tcPr>
                  <w:tcW w:w="361" w:type="pct"/>
                  <w:tcBorders>
                    <w:tl2br w:val="nil"/>
                    <w:tr2bl w:val="nil"/>
                  </w:tcBorders>
                  <w:vAlign w:val="center"/>
                </w:tcPr>
                <w:p>
                  <w:pPr>
                    <w:spacing w:line="340" w:lineRule="exact"/>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2</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768" w:type="pct"/>
                  <w:vMerge w:val="restar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固废</w:t>
                  </w:r>
                </w:p>
              </w:tc>
              <w:tc>
                <w:tcPr>
                  <w:tcW w:w="1262" w:type="pct"/>
                  <w:tcBorders>
                    <w:tl2br w:val="nil"/>
                    <w:tr2bl w:val="nil"/>
                  </w:tcBorders>
                  <w:vAlign w:val="center"/>
                </w:tcPr>
                <w:p>
                  <w:pPr>
                    <w:spacing w:line="340" w:lineRule="exact"/>
                    <w:ind w:left="-57" w:right="-57"/>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危险废物</w:t>
                  </w:r>
                </w:p>
              </w:tc>
              <w:tc>
                <w:tcPr>
                  <w:tcW w:w="2608"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在</w:t>
                  </w:r>
                  <w:r>
                    <w:rPr>
                      <w:rFonts w:hint="eastAsia" w:ascii="Times New Roman" w:hAnsi="Times New Roman" w:eastAsia="宋体"/>
                      <w:caps w:val="0"/>
                      <w:color w:val="000000" w:themeColor="text1"/>
                      <w:sz w:val="21"/>
                      <w:szCs w:val="21"/>
                      <w:highlight w:val="none"/>
                      <w14:textFill>
                        <w14:solidFill>
                          <w14:schemeClr w14:val="tx1"/>
                        </w14:solidFill>
                      </w14:textFill>
                    </w:rPr>
                    <w:t>车间</w:t>
                  </w:r>
                  <w:r>
                    <w:rPr>
                      <w:rFonts w:ascii="Times New Roman" w:hAnsi="Times New Roman" w:eastAsia="宋体"/>
                      <w:caps w:val="0"/>
                      <w:color w:val="000000" w:themeColor="text1"/>
                      <w:sz w:val="21"/>
                      <w:szCs w:val="21"/>
                      <w:highlight w:val="none"/>
                      <w14:textFill>
                        <w14:solidFill>
                          <w14:schemeClr w14:val="tx1"/>
                        </w14:solidFill>
                      </w14:textFill>
                    </w:rPr>
                    <w:t>内</w:t>
                  </w:r>
                  <w:r>
                    <w:rPr>
                      <w:rFonts w:hint="eastAsia" w:ascii="Times New Roman" w:hAnsi="Times New Roman" w:eastAsia="宋体"/>
                      <w:caps w:val="0"/>
                      <w:color w:val="000000" w:themeColor="text1"/>
                      <w:sz w:val="21"/>
                      <w:szCs w:val="21"/>
                      <w:highlight w:val="none"/>
                      <w14:textFill>
                        <w14:solidFill>
                          <w14:schemeClr w14:val="tx1"/>
                        </w14:solidFill>
                      </w14:textFill>
                    </w:rPr>
                    <w:t>建设</w:t>
                  </w:r>
                  <w:r>
                    <w:rPr>
                      <w:rFonts w:ascii="Times New Roman" w:hAnsi="Times New Roman" w:eastAsia="宋体"/>
                      <w:caps w:val="0"/>
                      <w:color w:val="000000" w:themeColor="text1"/>
                      <w:sz w:val="21"/>
                      <w:szCs w:val="21"/>
                      <w:highlight w:val="none"/>
                      <w14:textFill>
                        <w14:solidFill>
                          <w14:schemeClr w14:val="tx1"/>
                        </w14:solidFill>
                      </w14:textFill>
                    </w:rPr>
                    <w:t>危废暂存间（</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15</w:t>
                  </w:r>
                  <w:r>
                    <w:rPr>
                      <w:rFonts w:ascii="Times New Roman" w:hAnsi="Times New Roman" w:eastAsia="宋体"/>
                      <w:caps w:val="0"/>
                      <w:color w:val="000000" w:themeColor="text1"/>
                      <w:sz w:val="21"/>
                      <w:szCs w:val="21"/>
                      <w:highlight w:val="none"/>
                      <w14:textFill>
                        <w14:solidFill>
                          <w14:schemeClr w14:val="tx1"/>
                        </w14:solidFill>
                      </w14:textFill>
                    </w:rPr>
                    <w:t>m</w:t>
                  </w:r>
                  <w:r>
                    <w:rPr>
                      <w:rFonts w:ascii="Times New Roman" w:hAnsi="Times New Roman" w:eastAsia="宋体"/>
                      <w:caps w:val="0"/>
                      <w:color w:val="000000" w:themeColor="text1"/>
                      <w:sz w:val="21"/>
                      <w:szCs w:val="21"/>
                      <w:highlight w:val="none"/>
                      <w:vertAlign w:val="superscript"/>
                      <w14:textFill>
                        <w14:solidFill>
                          <w14:schemeClr w14:val="tx1"/>
                        </w14:solidFill>
                      </w14:textFill>
                    </w:rPr>
                    <w:t>2</w:t>
                  </w:r>
                  <w:r>
                    <w:rPr>
                      <w:rFonts w:ascii="Times New Roman" w:hAnsi="Times New Roman" w:eastAsia="宋体"/>
                      <w:caps w:val="0"/>
                      <w:color w:val="000000" w:themeColor="text1"/>
                      <w:sz w:val="21"/>
                      <w:szCs w:val="21"/>
                      <w:highlight w:val="none"/>
                      <w14:textFill>
                        <w14:solidFill>
                          <w14:schemeClr w14:val="tx1"/>
                        </w14:solidFill>
                      </w14:textFill>
                    </w:rPr>
                    <w:t>）</w:t>
                  </w: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依托</w:t>
                  </w: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w:t>
                  </w:r>
                  <w:r>
                    <w:rPr>
                      <w:rFonts w:ascii="Times New Roman" w:hAnsi="Times New Roman" w:eastAsia="宋体"/>
                      <w:caps w:val="0"/>
                      <w:color w:val="000000" w:themeColor="text1"/>
                      <w:sz w:val="21"/>
                      <w:szCs w:val="21"/>
                      <w:highlight w:val="none"/>
                      <w14:textFill>
                        <w14:solidFill>
                          <w14:schemeClr w14:val="tx1"/>
                        </w14:solidFill>
                      </w14:textFill>
                    </w:rPr>
                    <w:t>，并采取防雨、防腐、防渗等处理，危废收集后委托有危废处置资质的单位进行处理</w:t>
                  </w:r>
                </w:p>
              </w:tc>
              <w:tc>
                <w:tcPr>
                  <w:tcW w:w="361" w:type="pct"/>
                  <w:tcBorders>
                    <w:tl2br w:val="nil"/>
                    <w:tr2bl w:val="nil"/>
                  </w:tcBorders>
                  <w:vAlign w:val="center"/>
                </w:tcPr>
                <w:p>
                  <w:pPr>
                    <w:spacing w:line="340" w:lineRule="exact"/>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8"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262" w:type="pct"/>
                  <w:tcBorders>
                    <w:tl2br w:val="nil"/>
                    <w:tr2bl w:val="nil"/>
                  </w:tcBorders>
                  <w:vAlign w:val="center"/>
                </w:tcPr>
                <w:p>
                  <w:pPr>
                    <w:spacing w:line="340" w:lineRule="exact"/>
                    <w:ind w:left="-57" w:right="-57"/>
                    <w:jc w:val="cente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一般固废</w:t>
                  </w:r>
                </w:p>
              </w:tc>
              <w:tc>
                <w:tcPr>
                  <w:tcW w:w="2608"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收集后暂存一般固废暂存场所</w:t>
                  </w: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依托</w:t>
                  </w:r>
                  <w:r>
                    <w:rPr>
                      <w:rFonts w:hint="eastAsia" w:ascii="Times New Roman" w:hAnsi="Times New Roman" w:eastAsia="宋体"/>
                      <w:caps w:val="0"/>
                      <w:color w:val="000000" w:themeColor="text1"/>
                      <w:sz w:val="21"/>
                      <w:szCs w:val="21"/>
                      <w:highlight w:val="none"/>
                      <w:lang w:eastAsia="zh-CN"/>
                      <w14:textFill>
                        <w14:solidFill>
                          <w14:schemeClr w14:val="tx1"/>
                        </w14:solidFill>
                      </w14:textFill>
                    </w:rPr>
                    <w:t>）</w:t>
                  </w:r>
                  <w:r>
                    <w:rPr>
                      <w:rFonts w:ascii="Times New Roman" w:hAnsi="Times New Roman" w:eastAsia="宋体"/>
                      <w:caps w:val="0"/>
                      <w:color w:val="000000" w:themeColor="text1"/>
                      <w:sz w:val="21"/>
                      <w:szCs w:val="21"/>
                      <w:highlight w:val="none"/>
                      <w14:textFill>
                        <w14:solidFill>
                          <w14:schemeClr w14:val="tx1"/>
                        </w14:solidFill>
                      </w14:textFill>
                    </w:rPr>
                    <w:t>，由物资回收公司回收处理</w:t>
                  </w:r>
                </w:p>
              </w:tc>
              <w:tc>
                <w:tcPr>
                  <w:tcW w:w="361" w:type="pct"/>
                  <w:tcBorders>
                    <w:tl2br w:val="nil"/>
                    <w:tr2bl w:val="nil"/>
                  </w:tcBorders>
                  <w:vAlign w:val="center"/>
                </w:tcPr>
                <w:p>
                  <w:pPr>
                    <w:spacing w:line="340" w:lineRule="exact"/>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0</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68" w:type="pct"/>
                  <w:vMerge w:val="continue"/>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262" w:type="pct"/>
                  <w:tcBorders>
                    <w:tl2br w:val="nil"/>
                    <w:tr2bl w:val="nil"/>
                  </w:tcBorders>
                  <w:vAlign w:val="center"/>
                </w:tcPr>
                <w:p>
                  <w:pPr>
                    <w:spacing w:line="340" w:lineRule="exact"/>
                    <w:ind w:left="-108" w:right="-108"/>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生活垃圾</w:t>
                  </w:r>
                </w:p>
              </w:tc>
              <w:tc>
                <w:tcPr>
                  <w:tcW w:w="2608" w:type="pct"/>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设置垃圾收集桶，由环卫工人清运</w:t>
                  </w:r>
                </w:p>
              </w:tc>
              <w:tc>
                <w:tcPr>
                  <w:tcW w:w="361" w:type="pct"/>
                  <w:tcBorders>
                    <w:tl2br w:val="nil"/>
                    <w:tr2bl w:val="nil"/>
                  </w:tcBorders>
                  <w:vAlign w:val="center"/>
                </w:tcPr>
                <w:p>
                  <w:pPr>
                    <w:spacing w:line="340" w:lineRule="exact"/>
                    <w:jc w:val="center"/>
                    <w:rPr>
                      <w:rFonts w:hint="eastAsia" w:ascii="Times New Roman" w:hAnsi="Times New Roman" w:eastAsia="宋体"/>
                      <w:caps w:val="0"/>
                      <w:color w:val="000000" w:themeColor="text1"/>
                      <w:sz w:val="21"/>
                      <w:szCs w:val="21"/>
                      <w:highlight w:val="none"/>
                      <w:lang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1</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4638" w:type="pct"/>
                  <w:gridSpan w:val="3"/>
                  <w:tcBorders>
                    <w:tl2br w:val="nil"/>
                    <w:tr2bl w:val="nil"/>
                  </w:tcBorders>
                  <w:vAlign w:val="center"/>
                </w:tcPr>
                <w:p>
                  <w:pPr>
                    <w:spacing w:line="340" w:lineRule="exact"/>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合计</w:t>
                  </w:r>
                </w:p>
              </w:tc>
              <w:tc>
                <w:tcPr>
                  <w:tcW w:w="361" w:type="pct"/>
                  <w:tcBorders>
                    <w:tl2br w:val="nil"/>
                    <w:tr2bl w:val="nil"/>
                  </w:tcBorders>
                  <w:vAlign w:val="center"/>
                </w:tcPr>
                <w:p>
                  <w:pPr>
                    <w:spacing w:line="340" w:lineRule="exact"/>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71</w:t>
                  </w:r>
                </w:p>
              </w:tc>
            </w:tr>
          </w:tbl>
          <w:p>
            <w:pPr>
              <w:pStyle w:val="40"/>
              <w:rPr>
                <w:rFonts w:ascii="Times New Roman" w:hAnsi="Times New Roman" w:eastAsia="宋体" w:cs="Times New Roman"/>
                <w:caps w:val="0"/>
                <w:color w:val="000000" w:themeColor="text1"/>
                <w:highlight w:val="none"/>
                <w14:textFill>
                  <w14:solidFill>
                    <w14:schemeClr w14:val="tx1"/>
                  </w14:solidFill>
                </w14:textFill>
              </w:rPr>
            </w:pPr>
          </w:p>
          <w:p>
            <w:pPr>
              <w:pStyle w:val="40"/>
              <w:rPr>
                <w:rFonts w:ascii="Times New Roman" w:hAnsi="Times New Roman" w:eastAsia="宋体" w:cs="Times New Roman"/>
                <w:caps w:val="0"/>
                <w:color w:val="000000" w:themeColor="text1"/>
                <w:highlight w:val="none"/>
                <w14:textFill>
                  <w14:solidFill>
                    <w14:schemeClr w14:val="tx1"/>
                  </w14:solidFill>
                </w14:textFill>
              </w:rPr>
            </w:pPr>
          </w:p>
          <w:p>
            <w:pPr>
              <w:pStyle w:val="40"/>
              <w:rPr>
                <w:rFonts w:ascii="Times New Roman" w:hAnsi="Times New Roman" w:eastAsia="宋体" w:cs="Times New Roman"/>
                <w:caps w:val="0"/>
                <w:color w:val="000000" w:themeColor="text1"/>
                <w:highlight w:val="none"/>
                <w14:textFill>
                  <w14:solidFill>
                    <w14:schemeClr w14:val="tx1"/>
                  </w14:solidFill>
                </w14:textFill>
              </w:rPr>
            </w:pPr>
          </w:p>
          <w:p>
            <w:pPr>
              <w:spacing w:line="360" w:lineRule="auto"/>
              <w:rPr>
                <w:rFonts w:ascii="Times New Roman" w:hAnsi="Times New Roman" w:eastAsia="宋体"/>
                <w:b/>
                <w:bCs/>
                <w:caps w:val="0"/>
                <w:color w:val="000000" w:themeColor="text1"/>
                <w:spacing w:val="-2"/>
                <w:sz w:val="24"/>
                <w:highlight w:val="none"/>
                <w14:textFill>
                  <w14:solidFill>
                    <w14:schemeClr w14:val="tx1"/>
                  </w14:solidFill>
                </w14:textFill>
              </w:rPr>
            </w:pPr>
          </w:p>
        </w:tc>
      </w:tr>
    </w:tbl>
    <w:p>
      <w:pPr>
        <w:pStyle w:val="19"/>
        <w:ind w:left="560"/>
        <w:rPr>
          <w:rFonts w:ascii="Times New Roman" w:hAnsi="Times New Roman" w:eastAsia="宋体"/>
          <w:caps w:val="0"/>
          <w:color w:val="000000" w:themeColor="text1"/>
          <w:highlight w:val="none"/>
          <w14:textFill>
            <w14:solidFill>
              <w14:schemeClr w14:val="tx1"/>
            </w14:solidFill>
          </w14:textFill>
        </w:rPr>
        <w:sectPr>
          <w:pgSz w:w="11906" w:h="16838"/>
          <w:pgMar w:top="1440" w:right="1440" w:bottom="1440" w:left="1440" w:header="851" w:footer="992" w:gutter="0"/>
          <w:cols w:space="720" w:num="1"/>
          <w:docGrid w:type="lines" w:linePitch="312" w:charSpace="0"/>
        </w:sectPr>
      </w:pPr>
    </w:p>
    <w:p>
      <w:pPr>
        <w:pStyle w:val="3"/>
        <w:spacing w:before="120" w:after="120" w:line="360" w:lineRule="auto"/>
        <w:rPr>
          <w:rFonts w:ascii="Times New Roman" w:hAnsi="Times New Roman" w:eastAsia="宋体"/>
          <w:b w:val="0"/>
          <w:bCs w:val="0"/>
          <w:caps w:val="0"/>
          <w:color w:val="000000" w:themeColor="text1"/>
          <w:sz w:val="32"/>
          <w:highlight w:val="none"/>
          <w14:textFill>
            <w14:solidFill>
              <w14:schemeClr w14:val="tx1"/>
            </w14:solidFill>
          </w14:textFill>
        </w:rPr>
      </w:pPr>
      <w:r>
        <w:rPr>
          <w:rFonts w:ascii="Times New Roman" w:hAnsi="Times New Roman" w:eastAsia="宋体"/>
          <w:caps w:val="0"/>
          <w:color w:val="000000" w:themeColor="text1"/>
          <w:sz w:val="28"/>
          <w:szCs w:val="28"/>
          <w:highlight w:val="none"/>
          <w14:textFill>
            <w14:solidFill>
              <w14:schemeClr w14:val="tx1"/>
            </w14:solidFill>
          </w14:textFill>
        </w:rPr>
        <w:t>建设项目采取的防治措施及预期治理效果</w:t>
      </w:r>
    </w:p>
    <w:tbl>
      <w:tblPr>
        <w:tblStyle w:val="32"/>
        <w:tblW w:w="4996"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25"/>
        <w:gridCol w:w="474"/>
        <w:gridCol w:w="537"/>
        <w:gridCol w:w="1245"/>
        <w:gridCol w:w="3441"/>
        <w:gridCol w:w="27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tcBorders>
              <w:tl2br w:val="single" w:color="auto" w:sz="4" w:space="0"/>
            </w:tcBorders>
          </w:tcPr>
          <w:p>
            <w:pPr>
              <w:spacing w:line="360" w:lineRule="exact"/>
              <w:ind w:right="-140" w:rightChars="-50"/>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 xml:space="preserve">  </w:t>
            </w:r>
            <w:r>
              <w:rPr>
                <w:rFonts w:ascii="Times New Roman" w:hAnsi="Times New Roman" w:eastAsia="宋体"/>
                <w:b/>
                <w:bCs/>
                <w:caps w:val="0"/>
                <w:color w:val="000000" w:themeColor="text1"/>
                <w:w w:val="98"/>
                <w:sz w:val="24"/>
                <w:szCs w:val="24"/>
                <w:highlight w:val="none"/>
                <w14:textFill>
                  <w14:solidFill>
                    <w14:schemeClr w14:val="tx1"/>
                  </w14:solidFill>
                </w14:textFill>
              </w:rPr>
              <w:t>内容</w:t>
            </w:r>
          </w:p>
          <w:p>
            <w:pPr>
              <w:spacing w:line="360" w:lineRule="exact"/>
              <w:ind w:right="-140" w:rightChars="-50"/>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w w:val="98"/>
                <w:sz w:val="24"/>
                <w:szCs w:val="24"/>
                <w:highlight w:val="none"/>
                <w14:textFill>
                  <w14:solidFill>
                    <w14:schemeClr w14:val="tx1"/>
                  </w14:solidFill>
                </w14:textFill>
              </w:rPr>
              <w:t>类型</w:t>
            </w:r>
          </w:p>
        </w:tc>
        <w:tc>
          <w:tcPr>
            <w:tcW w:w="547" w:type="pct"/>
            <w:gridSpan w:val="2"/>
            <w:vAlign w:val="center"/>
          </w:tcPr>
          <w:p>
            <w:pPr>
              <w:spacing w:line="360" w:lineRule="exact"/>
              <w:ind w:right="-170"/>
              <w:jc w:val="center"/>
              <w:rPr>
                <w:rFonts w:ascii="Times New Roman" w:hAnsi="Times New Roman" w:eastAsia="宋体"/>
                <w:b/>
                <w:bCs/>
                <w:caps w:val="0"/>
                <w:color w:val="000000" w:themeColor="text1"/>
                <w:w w:val="98"/>
                <w:sz w:val="24"/>
                <w:szCs w:val="24"/>
                <w:highlight w:val="none"/>
                <w14:textFill>
                  <w14:solidFill>
                    <w14:schemeClr w14:val="tx1"/>
                  </w14:solidFill>
                </w14:textFill>
              </w:rPr>
            </w:pPr>
            <w:r>
              <w:rPr>
                <w:rFonts w:ascii="Times New Roman" w:hAnsi="Times New Roman" w:eastAsia="宋体"/>
                <w:b/>
                <w:bCs/>
                <w:caps w:val="0"/>
                <w:color w:val="000000" w:themeColor="text1"/>
                <w:w w:val="98"/>
                <w:sz w:val="24"/>
                <w:szCs w:val="24"/>
                <w:highlight w:val="none"/>
                <w14:textFill>
                  <w14:solidFill>
                    <w14:schemeClr w14:val="tx1"/>
                  </w14:solidFill>
                </w14:textFill>
              </w:rPr>
              <w:t>排放源</w:t>
            </w:r>
          </w:p>
          <w:p>
            <w:pPr>
              <w:spacing w:line="360" w:lineRule="exact"/>
              <w:ind w:right="-17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w w:val="98"/>
                <w:sz w:val="24"/>
                <w:szCs w:val="24"/>
                <w:highlight w:val="none"/>
                <w14:textFill>
                  <w14:solidFill>
                    <w14:schemeClr w14:val="tx1"/>
                  </w14:solidFill>
                </w14:textFill>
              </w:rPr>
              <w:t>（编号）</w:t>
            </w:r>
          </w:p>
        </w:tc>
        <w:tc>
          <w:tcPr>
            <w:tcW w:w="674" w:type="pct"/>
            <w:vAlign w:val="center"/>
          </w:tcPr>
          <w:p>
            <w:pPr>
              <w:spacing w:line="360" w:lineRule="exact"/>
              <w:ind w:right="-170"/>
              <w:jc w:val="center"/>
              <w:rPr>
                <w:rFonts w:ascii="Times New Roman" w:hAnsi="Times New Roman" w:eastAsia="宋体"/>
                <w:b/>
                <w:bCs/>
                <w:caps w:val="0"/>
                <w:color w:val="000000" w:themeColor="text1"/>
                <w:w w:val="98"/>
                <w:sz w:val="24"/>
                <w:szCs w:val="24"/>
                <w:highlight w:val="none"/>
                <w14:textFill>
                  <w14:solidFill>
                    <w14:schemeClr w14:val="tx1"/>
                  </w14:solidFill>
                </w14:textFill>
              </w:rPr>
            </w:pPr>
            <w:r>
              <w:rPr>
                <w:rFonts w:ascii="Times New Roman" w:hAnsi="Times New Roman" w:eastAsia="宋体"/>
                <w:b/>
                <w:bCs/>
                <w:caps w:val="0"/>
                <w:color w:val="000000" w:themeColor="text1"/>
                <w:w w:val="98"/>
                <w:sz w:val="24"/>
                <w:szCs w:val="24"/>
                <w:highlight w:val="none"/>
                <w14:textFill>
                  <w14:solidFill>
                    <w14:schemeClr w14:val="tx1"/>
                  </w14:solidFill>
                </w14:textFill>
              </w:rPr>
              <w:t>污染物</w:t>
            </w:r>
          </w:p>
          <w:p>
            <w:pPr>
              <w:spacing w:line="360" w:lineRule="exact"/>
              <w:ind w:right="-17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w w:val="98"/>
                <w:sz w:val="24"/>
                <w:szCs w:val="24"/>
                <w:highlight w:val="none"/>
                <w14:textFill>
                  <w14:solidFill>
                    <w14:schemeClr w14:val="tx1"/>
                  </w14:solidFill>
                </w14:textFill>
              </w:rPr>
              <w:t>名称</w:t>
            </w:r>
          </w:p>
        </w:tc>
        <w:tc>
          <w:tcPr>
            <w:tcW w:w="1863" w:type="pct"/>
            <w:vAlign w:val="center"/>
          </w:tcPr>
          <w:p>
            <w:pPr>
              <w:spacing w:line="360" w:lineRule="exact"/>
              <w:ind w:right="-17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w w:val="98"/>
                <w:sz w:val="24"/>
                <w:szCs w:val="24"/>
                <w:highlight w:val="none"/>
                <w14:textFill>
                  <w14:solidFill>
                    <w14:schemeClr w14:val="tx1"/>
                  </w14:solidFill>
                </w14:textFill>
              </w:rPr>
              <w:t>防治措施</w:t>
            </w:r>
          </w:p>
        </w:tc>
        <w:tc>
          <w:tcPr>
            <w:tcW w:w="1468" w:type="pct"/>
            <w:vAlign w:val="center"/>
          </w:tcPr>
          <w:p>
            <w:pPr>
              <w:spacing w:line="360" w:lineRule="exact"/>
              <w:ind w:right="-17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b/>
                <w:bCs/>
                <w:caps w:val="0"/>
                <w:color w:val="000000" w:themeColor="text1"/>
                <w:w w:val="98"/>
                <w:sz w:val="24"/>
                <w:szCs w:val="24"/>
                <w:highlight w:val="none"/>
                <w14:textFill>
                  <w14:solidFill>
                    <w14:schemeClr w14:val="tx1"/>
                  </w14:solidFill>
                </w14:textFill>
              </w:rPr>
              <w:t>预期治理效果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restart"/>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大</w:t>
            </w:r>
          </w:p>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气</w:t>
            </w:r>
          </w:p>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污</w:t>
            </w:r>
          </w:p>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染</w:t>
            </w:r>
          </w:p>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物</w:t>
            </w:r>
          </w:p>
        </w:tc>
        <w:tc>
          <w:tcPr>
            <w:tcW w:w="547" w:type="pct"/>
            <w:gridSpan w:val="2"/>
            <w:vAlign w:val="center"/>
          </w:tcPr>
          <w:p>
            <w:pPr>
              <w:adjustRightInd w:val="0"/>
              <w:spacing w:line="330" w:lineRule="exact"/>
              <w:jc w:val="center"/>
              <w:rPr>
                <w:rFonts w:hint="default" w:ascii="Times New Roman" w:hAnsi="Times New Roman" w:eastAsia="宋体"/>
                <w:caps w:val="0"/>
                <w:color w:val="000000" w:themeColor="text1"/>
                <w:sz w:val="24"/>
                <w:szCs w:val="24"/>
                <w:highlight w:val="none"/>
                <w:lang w:val="en-US"/>
                <w14:textFill>
                  <w14:solidFill>
                    <w14:schemeClr w14:val="tx1"/>
                  </w14:solidFill>
                </w14:textFill>
              </w:rPr>
            </w:pP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抛丸</w:t>
            </w:r>
          </w:p>
        </w:tc>
        <w:tc>
          <w:tcPr>
            <w:tcW w:w="674" w:type="pct"/>
            <w:vAlign w:val="center"/>
          </w:tcPr>
          <w:p>
            <w:pPr>
              <w:adjustRightInd w:val="0"/>
              <w:spacing w:line="330" w:lineRule="exact"/>
              <w:jc w:val="center"/>
              <w:rPr>
                <w:rFonts w:hint="default"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颗粒物</w:t>
            </w:r>
          </w:p>
        </w:tc>
        <w:tc>
          <w:tcPr>
            <w:tcW w:w="1863" w:type="pct"/>
            <w:vAlign w:val="center"/>
          </w:tcPr>
          <w:p>
            <w:pPr>
              <w:adjustRightInd w:val="0"/>
              <w:spacing w:line="33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1</w:t>
            </w:r>
            <w:r>
              <w:rPr>
                <w:rFonts w:hint="eastAsia" w:ascii="Times New Roman" w:hAnsi="Times New Roman" w:eastAsia="宋体"/>
                <w:caps w:val="0"/>
                <w:color w:val="000000" w:themeColor="text1"/>
                <w:kern w:val="0"/>
                <w:sz w:val="24"/>
                <w:szCs w:val="24"/>
                <w:highlight w:val="none"/>
                <w14:textFill>
                  <w14:solidFill>
                    <w14:schemeClr w14:val="tx1"/>
                  </w14:solidFill>
                </w14:textFill>
              </w:rPr>
              <w:t>套脉冲式布袋除尘器+15m高排气筒</w:t>
            </w:r>
            <w:r>
              <w:rPr>
                <w:rFonts w:ascii="Times New Roman" w:hAnsi="Times New Roman" w:eastAsia="宋体"/>
                <w:caps w:val="0"/>
                <w:color w:val="000000" w:themeColor="text1"/>
                <w:kern w:val="0"/>
                <w:sz w:val="24"/>
                <w:szCs w:val="24"/>
                <w:highlight w:val="none"/>
                <w14:textFill>
                  <w14:solidFill>
                    <w14:schemeClr w14:val="tx1"/>
                  </w14:solidFill>
                </w14:textFill>
              </w:rPr>
              <w:t>（</w:t>
            </w: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6</w:t>
            </w:r>
            <w:r>
              <w:rPr>
                <w:rFonts w:ascii="Times New Roman" w:hAnsi="Times New Roman" w:eastAsia="宋体"/>
                <w:caps w:val="0"/>
                <w:color w:val="000000" w:themeColor="text1"/>
                <w:kern w:val="0"/>
                <w:sz w:val="24"/>
                <w:szCs w:val="24"/>
                <w:highlight w:val="none"/>
                <w14:textFill>
                  <w14:solidFill>
                    <w14:schemeClr w14:val="tx1"/>
                  </w14:solidFill>
                </w14:textFill>
              </w:rPr>
              <w:t>#）</w:t>
            </w:r>
          </w:p>
        </w:tc>
        <w:tc>
          <w:tcPr>
            <w:tcW w:w="1468" w:type="pct"/>
            <w:vMerge w:val="restart"/>
            <w:vAlign w:val="center"/>
          </w:tcPr>
          <w:p>
            <w:pPr>
              <w:spacing w:line="360" w:lineRule="exact"/>
              <w:jc w:val="center"/>
              <w:rPr>
                <w:rFonts w:ascii="Times New Roman" w:hAnsi="Times New Roman" w:eastAsia="宋体"/>
                <w:caps w:val="0"/>
                <w:color w:val="000000" w:themeColor="text1"/>
                <w:spacing w:val="-11"/>
                <w:sz w:val="24"/>
                <w:szCs w:val="24"/>
                <w:highlight w:val="none"/>
                <w14:textFill>
                  <w14:solidFill>
                    <w14:schemeClr w14:val="tx1"/>
                  </w14:solidFill>
                </w14:textFill>
              </w:rPr>
            </w:pPr>
            <w:r>
              <w:rPr>
                <w:rFonts w:ascii="Times New Roman" w:hAnsi="Times New Roman" w:eastAsia="宋体"/>
                <w:caps w:val="0"/>
                <w:color w:val="000000" w:themeColor="text1"/>
                <w:spacing w:val="-11"/>
                <w:sz w:val="24"/>
                <w:szCs w:val="24"/>
                <w:highlight w:val="none"/>
                <w14:textFill>
                  <w14:solidFill>
                    <w14:schemeClr w14:val="tx1"/>
                  </w14:solidFill>
                </w14:textFill>
              </w:rPr>
              <w:t>满足上海市《大气污染物综合排放标准》（DB 31/933-2015）表1大气污染物项目排放限值</w:t>
            </w:r>
            <w:r>
              <w:rPr>
                <w:rFonts w:hint="eastAsia" w:ascii="Times New Roman" w:hAnsi="Times New Roman" w:eastAsia="宋体"/>
                <w:caps w:val="0"/>
                <w:color w:val="000000" w:themeColor="text1"/>
                <w:spacing w:val="-11"/>
                <w:sz w:val="24"/>
                <w:szCs w:val="24"/>
                <w:highlight w:val="none"/>
                <w:lang w:eastAsia="zh-CN"/>
                <w14:textFill>
                  <w14:solidFill>
                    <w14:schemeClr w14:val="tx1"/>
                  </w14:solidFill>
                </w14:textFill>
              </w:rPr>
              <w:t>、</w:t>
            </w:r>
            <w:r>
              <w:rPr>
                <w:rFonts w:hint="eastAsia" w:ascii="Times New Roman" w:hAnsi="Times New Roman" w:eastAsia="宋体"/>
                <w:caps w:val="0"/>
                <w:color w:val="000000" w:themeColor="text1"/>
                <w:spacing w:val="-11"/>
                <w:sz w:val="24"/>
                <w:szCs w:val="24"/>
                <w:highlight w:val="none"/>
                <w:lang w:val="en-US" w:eastAsia="zh-CN"/>
                <w14:textFill>
                  <w14:solidFill>
                    <w14:schemeClr w14:val="tx1"/>
                  </w14:solidFill>
                </w14:textFill>
              </w:rPr>
              <w:t>表2厂区内大气污染物监控点浓度限值</w:t>
            </w:r>
            <w:r>
              <w:rPr>
                <w:rFonts w:ascii="Times New Roman" w:hAnsi="Times New Roman" w:eastAsia="宋体"/>
                <w:caps w:val="0"/>
                <w:color w:val="000000" w:themeColor="text1"/>
                <w:spacing w:val="-11"/>
                <w:sz w:val="24"/>
                <w:szCs w:val="24"/>
                <w:highlight w:val="none"/>
                <w14:textFill>
                  <w14:solidFill>
                    <w14:schemeClr w14:val="tx1"/>
                  </w14:solidFill>
                </w14:textFill>
              </w:rPr>
              <w:t>及表3厂界大气污染物监控点浓度限值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p>
        </w:tc>
        <w:tc>
          <w:tcPr>
            <w:tcW w:w="547" w:type="pct"/>
            <w:gridSpan w:val="2"/>
            <w:vAlign w:val="center"/>
          </w:tcPr>
          <w:p>
            <w:pPr>
              <w:adjustRightInd w:val="0"/>
              <w:spacing w:line="330" w:lineRule="exact"/>
              <w:jc w:val="center"/>
              <w:rPr>
                <w:rFonts w:hint="eastAsia" w:ascii="Times New Roman" w:hAnsi="Times New Roman" w:eastAsia="宋体"/>
                <w:caps w:val="0"/>
                <w:color w:val="000000" w:themeColor="text1"/>
                <w:kern w:val="2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1"/>
                <w:sz w:val="24"/>
                <w:szCs w:val="24"/>
                <w:highlight w:val="none"/>
                <w:lang w:val="en-US" w:eastAsia="zh-CN"/>
                <w14:textFill>
                  <w14:solidFill>
                    <w14:schemeClr w14:val="tx1"/>
                  </w14:solidFill>
                </w14:textFill>
              </w:rPr>
              <w:t>浸漆</w:t>
            </w:r>
          </w:p>
        </w:tc>
        <w:tc>
          <w:tcPr>
            <w:tcW w:w="674" w:type="pct"/>
            <w:vAlign w:val="center"/>
          </w:tcPr>
          <w:p>
            <w:pPr>
              <w:adjustRightInd w:val="0"/>
              <w:spacing w:line="330" w:lineRule="exact"/>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非甲烷总烃</w:t>
            </w: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、二甲苯</w:t>
            </w:r>
          </w:p>
        </w:tc>
        <w:tc>
          <w:tcPr>
            <w:tcW w:w="1863" w:type="pct"/>
            <w:vMerge w:val="restart"/>
            <w:vAlign w:val="center"/>
          </w:tcPr>
          <w:p>
            <w:pPr>
              <w:adjustRightInd w:val="0"/>
              <w:spacing w:line="330" w:lineRule="exact"/>
              <w:jc w:val="cente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1</w:t>
            </w:r>
            <w:r>
              <w:rPr>
                <w:rFonts w:hint="eastAsia" w:ascii="Times New Roman" w:hAnsi="Times New Roman" w:eastAsia="宋体"/>
                <w:caps w:val="0"/>
                <w:color w:val="000000" w:themeColor="text1"/>
                <w:kern w:val="0"/>
                <w:sz w:val="24"/>
                <w:szCs w:val="24"/>
                <w:highlight w:val="none"/>
                <w14:textFill>
                  <w14:solidFill>
                    <w14:schemeClr w14:val="tx1"/>
                  </w14:solidFill>
                </w14:textFill>
              </w:rPr>
              <w:t>套</w:t>
            </w: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两级活性炭装置</w:t>
            </w:r>
            <w:r>
              <w:rPr>
                <w:rFonts w:hint="eastAsia" w:ascii="Times New Roman" w:hAnsi="Times New Roman" w:eastAsia="宋体"/>
                <w:caps w:val="0"/>
                <w:color w:val="000000" w:themeColor="text1"/>
                <w:kern w:val="0"/>
                <w:sz w:val="24"/>
                <w:szCs w:val="24"/>
                <w:highlight w:val="none"/>
                <w14:textFill>
                  <w14:solidFill>
                    <w14:schemeClr w14:val="tx1"/>
                  </w14:solidFill>
                </w14:textFill>
              </w:rPr>
              <w:t>+15m高排气筒</w:t>
            </w:r>
            <w:r>
              <w:rPr>
                <w:rFonts w:ascii="Times New Roman" w:hAnsi="Times New Roman" w:eastAsia="宋体"/>
                <w:caps w:val="0"/>
                <w:color w:val="000000" w:themeColor="text1"/>
                <w:kern w:val="0"/>
                <w:sz w:val="24"/>
                <w:szCs w:val="24"/>
                <w:highlight w:val="none"/>
                <w14:textFill>
                  <w14:solidFill>
                    <w14:schemeClr w14:val="tx1"/>
                  </w14:solidFill>
                </w14:textFill>
              </w:rPr>
              <w:t>（</w:t>
            </w:r>
            <w: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t>7</w:t>
            </w:r>
            <w:r>
              <w:rPr>
                <w:rFonts w:ascii="Times New Roman" w:hAnsi="Times New Roman" w:eastAsia="宋体"/>
                <w:caps w:val="0"/>
                <w:color w:val="000000" w:themeColor="text1"/>
                <w:kern w:val="0"/>
                <w:sz w:val="24"/>
                <w:szCs w:val="24"/>
                <w:highlight w:val="none"/>
                <w14:textFill>
                  <w14:solidFill>
                    <w14:schemeClr w14:val="tx1"/>
                  </w14:solidFill>
                </w14:textFill>
              </w:rPr>
              <w:t>#）</w:t>
            </w:r>
          </w:p>
        </w:tc>
        <w:tc>
          <w:tcPr>
            <w:tcW w:w="1468" w:type="pct"/>
            <w:vMerge w:val="continue"/>
            <w:vAlign w:val="center"/>
          </w:tcPr>
          <w:p>
            <w:pPr>
              <w:spacing w:line="360" w:lineRule="exact"/>
              <w:jc w:val="center"/>
              <w:rPr>
                <w:rFonts w:ascii="Times New Roman" w:hAnsi="Times New Roman" w:eastAsia="宋体"/>
                <w:caps w:val="0"/>
                <w:color w:val="000000" w:themeColor="text1"/>
                <w:spacing w:val="-11"/>
                <w:sz w:val="24"/>
                <w:szCs w:val="24"/>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p>
        </w:tc>
        <w:tc>
          <w:tcPr>
            <w:tcW w:w="547" w:type="pct"/>
            <w:gridSpan w:val="2"/>
            <w:vAlign w:val="center"/>
          </w:tcPr>
          <w:p>
            <w:pPr>
              <w:adjustRightInd w:val="0"/>
              <w:spacing w:line="330" w:lineRule="exact"/>
              <w:jc w:val="center"/>
              <w:rPr>
                <w:rFonts w:hint="default" w:ascii="Times New Roman" w:hAnsi="Times New Roman" w:eastAsia="宋体"/>
                <w:caps w:val="0"/>
                <w:color w:val="000000" w:themeColor="text1"/>
                <w:kern w:val="2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kern w:val="21"/>
                <w:sz w:val="24"/>
                <w:szCs w:val="24"/>
                <w:highlight w:val="none"/>
                <w:lang w:val="en-US" w:eastAsia="zh-CN"/>
                <w14:textFill>
                  <w14:solidFill>
                    <w14:schemeClr w14:val="tx1"/>
                  </w14:solidFill>
                </w14:textFill>
              </w:rPr>
              <w:t>焚烧炉</w:t>
            </w:r>
          </w:p>
        </w:tc>
        <w:tc>
          <w:tcPr>
            <w:tcW w:w="674" w:type="pct"/>
            <w:vAlign w:val="center"/>
          </w:tcPr>
          <w:p>
            <w:pPr>
              <w:adjustRightInd w:val="0"/>
              <w:spacing w:line="330" w:lineRule="exact"/>
              <w:jc w:val="center"/>
              <w:rPr>
                <w:rFonts w:hint="default"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非甲烷总烃</w:t>
            </w:r>
          </w:p>
        </w:tc>
        <w:tc>
          <w:tcPr>
            <w:tcW w:w="1863" w:type="pct"/>
            <w:vMerge w:val="continue"/>
            <w:tcBorders/>
            <w:vAlign w:val="center"/>
          </w:tcPr>
          <w:p>
            <w:pPr>
              <w:adjustRightInd w:val="0"/>
              <w:spacing w:line="330" w:lineRule="exact"/>
              <w:jc w:val="center"/>
              <w:rPr>
                <w:rFonts w:hint="eastAsia" w:ascii="Times New Roman" w:hAnsi="Times New Roman" w:eastAsia="宋体"/>
                <w:caps w:val="0"/>
                <w:color w:val="000000" w:themeColor="text1"/>
                <w:kern w:val="0"/>
                <w:sz w:val="24"/>
                <w:szCs w:val="24"/>
                <w:highlight w:val="none"/>
                <w:lang w:val="en-US" w:eastAsia="zh-CN"/>
                <w14:textFill>
                  <w14:solidFill>
                    <w14:schemeClr w14:val="tx1"/>
                  </w14:solidFill>
                </w14:textFill>
              </w:rPr>
            </w:pPr>
          </w:p>
        </w:tc>
        <w:tc>
          <w:tcPr>
            <w:tcW w:w="1468" w:type="pct"/>
            <w:vMerge w:val="continue"/>
            <w:vAlign w:val="center"/>
          </w:tcPr>
          <w:p>
            <w:pPr>
              <w:spacing w:line="360" w:lineRule="exact"/>
              <w:jc w:val="center"/>
              <w:rPr>
                <w:rFonts w:ascii="Times New Roman" w:hAnsi="Times New Roman" w:eastAsia="宋体"/>
                <w:caps w:val="0"/>
                <w:color w:val="000000" w:themeColor="text1"/>
                <w:spacing w:val="-11"/>
                <w:sz w:val="24"/>
                <w:szCs w:val="24"/>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水</w:t>
            </w:r>
          </w:p>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污</w:t>
            </w:r>
          </w:p>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染</w:t>
            </w:r>
          </w:p>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物</w:t>
            </w:r>
          </w:p>
        </w:tc>
        <w:tc>
          <w:tcPr>
            <w:tcW w:w="547" w:type="pct"/>
            <w:gridSpan w:val="2"/>
            <w:vAlign w:val="center"/>
          </w:tcPr>
          <w:p>
            <w:pPr>
              <w:pStyle w:val="6"/>
              <w:spacing w:line="360" w:lineRule="exact"/>
              <w:ind w:firstLine="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生活污水</w:t>
            </w:r>
          </w:p>
        </w:tc>
        <w:tc>
          <w:tcPr>
            <w:tcW w:w="674" w:type="pct"/>
            <w:vAlign w:val="center"/>
          </w:tcPr>
          <w:p>
            <w:pPr>
              <w:snapToGrid w:val="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pH、COD、BOD</w:t>
            </w:r>
            <w:r>
              <w:rPr>
                <w:rFonts w:ascii="Times New Roman" w:hAnsi="Times New Roman" w:eastAsia="宋体"/>
                <w:caps w:val="0"/>
                <w:color w:val="000000" w:themeColor="text1"/>
                <w:sz w:val="24"/>
                <w:szCs w:val="24"/>
                <w:highlight w:val="none"/>
                <w:vertAlign w:val="subscript"/>
                <w14:textFill>
                  <w14:solidFill>
                    <w14:schemeClr w14:val="tx1"/>
                  </w14:solidFill>
                </w14:textFill>
              </w:rPr>
              <w:t>5</w:t>
            </w:r>
            <w:r>
              <w:rPr>
                <w:rFonts w:ascii="Times New Roman" w:hAnsi="Times New Roman" w:eastAsia="宋体"/>
                <w:caps w:val="0"/>
                <w:color w:val="000000" w:themeColor="text1"/>
                <w:sz w:val="24"/>
                <w:szCs w:val="24"/>
                <w:highlight w:val="none"/>
                <w14:textFill>
                  <w14:solidFill>
                    <w14:schemeClr w14:val="tx1"/>
                  </w14:solidFill>
                </w14:textFill>
              </w:rPr>
              <w:t>、SS、NH</w:t>
            </w:r>
            <w:r>
              <w:rPr>
                <w:rFonts w:ascii="Times New Roman" w:hAnsi="Times New Roman" w:eastAsia="宋体"/>
                <w:caps w:val="0"/>
                <w:color w:val="000000" w:themeColor="text1"/>
                <w:sz w:val="24"/>
                <w:szCs w:val="24"/>
                <w:highlight w:val="none"/>
                <w:vertAlign w:val="subscript"/>
                <w14:textFill>
                  <w14:solidFill>
                    <w14:schemeClr w14:val="tx1"/>
                  </w14:solidFill>
                </w14:textFill>
              </w:rPr>
              <w:t>3</w:t>
            </w:r>
            <w:r>
              <w:rPr>
                <w:rFonts w:ascii="Times New Roman" w:hAnsi="Times New Roman" w:eastAsia="宋体"/>
                <w:caps w:val="0"/>
                <w:color w:val="000000" w:themeColor="text1"/>
                <w:sz w:val="24"/>
                <w:szCs w:val="24"/>
                <w:highlight w:val="none"/>
                <w14:textFill>
                  <w14:solidFill>
                    <w14:schemeClr w14:val="tx1"/>
                  </w14:solidFill>
                </w14:textFill>
              </w:rPr>
              <w:t>-N</w:t>
            </w:r>
          </w:p>
        </w:tc>
        <w:tc>
          <w:tcPr>
            <w:tcW w:w="1863" w:type="pct"/>
            <w:vAlign w:val="center"/>
          </w:tcPr>
          <w:p>
            <w:pPr>
              <w:pStyle w:val="6"/>
              <w:spacing w:line="360" w:lineRule="exact"/>
              <w:ind w:firstLine="0"/>
              <w:jc w:val="center"/>
              <w:rPr>
                <w:rFonts w:hint="default" w:ascii="Times New Roman" w:hAnsi="Times New Roman" w:eastAsia="宋体"/>
                <w:caps w:val="0"/>
                <w:color w:val="000000" w:themeColor="text1"/>
                <w:spacing w:val="0"/>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化粪池、雨污管网</w:t>
            </w:r>
          </w:p>
        </w:tc>
        <w:tc>
          <w:tcPr>
            <w:tcW w:w="1468" w:type="pct"/>
            <w:vAlign w:val="center"/>
          </w:tcPr>
          <w:p>
            <w:pPr>
              <w:spacing w:line="360" w:lineRule="exact"/>
              <w:jc w:val="center"/>
              <w:outlineLvl w:val="2"/>
              <w:rPr>
                <w:rFonts w:hint="eastAsia" w:ascii="Times New Roman" w:hAnsi="Times New Roman" w:eastAsia="宋体"/>
                <w:caps w:val="0"/>
                <w:color w:val="000000" w:themeColor="text1"/>
                <w:sz w:val="24"/>
                <w:szCs w:val="24"/>
                <w:highlight w:val="none"/>
                <w:lang w:eastAsia="zh-CN"/>
                <w14:textFill>
                  <w14:solidFill>
                    <w14:schemeClr w14:val="tx1"/>
                  </w14:solidFill>
                </w14:textFill>
              </w:rPr>
            </w:pPr>
            <w:r>
              <w:rPr>
                <w:rFonts w:ascii="Times New Roman" w:hAnsi="Times New Roman" w:eastAsia="宋体"/>
                <w:caps w:val="0"/>
                <w:color w:val="000000" w:themeColor="text1"/>
                <w:spacing w:val="-11"/>
                <w:sz w:val="24"/>
                <w:szCs w:val="24"/>
                <w:highlight w:val="none"/>
                <w14:textFill>
                  <w14:solidFill>
                    <w14:schemeClr w14:val="tx1"/>
                  </w14:solidFill>
                </w14:textFill>
              </w:rPr>
              <w:t>符合《污水综合排放标准》（GB8978-1996）表4</w:t>
            </w:r>
            <w:r>
              <w:rPr>
                <w:rFonts w:hint="eastAsia" w:ascii="Times New Roman" w:hAnsi="Times New Roman" w:eastAsia="宋体"/>
                <w:caps w:val="0"/>
                <w:color w:val="000000" w:themeColor="text1"/>
                <w:spacing w:val="-11"/>
                <w:sz w:val="24"/>
                <w:szCs w:val="24"/>
                <w:highlight w:val="none"/>
                <w14:textFill>
                  <w14:solidFill>
                    <w14:schemeClr w14:val="tx1"/>
                  </w14:solidFill>
                </w14:textFill>
              </w:rPr>
              <w:t>中</w:t>
            </w:r>
            <w:r>
              <w:rPr>
                <w:rFonts w:hint="eastAsia" w:ascii="Times New Roman" w:hAnsi="Times New Roman" w:eastAsia="宋体"/>
                <w:caps w:val="0"/>
                <w:color w:val="000000" w:themeColor="text1"/>
                <w:spacing w:val="-11"/>
                <w:sz w:val="24"/>
                <w:szCs w:val="24"/>
                <w:highlight w:val="none"/>
                <w:lang w:val="en-US" w:eastAsia="zh-CN"/>
                <w14:textFill>
                  <w14:solidFill>
                    <w14:schemeClr w14:val="tx1"/>
                  </w14:solidFill>
                </w14:textFill>
              </w:rPr>
              <w:t>三级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10" w:hRule="atLeast"/>
          <w:jc w:val="center"/>
        </w:trPr>
        <w:tc>
          <w:tcPr>
            <w:tcW w:w="446" w:type="pct"/>
            <w:vMerge w:val="restart"/>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固</w:t>
            </w:r>
          </w:p>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体</w:t>
            </w:r>
          </w:p>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废</w:t>
            </w:r>
          </w:p>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物</w:t>
            </w:r>
          </w:p>
        </w:tc>
        <w:tc>
          <w:tcPr>
            <w:tcW w:w="256" w:type="pct"/>
            <w:vMerge w:val="restart"/>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运营期</w:t>
            </w:r>
          </w:p>
        </w:tc>
        <w:tc>
          <w:tcPr>
            <w:tcW w:w="290" w:type="pct"/>
            <w:vMerge w:val="restart"/>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一般固废</w:t>
            </w:r>
          </w:p>
        </w:tc>
        <w:tc>
          <w:tcPr>
            <w:tcW w:w="674" w:type="pct"/>
            <w:vAlign w:val="center"/>
          </w:tcPr>
          <w:p>
            <w:pPr>
              <w:spacing w:line="240" w:lineRule="atLeast"/>
              <w:ind w:firstLine="0" w:firstLineChars="0"/>
              <w:jc w:val="cente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aps w:val="0"/>
                <w:color w:val="000000" w:themeColor="text1"/>
                <w:sz w:val="24"/>
                <w:szCs w:val="24"/>
                <w:highlight w:val="none"/>
                <w:lang w:val="en-US" w:eastAsia="zh-CN"/>
                <w14:textFill>
                  <w14:solidFill>
                    <w14:schemeClr w14:val="tx1"/>
                  </w14:solidFill>
                </w14:textFill>
              </w:rPr>
              <w:t>金属屑</w:t>
            </w:r>
          </w:p>
        </w:tc>
        <w:tc>
          <w:tcPr>
            <w:tcW w:w="1863" w:type="pct"/>
            <w:vMerge w:val="restart"/>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收集后外售</w:t>
            </w:r>
          </w:p>
        </w:tc>
        <w:tc>
          <w:tcPr>
            <w:tcW w:w="1468" w:type="pct"/>
            <w:vMerge w:val="restart"/>
            <w:vAlign w:val="center"/>
          </w:tcPr>
          <w:p>
            <w:pPr>
              <w:pStyle w:val="1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合理处置，不外排，不会对周边环境产生二次污染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z w:val="24"/>
                <w:szCs w:val="24"/>
                <w:highlight w:val="none"/>
                <w14:textFill>
                  <w14:solidFill>
                    <w14:schemeClr w14:val="tx1"/>
                  </w14:solidFill>
                </w14:textFill>
              </w:rPr>
              <w:t>除尘装置收集粉尘</w:t>
            </w:r>
          </w:p>
        </w:tc>
        <w:tc>
          <w:tcPr>
            <w:tcW w:w="1863" w:type="pct"/>
            <w:vMerge w:val="continue"/>
            <w:vAlign w:val="center"/>
          </w:tcPr>
          <w:p>
            <w:pPr>
              <w:spacing w:line="360" w:lineRule="exact"/>
              <w:jc w:val="center"/>
              <w:rPr>
                <w:rFonts w:hint="eastAsia" w:ascii="Times New Roman" w:hAnsi="Times New Roman" w:eastAsia="宋体"/>
                <w:caps w:val="0"/>
                <w:color w:val="000000" w:themeColor="text1"/>
                <w:sz w:val="24"/>
                <w:szCs w:val="24"/>
                <w:highlight w:val="none"/>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290" w:type="pct"/>
            <w:vMerge w:val="restart"/>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危险废物</w:t>
            </w: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caps w:val="0"/>
                <w:color w:val="000000" w:themeColor="text1"/>
                <w:sz w:val="24"/>
                <w:szCs w:val="24"/>
                <w:highlight w:val="none"/>
                <w:lang w:val="en-US" w:eastAsia="zh-CN"/>
                <w14:textFill>
                  <w14:solidFill>
                    <w14:schemeClr w14:val="tx1"/>
                  </w14:solidFill>
                </w14:textFill>
              </w:rPr>
              <w:t>废桶</w:t>
            </w:r>
          </w:p>
        </w:tc>
        <w:tc>
          <w:tcPr>
            <w:tcW w:w="1863" w:type="pct"/>
            <w:vMerge w:val="restart"/>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收集后暂存，定期委托有危废处置资质的单位进行处理</w:t>
            </w:r>
          </w:p>
        </w:tc>
        <w:tc>
          <w:tcPr>
            <w:tcW w:w="1468" w:type="pct"/>
            <w:vMerge w:val="continue"/>
            <w:vAlign w:val="center"/>
          </w:tcPr>
          <w:p>
            <w:pPr>
              <w:spacing w:line="360" w:lineRule="exact"/>
              <w:rPr>
                <w:rFonts w:ascii="Times New Roman" w:hAnsi="Times New Roman" w:eastAsia="宋体"/>
                <w:caps w:val="0"/>
                <w:color w:val="000000" w:themeColor="text1"/>
                <w:sz w:val="24"/>
                <w:szCs w:val="24"/>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default" w:ascii="Times New Roman" w:hAnsi="Times New Roman" w:eastAsia="宋体" w:cs="Times New Roman"/>
                <w:caps w:val="0"/>
                <w:color w:val="000000" w:themeColor="text1"/>
                <w:spacing w:val="4"/>
                <w:kern w:val="18"/>
                <w:sz w:val="24"/>
                <w:szCs w:val="24"/>
                <w:highlight w:val="none"/>
                <w14:textFill>
                  <w14:solidFill>
                    <w14:schemeClr w14:val="tx1"/>
                  </w14:solidFill>
                </w14:textFill>
              </w:rPr>
              <w:t>废活性炭</w:t>
            </w:r>
          </w:p>
        </w:tc>
        <w:tc>
          <w:tcPr>
            <w:tcW w:w="1863" w:type="pct"/>
            <w:vMerge w:val="continue"/>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caps w:val="0"/>
                <w:color w:val="000000" w:themeColor="text1"/>
                <w:spacing w:val="4"/>
                <w:kern w:val="18"/>
                <w:sz w:val="24"/>
                <w:szCs w:val="24"/>
                <w:highlight w:val="none"/>
                <w:lang w:val="en-US" w:eastAsia="zh-CN"/>
                <w14:textFill>
                  <w14:solidFill>
                    <w14:schemeClr w14:val="tx1"/>
                  </w14:solidFill>
                </w14:textFill>
              </w:rPr>
              <w:t>废油</w:t>
            </w:r>
          </w:p>
        </w:tc>
        <w:tc>
          <w:tcPr>
            <w:tcW w:w="1863" w:type="pct"/>
            <w:vMerge w:val="continue"/>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468" w:type="pct"/>
            <w:vMerge w:val="continue"/>
            <w:vAlign w:val="center"/>
          </w:tcPr>
          <w:p>
            <w:pPr>
              <w:spacing w:line="360" w:lineRule="exact"/>
              <w:rPr>
                <w:rFonts w:ascii="Times New Roman" w:hAnsi="Times New Roman" w:eastAsia="宋体"/>
                <w:caps w:val="0"/>
                <w:color w:val="000000" w:themeColor="text1"/>
                <w:sz w:val="24"/>
                <w:szCs w:val="24"/>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p>
        </w:tc>
        <w:tc>
          <w:tcPr>
            <w:tcW w:w="256" w:type="pct"/>
            <w:vMerge w:val="continue"/>
            <w:tcBorders>
              <w:righ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290" w:type="pct"/>
            <w:vMerge w:val="continue"/>
            <w:tcBorders>
              <w:left w:val="single" w:color="auto" w:sz="4" w:space="0"/>
            </w:tcBorders>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674" w:type="pct"/>
            <w:vAlign w:val="center"/>
          </w:tcPr>
          <w:p>
            <w:pPr>
              <w:spacing w:line="240" w:lineRule="atLeast"/>
              <w:ind w:firstLine="0" w:firstLineChars="0"/>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hint="eastAsia" w:ascii="Times New Roman" w:hAnsi="Times New Roman" w:eastAsia="宋体" w:cs="Times New Roman"/>
                <w:caps w:val="0"/>
                <w:color w:val="000000" w:themeColor="text1"/>
                <w:spacing w:val="4"/>
                <w:kern w:val="18"/>
                <w:sz w:val="24"/>
                <w:szCs w:val="24"/>
                <w:highlight w:val="none"/>
                <w:lang w:val="en-US" w:eastAsia="zh-CN"/>
                <w14:textFill>
                  <w14:solidFill>
                    <w14:schemeClr w14:val="tx1"/>
                  </w14:solidFill>
                </w14:textFill>
              </w:rPr>
              <w:t>含油抹布手套</w:t>
            </w:r>
          </w:p>
        </w:tc>
        <w:tc>
          <w:tcPr>
            <w:tcW w:w="1863" w:type="pct"/>
            <w:vMerge w:val="restart"/>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收集后委托环卫部门清运处理</w:t>
            </w:r>
          </w:p>
        </w:tc>
        <w:tc>
          <w:tcPr>
            <w:tcW w:w="1468" w:type="pct"/>
            <w:vMerge w:val="continue"/>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Merge w:val="continue"/>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p>
        </w:tc>
        <w:tc>
          <w:tcPr>
            <w:tcW w:w="547" w:type="pct"/>
            <w:gridSpan w:val="2"/>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办公生活</w:t>
            </w:r>
          </w:p>
        </w:tc>
        <w:tc>
          <w:tcPr>
            <w:tcW w:w="674" w:type="pct"/>
            <w:vAlign w:val="center"/>
          </w:tcPr>
          <w:p>
            <w:pPr>
              <w:spacing w:line="360" w:lineRule="exact"/>
              <w:ind w:left="-108" w:right="-108"/>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生活垃圾</w:t>
            </w:r>
          </w:p>
        </w:tc>
        <w:tc>
          <w:tcPr>
            <w:tcW w:w="1863" w:type="pct"/>
            <w:vMerge w:val="continue"/>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c>
          <w:tcPr>
            <w:tcW w:w="1468" w:type="pct"/>
            <w:vMerge w:val="continue"/>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3" w:hRule="atLeast"/>
          <w:jc w:val="center"/>
        </w:trPr>
        <w:tc>
          <w:tcPr>
            <w:tcW w:w="446" w:type="pct"/>
            <w:vAlign w:val="center"/>
          </w:tcPr>
          <w:p>
            <w:pPr>
              <w:spacing w:line="360" w:lineRule="exact"/>
              <w:jc w:val="center"/>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噪声</w:t>
            </w:r>
          </w:p>
        </w:tc>
        <w:tc>
          <w:tcPr>
            <w:tcW w:w="4553" w:type="pct"/>
            <w:gridSpan w:val="5"/>
            <w:vAlign w:val="center"/>
          </w:tcPr>
          <w:p>
            <w:pPr>
              <w:spacing w:line="360" w:lineRule="exact"/>
              <w:jc w:val="center"/>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sz w:val="24"/>
                <w:szCs w:val="24"/>
                <w:highlight w:val="none"/>
                <w14:textFill>
                  <w14:solidFill>
                    <w14:schemeClr w14:val="tx1"/>
                  </w14:solidFill>
                </w14:textFill>
              </w:rPr>
              <w:t>产噪设备经采取隔声、减振等各项防噪措施及距离衰减后，项目厂界噪声能满足《工业企业厂界环境噪声排放标准》（GB12348-2008）中的3</w:t>
            </w:r>
            <w:r>
              <w:rPr>
                <w:rFonts w:ascii="Times New Roman" w:hAnsi="Times New Roman" w:eastAsia="宋体"/>
                <w:caps w:val="0"/>
                <w:color w:val="000000" w:themeColor="text1"/>
                <w:sz w:val="24"/>
                <w:szCs w:val="24"/>
                <w:highlight w:val="none"/>
                <w14:textFill>
                  <w14:solidFill>
                    <w14:schemeClr w14:val="tx1"/>
                  </w14:solidFill>
                </w14:textFill>
              </w:rPr>
              <w:fldChar w:fldCharType="begin"/>
            </w:r>
            <w:r>
              <w:rPr>
                <w:rFonts w:ascii="Times New Roman" w:hAnsi="Times New Roman" w:eastAsia="宋体"/>
                <w:caps w:val="0"/>
                <w:color w:val="000000" w:themeColor="text1"/>
                <w:sz w:val="24"/>
                <w:szCs w:val="24"/>
                <w:highlight w:val="none"/>
                <w14:textFill>
                  <w14:solidFill>
                    <w14:schemeClr w14:val="tx1"/>
                  </w14:solidFill>
                </w14:textFill>
              </w:rPr>
              <w:instrText xml:space="preserve"> = 3 \* ROMAN </w:instrText>
            </w:r>
            <w:r>
              <w:rPr>
                <w:rFonts w:ascii="Times New Roman" w:hAnsi="Times New Roman" w:eastAsia="宋体"/>
                <w:caps w:val="0"/>
                <w:color w:val="000000" w:themeColor="text1"/>
                <w:sz w:val="24"/>
                <w:szCs w:val="24"/>
                <w:highlight w:val="none"/>
                <w14:textFill>
                  <w14:solidFill>
                    <w14:schemeClr w14:val="tx1"/>
                  </w14:solidFill>
                </w14:textFill>
              </w:rPr>
              <w:fldChar w:fldCharType="end"/>
            </w:r>
            <w:r>
              <w:rPr>
                <w:rFonts w:ascii="Times New Roman" w:hAnsi="Times New Roman" w:eastAsia="宋体"/>
                <w:caps w:val="0"/>
                <w:color w:val="000000" w:themeColor="text1"/>
                <w:sz w:val="24"/>
                <w:szCs w:val="24"/>
                <w:highlight w:val="none"/>
                <w14:textFill>
                  <w14:solidFill>
                    <w14:schemeClr w14:val="tx1"/>
                  </w14:solidFill>
                </w14:textFill>
              </w:rPr>
              <w:t>类标准。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6"/>
          </w:tcPr>
          <w:p>
            <w:pPr>
              <w:spacing w:line="360" w:lineRule="exact"/>
              <w:rPr>
                <w:rFonts w:ascii="Times New Roman" w:hAnsi="Times New Roman" w:eastAsia="宋体"/>
                <w:b/>
                <w:caps w:val="0"/>
                <w:color w:val="000000" w:themeColor="text1"/>
                <w:sz w:val="24"/>
                <w:szCs w:val="24"/>
                <w:highlight w:val="none"/>
                <w14:textFill>
                  <w14:solidFill>
                    <w14:schemeClr w14:val="tx1"/>
                  </w14:solidFill>
                </w14:textFill>
              </w:rPr>
            </w:pPr>
            <w:r>
              <w:rPr>
                <w:rFonts w:ascii="Times New Roman" w:hAnsi="Times New Roman" w:eastAsia="宋体"/>
                <w:b/>
                <w:caps w:val="0"/>
                <w:color w:val="000000" w:themeColor="text1"/>
                <w:sz w:val="24"/>
                <w:szCs w:val="24"/>
                <w:highlight w:val="none"/>
                <w14:textFill>
                  <w14:solidFill>
                    <w14:schemeClr w14:val="tx1"/>
                  </w14:solidFill>
                </w14:textFill>
              </w:rPr>
              <w:t>生态保护措施及预期效果</w:t>
            </w:r>
          </w:p>
          <w:p>
            <w:pPr>
              <w:autoSpaceDE w:val="0"/>
              <w:autoSpaceDN w:val="0"/>
              <w:spacing w:line="360" w:lineRule="exact"/>
              <w:ind w:firstLine="360" w:firstLineChars="150"/>
              <w:rPr>
                <w:rFonts w:ascii="Times New Roman" w:hAnsi="Times New Roman" w:eastAsia="宋体"/>
                <w:caps w:val="0"/>
                <w:color w:val="000000" w:themeColor="text1"/>
                <w:sz w:val="24"/>
                <w:szCs w:val="24"/>
                <w:highlight w:val="none"/>
                <w14:textFill>
                  <w14:solidFill>
                    <w14:schemeClr w14:val="tx1"/>
                  </w14:solidFill>
                </w14:textFill>
              </w:rPr>
            </w:pPr>
            <w:r>
              <w:rPr>
                <w:rFonts w:ascii="Times New Roman" w:hAnsi="Times New Roman" w:eastAsia="宋体"/>
                <w:caps w:val="0"/>
                <w:color w:val="000000" w:themeColor="text1"/>
                <w:kern w:val="0"/>
                <w:sz w:val="24"/>
                <w:szCs w:val="24"/>
                <w:highlight w:val="none"/>
                <w14:textFill>
                  <w14:solidFill>
                    <w14:schemeClr w14:val="tx1"/>
                  </w14:solidFill>
                </w14:textFill>
              </w:rPr>
              <w:t>项目生产过程产生的污染物在得到很好的控制和处理后，</w:t>
            </w:r>
            <w:r>
              <w:rPr>
                <w:rFonts w:ascii="Times New Roman" w:hAnsi="Times New Roman" w:eastAsia="宋体"/>
                <w:caps w:val="0"/>
                <w:color w:val="000000" w:themeColor="text1"/>
                <w:sz w:val="24"/>
                <w:szCs w:val="24"/>
                <w:highlight w:val="none"/>
                <w14:textFill>
                  <w14:solidFill>
                    <w14:schemeClr w14:val="tx1"/>
                  </w14:solidFill>
                </w14:textFill>
              </w:rPr>
              <w:t>项目建设对生态环境影响较小。</w:t>
            </w:r>
          </w:p>
          <w:p>
            <w:pPr>
              <w:pStyle w:val="40"/>
              <w:rPr>
                <w:rFonts w:ascii="Times New Roman" w:hAnsi="Times New Roman" w:eastAsia="宋体"/>
                <w:caps w:val="0"/>
                <w:color w:val="000000" w:themeColor="text1"/>
                <w:sz w:val="24"/>
                <w:szCs w:val="24"/>
                <w:highlight w:val="none"/>
                <w14:textFill>
                  <w14:solidFill>
                    <w14:schemeClr w14:val="tx1"/>
                  </w14:solidFill>
                </w14:textFill>
              </w:rPr>
            </w:pPr>
          </w:p>
          <w:p>
            <w:pPr>
              <w:pStyle w:val="40"/>
              <w:rPr>
                <w:rFonts w:ascii="Times New Roman" w:hAnsi="Times New Roman" w:eastAsia="宋体"/>
                <w:caps w:val="0"/>
                <w:color w:val="000000" w:themeColor="text1"/>
                <w:sz w:val="24"/>
                <w:szCs w:val="24"/>
                <w:highlight w:val="none"/>
                <w14:textFill>
                  <w14:solidFill>
                    <w14:schemeClr w14:val="tx1"/>
                  </w14:solidFill>
                </w14:textFill>
              </w:rPr>
            </w:pPr>
          </w:p>
          <w:p>
            <w:pPr>
              <w:pStyle w:val="40"/>
              <w:rPr>
                <w:rFonts w:ascii="Times New Roman" w:hAnsi="Times New Roman" w:eastAsia="宋体"/>
                <w:caps w:val="0"/>
                <w:color w:val="000000" w:themeColor="text1"/>
                <w:sz w:val="24"/>
                <w:szCs w:val="24"/>
                <w:highlight w:val="none"/>
                <w14:textFill>
                  <w14:solidFill>
                    <w14:schemeClr w14:val="tx1"/>
                  </w14:solidFill>
                </w14:textFill>
              </w:rPr>
            </w:pPr>
          </w:p>
          <w:p>
            <w:pPr>
              <w:pStyle w:val="40"/>
              <w:rPr>
                <w:rFonts w:ascii="Times New Roman" w:hAnsi="Times New Roman" w:eastAsia="宋体"/>
                <w:caps w:val="0"/>
                <w:color w:val="000000" w:themeColor="text1"/>
                <w:sz w:val="24"/>
                <w:szCs w:val="24"/>
                <w:highlight w:val="none"/>
                <w14:textFill>
                  <w14:solidFill>
                    <w14:schemeClr w14:val="tx1"/>
                  </w14:solidFill>
                </w14:textFill>
              </w:rPr>
            </w:pPr>
          </w:p>
          <w:p>
            <w:pPr>
              <w:pStyle w:val="40"/>
              <w:rPr>
                <w:rFonts w:ascii="Times New Roman" w:hAnsi="Times New Roman" w:eastAsia="宋体"/>
                <w:caps w:val="0"/>
                <w:color w:val="000000" w:themeColor="text1"/>
                <w:sz w:val="24"/>
                <w:szCs w:val="24"/>
                <w:highlight w:val="none"/>
                <w14:textFill>
                  <w14:solidFill>
                    <w14:schemeClr w14:val="tx1"/>
                  </w14:solidFill>
                </w14:textFill>
              </w:rPr>
            </w:pPr>
          </w:p>
          <w:p>
            <w:pPr>
              <w:pStyle w:val="40"/>
              <w:rPr>
                <w:rFonts w:ascii="Times New Roman" w:hAnsi="Times New Roman" w:eastAsia="宋体"/>
                <w:caps w:val="0"/>
                <w:color w:val="000000" w:themeColor="text1"/>
                <w:sz w:val="24"/>
                <w:szCs w:val="24"/>
                <w:highlight w:val="none"/>
                <w14:textFill>
                  <w14:solidFill>
                    <w14:schemeClr w14:val="tx1"/>
                  </w14:solidFill>
                </w14:textFill>
              </w:rPr>
            </w:pPr>
          </w:p>
          <w:p>
            <w:pPr>
              <w:pStyle w:val="40"/>
              <w:rPr>
                <w:rFonts w:ascii="Times New Roman" w:hAnsi="Times New Roman" w:eastAsia="宋体"/>
                <w:caps w:val="0"/>
                <w:color w:val="000000" w:themeColor="text1"/>
                <w:sz w:val="24"/>
                <w:szCs w:val="24"/>
                <w:highlight w:val="none"/>
                <w14:textFill>
                  <w14:solidFill>
                    <w14:schemeClr w14:val="tx1"/>
                  </w14:solidFill>
                </w14:textFill>
              </w:rPr>
            </w:pPr>
          </w:p>
          <w:p>
            <w:pPr>
              <w:pStyle w:val="40"/>
              <w:rPr>
                <w:rFonts w:ascii="Times New Roman" w:hAnsi="Times New Roman" w:eastAsia="宋体" w:cs="Times New Roman"/>
                <w:caps w:val="0"/>
                <w:color w:val="000000" w:themeColor="text1"/>
                <w:sz w:val="24"/>
                <w:szCs w:val="24"/>
                <w:highlight w:val="none"/>
                <w14:textFill>
                  <w14:solidFill>
                    <w14:schemeClr w14:val="tx1"/>
                  </w14:solidFill>
                </w14:textFill>
              </w:rPr>
            </w:pPr>
          </w:p>
        </w:tc>
      </w:tr>
    </w:tbl>
    <w:p>
      <w:pPr>
        <w:pStyle w:val="3"/>
        <w:spacing w:before="120" w:after="120" w:line="360" w:lineRule="auto"/>
        <w:rPr>
          <w:rFonts w:ascii="Times New Roman" w:hAnsi="Times New Roman" w:eastAsia="宋体"/>
          <w:caps w:val="0"/>
          <w:color w:val="000000" w:themeColor="text1"/>
          <w:sz w:val="28"/>
          <w:szCs w:val="28"/>
          <w:highlight w:val="none"/>
          <w14:textFill>
            <w14:solidFill>
              <w14:schemeClr w14:val="tx1"/>
            </w14:solidFill>
          </w14:textFill>
        </w:rPr>
      </w:pPr>
      <w:r>
        <w:rPr>
          <w:rFonts w:ascii="Times New Roman" w:hAnsi="Times New Roman" w:eastAsia="宋体"/>
          <w:caps w:val="0"/>
          <w:color w:val="000000" w:themeColor="text1"/>
          <w:sz w:val="28"/>
          <w:szCs w:val="28"/>
          <w:highlight w:val="none"/>
          <w14:textFill>
            <w14:solidFill>
              <w14:schemeClr w14:val="tx1"/>
            </w14:solidFill>
          </w14:textFill>
        </w:rPr>
        <w:t>结论与建议</w:t>
      </w:r>
    </w:p>
    <w:tbl>
      <w:tblPr>
        <w:tblStyle w:val="3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1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957" w:hRule="atLeast"/>
          <w:jc w:val="center"/>
        </w:trPr>
        <w:tc>
          <w:tcPr>
            <w:tcW w:w="9181" w:type="dxa"/>
          </w:tcPr>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一、评价结论</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1、项目概况</w:t>
            </w:r>
          </w:p>
          <w:p>
            <w:pPr>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芜湖市金贸流体科技股份有限公司</w:t>
            </w:r>
            <w:r>
              <w:rPr>
                <w:rFonts w:ascii="Times New Roman" w:hAnsi="Times New Roman" w:eastAsia="宋体"/>
                <w:caps w:val="0"/>
                <w:color w:val="000000" w:themeColor="text1"/>
                <w:sz w:val="24"/>
                <w:highlight w:val="none"/>
                <w14:textFill>
                  <w14:solidFill>
                    <w14:schemeClr w14:val="tx1"/>
                  </w14:solidFill>
                </w14:textFill>
              </w:rPr>
              <w:t>位于</w:t>
            </w:r>
            <w:r>
              <w:rPr>
                <w:rFonts w:hint="eastAsia" w:ascii="Times New Roman" w:hAnsi="Times New Roman" w:eastAsia="宋体"/>
                <w:caps w:val="0"/>
                <w:color w:val="000000" w:themeColor="text1"/>
                <w:sz w:val="24"/>
                <w:highlight w:val="none"/>
                <w14:textFill>
                  <w14:solidFill>
                    <w14:schemeClr w14:val="tx1"/>
                  </w14:solidFill>
                </w14:textFill>
              </w:rPr>
              <w:t>繁昌经济开发区孙村园区</w:t>
            </w:r>
            <w:r>
              <w:rPr>
                <w:rFonts w:ascii="Times New Roman" w:hAnsi="Times New Roman" w:eastAsia="宋体"/>
                <w:caps w:val="0"/>
                <w:color w:val="000000" w:themeColor="text1"/>
                <w:sz w:val="24"/>
                <w:highlight w:val="none"/>
                <w14:textFill>
                  <w14:solidFill>
                    <w14:schemeClr w14:val="tx1"/>
                  </w14:solidFill>
                </w14:textFill>
              </w:rPr>
              <w:t>，为满足市场需求，</w:t>
            </w:r>
            <w:r>
              <w:rPr>
                <w:rFonts w:hint="eastAsia" w:ascii="Times New Roman" w:hAnsi="Times New Roman" w:eastAsia="宋体"/>
                <w:caps w:val="0"/>
                <w:color w:val="000000" w:themeColor="text1"/>
                <w:sz w:val="24"/>
                <w:highlight w:val="none"/>
                <w14:textFill>
                  <w14:solidFill>
                    <w14:schemeClr w14:val="tx1"/>
                  </w14:solidFill>
                </w14:textFill>
              </w:rPr>
              <w:t>芜湖市金贸流体科技股份有限公司</w:t>
            </w:r>
            <w:r>
              <w:rPr>
                <w:rFonts w:ascii="Times New Roman" w:hAnsi="Times New Roman" w:eastAsia="宋体"/>
                <w:caps w:val="0"/>
                <w:color w:val="000000" w:themeColor="text1"/>
                <w:sz w:val="24"/>
                <w:highlight w:val="none"/>
                <w14:textFill>
                  <w14:solidFill>
                    <w14:schemeClr w14:val="tx1"/>
                  </w14:solidFill>
                </w14:textFill>
              </w:rPr>
              <w:t>计划</w:t>
            </w:r>
            <w:r>
              <w:rPr>
                <w:rFonts w:hint="eastAsia" w:ascii="Times New Roman" w:hAnsi="Times New Roman" w:eastAsia="宋体"/>
                <w:caps w:val="0"/>
                <w:color w:val="000000" w:themeColor="text1"/>
                <w:sz w:val="24"/>
                <w:highlight w:val="none"/>
                <w14:textFill>
                  <w14:solidFill>
                    <w14:schemeClr w14:val="tx1"/>
                  </w14:solidFill>
                </w14:textFill>
              </w:rPr>
              <w:t>建设年产5000吨智能阀门精加工生产建设项目</w:t>
            </w:r>
            <w:r>
              <w:rPr>
                <w:rFonts w:hint="eastAsia" w:ascii="Times New Roman" w:hAnsi="Times New Roman" w:eastAsia="宋体"/>
                <w:caps w:val="0"/>
                <w:color w:val="000000" w:themeColor="text1"/>
                <w:sz w:val="24"/>
                <w:highlight w:val="none"/>
                <w:lang w:eastAsia="zh-CN"/>
                <w14:textFill>
                  <w14:solidFill>
                    <w14:schemeClr w14:val="tx1"/>
                  </w14:solidFill>
                </w14:textFill>
              </w:rPr>
              <w:t>，</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新建2号厂房</w:t>
            </w:r>
            <w:r>
              <w:rPr>
                <w:rFonts w:hint="eastAsia" w:ascii="Times New Roman" w:hAnsi="Times New Roman" w:eastAsia="宋体"/>
                <w:caps w:val="0"/>
                <w:color w:val="000000" w:themeColor="text1"/>
                <w:sz w:val="24"/>
                <w:highlight w:val="none"/>
                <w:lang w:eastAsia="zh-CN"/>
                <w14:textFill>
                  <w14:solidFill>
                    <w14:schemeClr w14:val="tx1"/>
                  </w14:solidFill>
                </w14:textFill>
              </w:rPr>
              <w:t>。</w:t>
            </w:r>
            <w:r>
              <w:rPr>
                <w:rFonts w:hint="eastAsia" w:ascii="Times New Roman" w:hAnsi="Times New Roman" w:eastAsia="宋体"/>
                <w:caps w:val="0"/>
                <w:color w:val="000000" w:themeColor="text1"/>
                <w:sz w:val="24"/>
                <w:highlight w:val="none"/>
                <w14:textFill>
                  <w14:solidFill>
                    <w14:schemeClr w14:val="tx1"/>
                  </w14:solidFill>
                </w14:textFill>
              </w:rPr>
              <w:t>项目建成后将年产5000吨智能阀门精加工</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产品的生产规模</w:t>
            </w:r>
            <w:r>
              <w:rPr>
                <w:rFonts w:hint="eastAsia" w:ascii="Times New Roman" w:hAnsi="Times New Roman" w:eastAsia="宋体"/>
                <w:caps w:val="0"/>
                <w:color w:val="000000" w:themeColor="text1"/>
                <w:sz w:val="24"/>
                <w:highlight w:val="none"/>
                <w14:textFill>
                  <w14:solidFill>
                    <w14:schemeClr w14:val="tx1"/>
                  </w14:solidFill>
                </w14:textFill>
              </w:rPr>
              <w:t>。</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2、产业政策符合性</w:t>
            </w:r>
          </w:p>
          <w:p>
            <w:pPr>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建设项目行业类别为</w:t>
            </w:r>
            <w:r>
              <w:rPr>
                <w:rFonts w:hint="eastAsia" w:ascii="Times New Roman" w:hAnsi="Times New Roman" w:eastAsia="宋体"/>
                <w:caps w:val="0"/>
                <w:color w:val="000000" w:themeColor="text1"/>
                <w:sz w:val="24"/>
                <w:szCs w:val="22"/>
                <w:highlight w:val="none"/>
                <w14:textFill>
                  <w14:solidFill>
                    <w14:schemeClr w14:val="tx1"/>
                  </w14:solidFill>
                </w14:textFill>
              </w:rPr>
              <w:t>阀门和旋塞制造（C3443）</w:t>
            </w:r>
            <w:r>
              <w:rPr>
                <w:rFonts w:ascii="Times New Roman" w:hAnsi="Times New Roman" w:eastAsia="宋体"/>
                <w:caps w:val="0"/>
                <w:color w:val="000000" w:themeColor="text1"/>
                <w:sz w:val="24"/>
                <w:highlight w:val="none"/>
                <w14:textFill>
                  <w14:solidFill>
                    <w14:schemeClr w14:val="tx1"/>
                  </w14:solidFill>
                </w14:textFill>
              </w:rPr>
              <w:t>，对照《产业结构调整指导目录》（2019年本）的有关条款的决定，本项目不在现行产业政策中规定的限制和淘汰类建设项目之列，不在鼓励建设项目之列，视为允许项目，符合国家的产业政策；对照《安徽省工业产业结构调整指导目录》（2007年本），本项目不属于安徽省规定的鼓励类、淘汰类之列，应视为允许类之列。</w:t>
            </w:r>
          </w:p>
          <w:p>
            <w:pPr>
              <w:adjustRightInd w:val="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该项目已经于20</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20</w:t>
            </w:r>
            <w:r>
              <w:rPr>
                <w:rFonts w:ascii="Times New Roman" w:hAnsi="Times New Roman" w:eastAsia="宋体"/>
                <w:caps w:val="0"/>
                <w:color w:val="000000" w:themeColor="text1"/>
                <w:sz w:val="24"/>
                <w:highlight w:val="none"/>
                <w14:textFill>
                  <w14:solidFill>
                    <w14:schemeClr w14:val="tx1"/>
                  </w14:solidFill>
                </w14:textFill>
              </w:rPr>
              <w:t>年</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12</w:t>
            </w:r>
            <w:r>
              <w:rPr>
                <w:rFonts w:ascii="Times New Roman" w:hAnsi="Times New Roman" w:eastAsia="宋体"/>
                <w:caps w:val="0"/>
                <w:color w:val="000000" w:themeColor="text1"/>
                <w:sz w:val="24"/>
                <w:highlight w:val="none"/>
                <w14:textFill>
                  <w14:solidFill>
                    <w14:schemeClr w14:val="tx1"/>
                  </w14:solidFill>
                </w14:textFill>
              </w:rPr>
              <w:t>月</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日获得了繁昌</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区发展和改革委员会</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关于对芜湖市金贸流体科技股份有限公司年产5000吨智能阀门精加工生产建设项目备案的通知</w:t>
            </w:r>
            <w:r>
              <w:rPr>
                <w:rFonts w:ascii="Times New Roman" w:hAnsi="Times New Roman" w:eastAsia="宋体"/>
                <w:caps w:val="0"/>
                <w:color w:val="000000" w:themeColor="text1"/>
                <w:sz w:val="24"/>
                <w:highlight w:val="none"/>
                <w14:textFill>
                  <w14:solidFill>
                    <w14:schemeClr w14:val="tx1"/>
                  </w14:solidFill>
                </w14:textFill>
              </w:rPr>
              <w:t>”（项目编码：</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发改告知</w:t>
            </w:r>
            <w:r>
              <w:rPr>
                <w:rFonts w:ascii="Times New Roman" w:hAnsi="Times New Roman" w:eastAsia="宋体"/>
                <w:caps w:val="0"/>
                <w:color w:val="000000" w:themeColor="text1"/>
                <w:sz w:val="24"/>
                <w:highlight w:val="none"/>
                <w14:textFill>
                  <w14:solidFill>
                    <w14:schemeClr w14:val="tx1"/>
                  </w14:solidFill>
                </w14:textFill>
              </w:rPr>
              <w:t>【20</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20</w:t>
            </w:r>
            <w:r>
              <w:rPr>
                <w:rFonts w:ascii="Times New Roman" w:hAnsi="Times New Roman" w:eastAsia="宋体"/>
                <w:caps w:val="0"/>
                <w:color w:val="000000" w:themeColor="text1"/>
                <w:sz w:val="24"/>
                <w:highlight w:val="none"/>
                <w14:textFill>
                  <w14:solidFill>
                    <w14:schemeClr w14:val="tx1"/>
                  </w14:solidFill>
                </w14:textFill>
              </w:rPr>
              <w:t>】</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48</w:t>
            </w:r>
            <w:r>
              <w:rPr>
                <w:rFonts w:ascii="Times New Roman" w:hAnsi="Times New Roman" w:eastAsia="宋体"/>
                <w:caps w:val="0"/>
                <w:color w:val="000000" w:themeColor="text1"/>
                <w:sz w:val="24"/>
                <w:highlight w:val="none"/>
                <w14:textFill>
                  <w14:solidFill>
                    <w14:schemeClr w14:val="tx1"/>
                  </w14:solidFill>
                </w14:textFill>
              </w:rPr>
              <w:t>号）。</w:t>
            </w:r>
          </w:p>
          <w:p>
            <w:pPr>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因此本项目符合国家和安徽相关产业政策。</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3、规划选址相容性</w:t>
            </w:r>
          </w:p>
          <w:p>
            <w:pPr>
              <w:pStyle w:val="1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本项目位于</w:t>
            </w:r>
            <w:r>
              <w:rPr>
                <w:rFonts w:hint="eastAsia" w:ascii="Times New Roman" w:hAnsi="Times New Roman" w:eastAsia="宋体"/>
                <w:caps w:val="0"/>
                <w:color w:val="000000" w:themeColor="text1"/>
                <w:sz w:val="24"/>
                <w:highlight w:val="none"/>
                <w14:textFill>
                  <w14:solidFill>
                    <w14:schemeClr w14:val="tx1"/>
                  </w14:solidFill>
                </w14:textFill>
              </w:rPr>
              <w:t>繁昌经济开发区孙村园区</w:t>
            </w:r>
            <w:r>
              <w:rPr>
                <w:rFonts w:ascii="Times New Roman" w:hAnsi="Times New Roman" w:eastAsia="宋体"/>
                <w:caps w:val="0"/>
                <w:color w:val="000000" w:themeColor="text1"/>
                <w:sz w:val="24"/>
                <w:highlight w:val="none"/>
                <w14:textFill>
                  <w14:solidFill>
                    <w14:schemeClr w14:val="tx1"/>
                  </w14:solidFill>
                </w14:textFill>
              </w:rPr>
              <w:t>，根据《芜湖孙村经济开发区总体规划》，开发区以轻工纺织服装产业集群和机械铸造产业集群为主导，本项目属于机械铸造行业，因此项目选址合理。</w:t>
            </w:r>
          </w:p>
          <w:p>
            <w:pPr>
              <w:pStyle w:val="1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对照《关于全面打造水清岸绿产业优美丽长江（安徽）经济带的实施意见》皖发【2018】21号文及《关于长江岸线及主要支流一公里范围内建设项目及有关“散乱污”企业整治规范环评审批工作的通知》芜环评函【2018】46号文件要求，本项目距离长江</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11.2</w:t>
            </w:r>
            <w:r>
              <w:rPr>
                <w:rFonts w:ascii="Times New Roman" w:hAnsi="Times New Roman" w:eastAsia="宋体"/>
                <w:caps w:val="0"/>
                <w:color w:val="000000" w:themeColor="text1"/>
                <w:sz w:val="24"/>
                <w:highlight w:val="none"/>
                <w14:textFill>
                  <w14:solidFill>
                    <w14:schemeClr w14:val="tx1"/>
                  </w14:solidFill>
                </w14:textFill>
              </w:rPr>
              <w:t>km，项目选址在</w:t>
            </w:r>
            <w:r>
              <w:rPr>
                <w:rFonts w:hint="eastAsia" w:ascii="Times New Roman" w:hAnsi="Times New Roman" w:eastAsia="宋体"/>
                <w:caps w:val="0"/>
                <w:color w:val="000000" w:themeColor="text1"/>
                <w:sz w:val="24"/>
                <w:highlight w:val="none"/>
                <w14:textFill>
                  <w14:solidFill>
                    <w14:schemeClr w14:val="tx1"/>
                  </w14:solidFill>
                </w14:textFill>
              </w:rPr>
              <w:t>繁昌经济开发区孙村园区</w:t>
            </w:r>
            <w:r>
              <w:rPr>
                <w:rFonts w:ascii="Times New Roman" w:hAnsi="Times New Roman" w:eastAsia="宋体"/>
                <w:caps w:val="0"/>
                <w:color w:val="000000" w:themeColor="text1"/>
                <w:sz w:val="24"/>
                <w:highlight w:val="none"/>
                <w14:textFill>
                  <w14:solidFill>
                    <w14:schemeClr w14:val="tx1"/>
                  </w14:solidFill>
                </w14:textFill>
              </w:rPr>
              <w:t>，各污染物治理措施均能达到最新环保要求，故项目的建设符合《关于全面打造水清岸绿产业优美丽长江（安徽）经济带的实施意见》【2018】21号文及《关于长江岸线及主要支流一公里范围内建设项目及有关“散乱污”企业整治规范环评审批工作的通知》芜环评函【2018】46号文件要求。</w:t>
            </w:r>
          </w:p>
          <w:p>
            <w:pPr>
              <w:pStyle w:val="1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本项目不在生态保护红线范围内，项目建成后未改变区域环境质量底线，其水、电、能源等利用未突破资源利用上线；本项目位于</w:t>
            </w:r>
            <w:r>
              <w:rPr>
                <w:rFonts w:hint="eastAsia" w:ascii="Times New Roman" w:hAnsi="Times New Roman" w:eastAsia="宋体"/>
                <w:caps w:val="0"/>
                <w:color w:val="000000" w:themeColor="text1"/>
                <w:sz w:val="24"/>
                <w:highlight w:val="none"/>
                <w14:textFill>
                  <w14:solidFill>
                    <w14:schemeClr w14:val="tx1"/>
                  </w14:solidFill>
                </w14:textFill>
              </w:rPr>
              <w:t>繁昌经济开发区孙村园区</w:t>
            </w:r>
            <w:r>
              <w:rPr>
                <w:rFonts w:ascii="Times New Roman" w:hAnsi="Times New Roman" w:eastAsia="宋体"/>
                <w:caps w:val="0"/>
                <w:color w:val="000000" w:themeColor="text1"/>
                <w:sz w:val="24"/>
                <w:highlight w:val="none"/>
                <w14:textFill>
                  <w14:solidFill>
                    <w14:schemeClr w14:val="tx1"/>
                  </w14:solidFill>
                </w14:textFill>
              </w:rPr>
              <w:t>，不在控制进入行业内；因此本项目的建设符合“三线一单”要求。</w:t>
            </w:r>
          </w:p>
          <w:p>
            <w:pPr>
              <w:pStyle w:val="10"/>
              <w:spacing w:line="46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综上所述，本项目建设符合国家和地方产业政策的要求，选址合理。</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4、环境质量现状</w:t>
            </w:r>
          </w:p>
          <w:p>
            <w:pPr>
              <w:spacing w:line="460" w:lineRule="exact"/>
              <w:ind w:firstLine="480" w:firstLineChars="200"/>
              <w:rPr>
                <w:rFonts w:hint="eastAsia" w:ascii="Times New Roman" w:hAnsi="Times New Roman" w:eastAsia="宋体"/>
                <w:caps w:val="0"/>
                <w:color w:val="000000" w:themeColor="text1"/>
                <w:sz w:val="24"/>
                <w:highlight w:val="none"/>
                <w:lang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根据芜湖市</w:t>
            </w:r>
            <w:r>
              <w:rPr>
                <w:rFonts w:hint="eastAsia" w:ascii="Times New Roman" w:hAnsi="Times New Roman" w:eastAsia="宋体"/>
                <w:caps w:val="0"/>
                <w:color w:val="000000" w:themeColor="text1"/>
                <w:sz w:val="24"/>
                <w:highlight w:val="none"/>
                <w14:textFill>
                  <w14:solidFill>
                    <w14:schemeClr w14:val="tx1"/>
                  </w14:solidFill>
                </w14:textFill>
              </w:rPr>
              <w:t>生态环境</w:t>
            </w:r>
            <w:r>
              <w:rPr>
                <w:rFonts w:ascii="Times New Roman" w:hAnsi="Times New Roman" w:eastAsia="宋体"/>
                <w:caps w:val="0"/>
                <w:color w:val="000000" w:themeColor="text1"/>
                <w:sz w:val="24"/>
                <w:highlight w:val="none"/>
                <w14:textFill>
                  <w14:solidFill>
                    <w14:schemeClr w14:val="tx1"/>
                  </w14:solidFill>
                </w14:textFill>
              </w:rPr>
              <w:t>局网站公布的《2019年芜湖市环境状况公报》，项目所在区域属于不达标区，项目建设区空气中</w:t>
            </w:r>
            <w:r>
              <w:rPr>
                <w:rFonts w:hint="eastAsia" w:ascii="Times New Roman" w:hAnsi="Times New Roman" w:eastAsia="宋体"/>
                <w:caps w:val="0"/>
                <w:color w:val="000000" w:themeColor="text1"/>
                <w:sz w:val="24"/>
                <w:highlight w:val="none"/>
                <w14:textFill>
                  <w14:solidFill>
                    <w14:schemeClr w14:val="tx1"/>
                  </w14:solidFill>
                </w14:textFill>
              </w:rPr>
              <w:t>T</w:t>
            </w:r>
            <w:r>
              <w:rPr>
                <w:rFonts w:ascii="Times New Roman" w:hAnsi="Times New Roman" w:eastAsia="宋体"/>
                <w:caps w:val="0"/>
                <w:color w:val="000000" w:themeColor="text1"/>
                <w:sz w:val="24"/>
                <w:highlight w:val="none"/>
                <w14:textFill>
                  <w14:solidFill>
                    <w14:schemeClr w14:val="tx1"/>
                  </w14:solidFill>
                </w14:textFill>
              </w:rPr>
              <w:t>SP</w:t>
            </w:r>
            <w:r>
              <w:rPr>
                <w:rFonts w:hint="eastAsia" w:ascii="Times New Roman" w:hAnsi="Times New Roman" w:eastAsia="宋体"/>
                <w:caps w:val="0"/>
                <w:color w:val="000000" w:themeColor="text1"/>
                <w:sz w:val="24"/>
                <w:highlight w:val="none"/>
                <w14:textFill>
                  <w14:solidFill>
                    <w14:schemeClr w14:val="tx1"/>
                  </w14:solidFill>
                </w14:textFill>
              </w:rPr>
              <w:t>、P</w:t>
            </w:r>
            <w:r>
              <w:rPr>
                <w:rFonts w:ascii="Times New Roman" w:hAnsi="Times New Roman" w:eastAsia="宋体"/>
                <w:caps w:val="0"/>
                <w:color w:val="000000" w:themeColor="text1"/>
                <w:sz w:val="24"/>
                <w:highlight w:val="none"/>
                <w14:textFill>
                  <w14:solidFill>
                    <w14:schemeClr w14:val="tx1"/>
                  </w14:solidFill>
                </w14:textFill>
              </w:rPr>
              <w:t>M</w:t>
            </w:r>
            <w:r>
              <w:rPr>
                <w:rFonts w:ascii="Times New Roman" w:hAnsi="Times New Roman" w:eastAsia="宋体"/>
                <w:caps w:val="0"/>
                <w:color w:val="000000" w:themeColor="text1"/>
                <w:sz w:val="24"/>
                <w:highlight w:val="none"/>
                <w:vertAlign w:val="subscript"/>
                <w14:textFill>
                  <w14:solidFill>
                    <w14:schemeClr w14:val="tx1"/>
                  </w14:solidFill>
                </w14:textFill>
              </w:rPr>
              <w:t>10</w:t>
            </w:r>
            <w:r>
              <w:rPr>
                <w:rFonts w:hint="eastAsia" w:ascii="Times New Roman" w:hAnsi="Times New Roman" w:eastAsia="宋体"/>
                <w:caps w:val="0"/>
                <w:color w:val="000000" w:themeColor="text1"/>
                <w:sz w:val="24"/>
                <w:highlight w:val="none"/>
                <w14:textFill>
                  <w14:solidFill>
                    <w14:schemeClr w14:val="tx1"/>
                  </w14:solidFill>
                </w14:textFill>
              </w:rPr>
              <w:t>、S</w:t>
            </w:r>
            <w:r>
              <w:rPr>
                <w:rFonts w:ascii="Times New Roman" w:hAnsi="Times New Roman" w:eastAsia="宋体"/>
                <w:caps w:val="0"/>
                <w:color w:val="000000" w:themeColor="text1"/>
                <w:sz w:val="24"/>
                <w:highlight w:val="none"/>
                <w14:textFill>
                  <w14:solidFill>
                    <w14:schemeClr w14:val="tx1"/>
                  </w14:solidFill>
                </w14:textFill>
              </w:rPr>
              <w:t>O</w:t>
            </w:r>
            <w:r>
              <w:rPr>
                <w:rFonts w:ascii="Times New Roman" w:hAnsi="Times New Roman" w:eastAsia="宋体"/>
                <w:caps w:val="0"/>
                <w:color w:val="000000" w:themeColor="text1"/>
                <w:sz w:val="24"/>
                <w:highlight w:val="none"/>
                <w:vertAlign w:val="subscript"/>
                <w14:textFill>
                  <w14:solidFill>
                    <w14:schemeClr w14:val="tx1"/>
                  </w14:solidFill>
                </w14:textFill>
              </w:rPr>
              <w:t>2</w:t>
            </w:r>
            <w:r>
              <w:rPr>
                <w:rFonts w:hint="eastAsia" w:ascii="Times New Roman" w:hAnsi="Times New Roman" w:eastAsia="宋体"/>
                <w:caps w:val="0"/>
                <w:color w:val="000000" w:themeColor="text1"/>
                <w:sz w:val="24"/>
                <w:highlight w:val="none"/>
                <w14:textFill>
                  <w14:solidFill>
                    <w14:schemeClr w14:val="tx1"/>
                  </w14:solidFill>
                </w14:textFill>
              </w:rPr>
              <w:t>、N</w:t>
            </w:r>
            <w:r>
              <w:rPr>
                <w:rFonts w:ascii="Times New Roman" w:hAnsi="Times New Roman" w:eastAsia="宋体"/>
                <w:caps w:val="0"/>
                <w:color w:val="000000" w:themeColor="text1"/>
                <w:sz w:val="24"/>
                <w:highlight w:val="none"/>
                <w14:textFill>
                  <w14:solidFill>
                    <w14:schemeClr w14:val="tx1"/>
                  </w14:solidFill>
                </w14:textFill>
              </w:rPr>
              <w:t>O</w:t>
            </w:r>
            <w:r>
              <w:rPr>
                <w:rFonts w:ascii="Times New Roman" w:hAnsi="Times New Roman" w:eastAsia="宋体"/>
                <w:caps w:val="0"/>
                <w:color w:val="000000" w:themeColor="text1"/>
                <w:sz w:val="24"/>
                <w:highlight w:val="none"/>
                <w:vertAlign w:val="subscript"/>
                <w14:textFill>
                  <w14:solidFill>
                    <w14:schemeClr w14:val="tx1"/>
                  </w14:solidFill>
                </w14:textFill>
              </w:rPr>
              <w:t>x</w:t>
            </w:r>
            <w:r>
              <w:rPr>
                <w:rFonts w:ascii="Times New Roman" w:hAnsi="Times New Roman" w:eastAsia="宋体"/>
                <w:caps w:val="0"/>
                <w:color w:val="000000" w:themeColor="text1"/>
                <w:sz w:val="24"/>
                <w:highlight w:val="none"/>
                <w14:textFill>
                  <w14:solidFill>
                    <w14:schemeClr w14:val="tx1"/>
                  </w14:solidFill>
                </w14:textFill>
              </w:rPr>
              <w:t>排放满足《环境空气质量标准》（GB3095-2012）二级标准要求，非甲烷总烃满足《大气污染物综合排放标准》（GB16297-1996）详解中要求；地表水环境满足《地表水环境质量标准》（GB3838-2002）中Ⅲ类水质标准要求；各厂界声环境质量达到《声环境质量标准》（GB3096-2008）3类标准要求</w:t>
            </w:r>
            <w:r>
              <w:rPr>
                <w:rFonts w:hint="eastAsia" w:ascii="Times New Roman" w:hAnsi="Times New Roman" w:eastAsia="宋体"/>
                <w:caps w:val="0"/>
                <w:color w:val="000000" w:themeColor="text1"/>
                <w:sz w:val="24"/>
                <w:highlight w:val="none"/>
                <w:lang w:eastAsia="zh-CN"/>
                <w14:textFill>
                  <w14:solidFill>
                    <w14:schemeClr w14:val="tx1"/>
                  </w14:solidFill>
                </w14:textFill>
              </w:rPr>
              <w:t>。</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5、环境影响评价结论</w:t>
            </w:r>
          </w:p>
          <w:p>
            <w:pPr>
              <w:pStyle w:val="84"/>
              <w:spacing w:line="460" w:lineRule="exact"/>
              <w:ind w:firstLine="482" w:firstLineChars="200"/>
              <w:jc w:val="both"/>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highlight w:val="none"/>
                <w14:textFill>
                  <w14:solidFill>
                    <w14:schemeClr w14:val="tx1"/>
                  </w14:solidFill>
                </w14:textFill>
              </w:rPr>
              <w:t>（1）废气</w:t>
            </w:r>
          </w:p>
          <w:p>
            <w:pPr>
              <w:adjustRightInd w:val="0"/>
              <w:spacing w:line="360" w:lineRule="auto"/>
              <w:ind w:firstLine="480"/>
              <w:rPr>
                <w:rFonts w:hint="eastAsia" w:ascii="Times New Roman" w:hAnsi="Times New Roman" w:eastAsia="宋体"/>
                <w:caps w:val="0"/>
                <w:color w:val="000000" w:themeColor="text1"/>
                <w:sz w:val="24"/>
                <w:highlight w:val="none"/>
                <w:lang w:eastAsia="zh-CN"/>
                <w14:textFill>
                  <w14:solidFill>
                    <w14:schemeClr w14:val="tx1"/>
                  </w14:solidFill>
                </w14:textFill>
              </w:rPr>
            </w:pPr>
            <w:r>
              <w:rPr>
                <w:rFonts w:hint="eastAsia" w:ascii="Times New Roman" w:hAnsi="Times New Roman" w:eastAsia="宋体"/>
                <w:caps w:val="0"/>
                <w:color w:val="000000" w:themeColor="text1"/>
                <w:sz w:val="24"/>
                <w:highlight w:val="none"/>
                <w:lang w:val="en-US" w:eastAsia="zh-CN"/>
                <w14:textFill>
                  <w14:solidFill>
                    <w14:schemeClr w14:val="tx1"/>
                  </w14:solidFill>
                </w14:textFill>
              </w:rPr>
              <w:t>本项目</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各环节产生的废气</w:t>
            </w:r>
            <w:r>
              <w:rPr>
                <w:rFonts w:ascii="Times New Roman" w:hAnsi="Times New Roman" w:eastAsia="宋体"/>
                <w:caps w:val="0"/>
                <w:color w:val="000000" w:themeColor="text1"/>
                <w:sz w:val="24"/>
                <w:highlight w:val="none"/>
                <w14:textFill>
                  <w14:solidFill>
                    <w14:schemeClr w14:val="tx1"/>
                  </w14:solidFill>
                </w14:textFill>
              </w:rPr>
              <w:t>排放执行上海市《大气污染物综合排放标准》（DB 31/933-2015）表1大气污染物项目排放限值</w:t>
            </w:r>
            <w:r>
              <w:rPr>
                <w:rFonts w:hint="eastAsia" w:ascii="Times New Roman" w:hAnsi="Times New Roman" w:eastAsia="宋体"/>
                <w:caps w:val="0"/>
                <w:color w:val="000000" w:themeColor="text1"/>
                <w:sz w:val="24"/>
                <w:highlight w:val="none"/>
                <w:lang w:eastAsia="zh-CN"/>
                <w14:textFill>
                  <w14:solidFill>
                    <w14:schemeClr w14:val="tx1"/>
                  </w14:solidFill>
                </w14:textFill>
              </w:rPr>
              <w:t>、表 2 厂区内大气污染物监控点浓度限值</w:t>
            </w:r>
            <w:r>
              <w:rPr>
                <w:rFonts w:ascii="Times New Roman" w:hAnsi="Times New Roman" w:eastAsia="宋体"/>
                <w:caps w:val="0"/>
                <w:color w:val="000000" w:themeColor="text1"/>
                <w:sz w:val="24"/>
                <w:highlight w:val="none"/>
                <w14:textFill>
                  <w14:solidFill>
                    <w14:schemeClr w14:val="tx1"/>
                  </w14:solidFill>
                </w14:textFill>
              </w:rPr>
              <w:t>及表3厂界大气污染物监控点浓度限值</w:t>
            </w:r>
            <w:r>
              <w:rPr>
                <w:rFonts w:hint="eastAsia" w:ascii="Times New Roman" w:hAnsi="Times New Roman" w:eastAsia="宋体"/>
                <w:caps w:val="0"/>
                <w:color w:val="000000" w:themeColor="text1"/>
                <w:sz w:val="24"/>
                <w:highlight w:val="none"/>
                <w:lang w:eastAsia="zh-CN"/>
                <w14:textFill>
                  <w14:solidFill>
                    <w14:schemeClr w14:val="tx1"/>
                  </w14:solidFill>
                </w14:textFill>
              </w:rPr>
              <w:t>。</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（2）废水</w:t>
            </w:r>
          </w:p>
          <w:p>
            <w:pPr>
              <w:pStyle w:val="40"/>
              <w:spacing w:line="360" w:lineRule="auto"/>
              <w:ind w:firstLine="480" w:firstLineChars="200"/>
              <w:rPr>
                <w:rFonts w:ascii="Times New Roman" w:hAnsi="Times New Roman" w:eastAsia="宋体" w:cs="Times New Roman"/>
                <w:bCs/>
                <w:caps w:val="0"/>
                <w:color w:val="000000" w:themeColor="text1"/>
                <w:highlight w:val="none"/>
                <w14:textFill>
                  <w14:solidFill>
                    <w14:schemeClr w14:val="tx1"/>
                  </w14:solidFill>
                </w14:textFill>
              </w:rPr>
            </w:pPr>
            <w:r>
              <w:rPr>
                <w:rFonts w:ascii="Times New Roman" w:hAnsi="Times New Roman" w:eastAsia="宋体" w:cs="Times New Roman"/>
                <w:caps w:val="0"/>
                <w:color w:val="000000" w:themeColor="text1"/>
                <w:highlight w:val="none"/>
                <w14:textFill>
                  <w14:solidFill>
                    <w14:schemeClr w14:val="tx1"/>
                  </w14:solidFill>
                </w14:textFill>
              </w:rPr>
              <w:t>根据工程分析，项目外排废水为生活污水，外排废水经</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化粪池</w:t>
            </w:r>
            <w:r>
              <w:rPr>
                <w:rFonts w:ascii="Times New Roman" w:hAnsi="Times New Roman" w:eastAsia="宋体" w:cs="Times New Roman"/>
                <w:caps w:val="0"/>
                <w:color w:val="000000" w:themeColor="text1"/>
                <w:highlight w:val="none"/>
                <w14:textFill>
                  <w14:solidFill>
                    <w14:schemeClr w14:val="tx1"/>
                  </w14:solidFill>
                </w14:textFill>
              </w:rPr>
              <w:t>可满足《污水综合排放标准》（GB8978-1996）表4</w:t>
            </w:r>
            <w:r>
              <w:rPr>
                <w:rFonts w:hint="eastAsia" w:ascii="Times New Roman" w:hAnsi="Times New Roman" w:eastAsia="宋体" w:cs="Times New Roman"/>
                <w:caps w:val="0"/>
                <w:color w:val="000000" w:themeColor="text1"/>
                <w:highlight w:val="none"/>
                <w:lang w:val="en-US" w:eastAsia="zh-CN"/>
                <w14:textFill>
                  <w14:solidFill>
                    <w14:schemeClr w14:val="tx1"/>
                  </w14:solidFill>
                </w14:textFill>
              </w:rPr>
              <w:t>三级</w:t>
            </w:r>
            <w:r>
              <w:rPr>
                <w:rFonts w:ascii="Times New Roman" w:hAnsi="Times New Roman" w:eastAsia="宋体" w:cs="Times New Roman"/>
                <w:caps w:val="0"/>
                <w:color w:val="000000" w:themeColor="text1"/>
                <w:highlight w:val="none"/>
                <w14:textFill>
                  <w14:solidFill>
                    <w14:schemeClr w14:val="tx1"/>
                  </w14:solidFill>
                </w14:textFill>
              </w:rPr>
              <w:t>标准要求</w:t>
            </w:r>
            <w:r>
              <w:rPr>
                <w:rStyle w:val="35"/>
                <w:rFonts w:ascii="Times New Roman" w:hAnsi="Times New Roman" w:eastAsia="宋体" w:cs="Times New Roman"/>
                <w:b w:val="0"/>
                <w:caps w:val="0"/>
                <w:color w:val="000000" w:themeColor="text1"/>
                <w:highlight w:val="none"/>
                <w14:textFill>
                  <w14:solidFill>
                    <w14:schemeClr w14:val="tx1"/>
                  </w14:solidFill>
                </w14:textFill>
              </w:rPr>
              <w:t>，</w:t>
            </w:r>
            <w:r>
              <w:rPr>
                <w:rFonts w:ascii="Times New Roman" w:hAnsi="Times New Roman" w:eastAsia="宋体" w:cs="Times New Roman"/>
                <w:caps w:val="0"/>
                <w:color w:val="000000" w:themeColor="text1"/>
                <w:highlight w:val="none"/>
                <w14:textFill>
                  <w14:solidFill>
                    <w14:schemeClr w14:val="tx1"/>
                  </w14:solidFill>
                </w14:textFill>
              </w:rPr>
              <w:t>对环境影响较小。</w:t>
            </w:r>
          </w:p>
          <w:p>
            <w:pPr>
              <w:spacing w:line="460" w:lineRule="exact"/>
              <w:ind w:firstLine="482" w:firstLineChars="200"/>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（3）噪声</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项目噪声源强主要为车间内的各种生产设备及风机等，声压级为75~90dB(A)。项目产噪设备采取隔声、减震、降噪措施后，厂界噪声可以满足《工业企业厂界环境噪声排放标准》（GB12348-2008）中的3类区标准要求。因此本项目的运营对周围声环境产生的影响较小。</w:t>
            </w:r>
          </w:p>
          <w:p>
            <w:pPr>
              <w:pStyle w:val="6"/>
              <w:spacing w:line="460" w:lineRule="exact"/>
              <w:ind w:firstLine="482" w:firstLineChars="200"/>
              <w:rPr>
                <w:rFonts w:ascii="Times New Roman" w:hAnsi="Times New Roman" w:eastAsia="宋体"/>
                <w:b/>
                <w:caps w:val="0"/>
                <w:color w:val="000000" w:themeColor="text1"/>
                <w:spacing w:val="0"/>
                <w:szCs w:val="24"/>
                <w:highlight w:val="none"/>
                <w14:textFill>
                  <w14:solidFill>
                    <w14:schemeClr w14:val="tx1"/>
                  </w14:solidFill>
                </w14:textFill>
              </w:rPr>
            </w:pPr>
            <w:r>
              <w:rPr>
                <w:rFonts w:ascii="Times New Roman" w:hAnsi="Times New Roman" w:eastAsia="宋体"/>
                <w:b/>
                <w:caps w:val="0"/>
                <w:color w:val="000000" w:themeColor="text1"/>
                <w:spacing w:val="0"/>
                <w:szCs w:val="24"/>
                <w:highlight w:val="none"/>
                <w14:textFill>
                  <w14:solidFill>
                    <w14:schemeClr w14:val="tx1"/>
                  </w14:solidFill>
                </w14:textFill>
              </w:rPr>
              <w:t>（4）固体废物</w:t>
            </w:r>
          </w:p>
          <w:p>
            <w:pPr>
              <w:adjustRightInd w:val="0"/>
              <w:spacing w:line="360" w:lineRule="auto"/>
              <w:ind w:firstLine="482"/>
              <w:jc w:val="left"/>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1、一般固废</w:t>
            </w:r>
          </w:p>
          <w:p>
            <w:pPr>
              <w:pStyle w:val="11"/>
              <w:spacing w:line="360" w:lineRule="auto"/>
              <w:ind w:firstLine="436" w:firstLineChars="200"/>
              <w:rPr>
                <w:rFonts w:ascii="Times New Roman" w:hAnsi="Times New Roman" w:eastAsia="宋体"/>
                <w:caps w:val="0"/>
                <w:color w:val="000000" w:themeColor="text1"/>
                <w:kern w:val="0"/>
                <w:sz w:val="24"/>
                <w:highlight w:val="none"/>
                <w14:textFill>
                  <w14:solidFill>
                    <w14:schemeClr w14:val="tx1"/>
                  </w14:solidFill>
                </w14:textFill>
              </w:rPr>
            </w:pPr>
            <w:r>
              <w:rPr>
                <w:rFonts w:hint="eastAsia" w:ascii="Times New Roman" w:hAnsi="Times New Roman" w:eastAsia="宋体"/>
                <w:caps w:val="0"/>
                <w:color w:val="000000" w:themeColor="text1"/>
                <w:spacing w:val="-11"/>
                <w:sz w:val="24"/>
                <w:highlight w:val="none"/>
                <w:lang w:val="en-US" w:eastAsia="zh-CN"/>
                <w14:textFill>
                  <w14:solidFill>
                    <w14:schemeClr w14:val="tx1"/>
                  </w14:solidFill>
                </w14:textFill>
              </w:rPr>
              <w:t>本项目一般固废均集中收集后集中外售</w:t>
            </w:r>
            <w:r>
              <w:rPr>
                <w:rFonts w:ascii="Times New Roman" w:hAnsi="Times New Roman" w:eastAsia="宋体"/>
                <w:caps w:val="0"/>
                <w:color w:val="000000" w:themeColor="text1"/>
                <w:spacing w:val="-11"/>
                <w:sz w:val="24"/>
                <w:highlight w:val="none"/>
                <w14:textFill>
                  <w14:solidFill>
                    <w14:schemeClr w14:val="tx1"/>
                  </w14:solidFill>
                </w14:textFill>
              </w:rPr>
              <w:t>。</w:t>
            </w:r>
          </w:p>
          <w:p>
            <w:pPr>
              <w:adjustRightInd w:val="0"/>
              <w:spacing w:line="360" w:lineRule="auto"/>
              <w:ind w:firstLine="482"/>
              <w:jc w:val="left"/>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2、生活垃圾</w:t>
            </w:r>
          </w:p>
          <w:p>
            <w:pPr>
              <w:adjustRightInd w:val="0"/>
              <w:spacing w:line="360" w:lineRule="auto"/>
              <w:ind w:firstLine="482"/>
              <w:jc w:val="left"/>
              <w:rPr>
                <w:rFonts w:ascii="Times New Roman" w:hAnsi="Times New Roman" w:eastAsia="宋体"/>
                <w:caps w:val="0"/>
                <w:color w:val="000000" w:themeColor="text1"/>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生活垃圾交由环卫部门进行处理，厂内设有垃圾桶。</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3、危险废物</w:t>
            </w:r>
          </w:p>
          <w:p>
            <w:pPr>
              <w:pStyle w:val="141"/>
              <w:tabs>
                <w:tab w:val="left" w:pos="1373"/>
              </w:tabs>
              <w:spacing w:before="0" w:line="365" w:lineRule="auto"/>
              <w:ind w:left="0" w:firstLine="480" w:firstLineChars="200"/>
              <w:rPr>
                <w:rFonts w:ascii="Times New Roman" w:hAnsi="Times New Roman" w:eastAsia="宋体" w:cs="Times New Roman"/>
                <w:caps w:val="0"/>
                <w:color w:val="000000" w:themeColor="text1"/>
                <w:sz w:val="24"/>
                <w:highlight w:val="none"/>
                <w14:textFill>
                  <w14:solidFill>
                    <w14:schemeClr w14:val="tx1"/>
                  </w14:solidFill>
                </w14:textFill>
              </w:rPr>
            </w:pPr>
            <w:r>
              <w:rPr>
                <w:rFonts w:ascii="Times New Roman" w:hAnsi="Times New Roman" w:eastAsia="宋体" w:cs="Times New Roman"/>
                <w:caps w:val="0"/>
                <w:color w:val="000000" w:themeColor="text1"/>
                <w:sz w:val="24"/>
                <w:highlight w:val="none"/>
                <w14:textFill>
                  <w14:solidFill>
                    <w14:schemeClr w14:val="tx1"/>
                  </w14:solidFill>
                </w14:textFill>
              </w:rPr>
              <w:t>项目</w:t>
            </w:r>
            <w:r>
              <w:rPr>
                <w:rFonts w:hint="eastAsia" w:ascii="Times New Roman" w:hAnsi="Times New Roman" w:eastAsia="宋体" w:cs="Times New Roman"/>
                <w:caps w:val="0"/>
                <w:color w:val="000000" w:themeColor="text1"/>
                <w:sz w:val="24"/>
                <w:highlight w:val="none"/>
                <w14:textFill>
                  <w14:solidFill>
                    <w14:schemeClr w14:val="tx1"/>
                  </w14:solidFill>
                </w14:textFill>
              </w:rPr>
              <w:t>产生的</w:t>
            </w:r>
            <w:r>
              <w:rPr>
                <w:rFonts w:hint="eastAsia" w:ascii="Times New Roman" w:hAnsi="Times New Roman" w:eastAsia="宋体" w:cs="Times New Roman"/>
                <w:caps w:val="0"/>
                <w:color w:val="000000" w:themeColor="text1"/>
                <w:sz w:val="24"/>
                <w:highlight w:val="none"/>
                <w:lang w:val="en-US" w:eastAsia="zh-CN"/>
                <w14:textFill>
                  <w14:solidFill>
                    <w14:schemeClr w14:val="tx1"/>
                  </w14:solidFill>
                </w14:textFill>
              </w:rPr>
              <w:t>危险废物</w:t>
            </w:r>
            <w:r>
              <w:rPr>
                <w:rFonts w:ascii="Times New Roman" w:hAnsi="Times New Roman" w:eastAsia="宋体" w:cs="Times New Roman"/>
                <w:caps w:val="0"/>
                <w:color w:val="000000" w:themeColor="text1"/>
                <w:sz w:val="24"/>
                <w:highlight w:val="none"/>
                <w14:textFill>
                  <w14:solidFill>
                    <w14:schemeClr w14:val="tx1"/>
                  </w14:solidFill>
                </w14:textFill>
              </w:rPr>
              <w:t>在危废间暂存后委托有资质单位处理。</w:t>
            </w:r>
          </w:p>
          <w:p>
            <w:pPr>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危废暂存场所设置危险废物标志，暂存场地面硬化，铺设防水材料，</w:t>
            </w:r>
            <w:r>
              <w:rPr>
                <w:rFonts w:ascii="Times New Roman" w:hAnsi="Times New Roman" w:eastAsia="宋体"/>
                <w:caps w:val="0"/>
                <w:color w:val="000000" w:themeColor="text1"/>
                <w:kern w:val="0"/>
                <w:sz w:val="24"/>
                <w:highlight w:val="none"/>
                <w14:textFill>
                  <w14:solidFill>
                    <w14:schemeClr w14:val="tx1"/>
                  </w14:solidFill>
                </w14:textFill>
              </w:rPr>
              <w:t>并采取防雨、防腐、防渗等处理</w:t>
            </w:r>
            <w:r>
              <w:rPr>
                <w:rFonts w:ascii="Times New Roman" w:hAnsi="Times New Roman" w:eastAsia="宋体"/>
                <w:caps w:val="0"/>
                <w:color w:val="000000" w:themeColor="text1"/>
                <w:sz w:val="24"/>
                <w:highlight w:val="none"/>
                <w14:textFill>
                  <w14:solidFill>
                    <w14:schemeClr w14:val="tx1"/>
                  </w14:solidFill>
                </w14:textFill>
              </w:rPr>
              <w:t xml:space="preserve">，设置挡墙和顶棚；危险废物转移必须按照《危险废物转移联单管理办法》的相关要求执行。 </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本项目产生的固体废物经有效处理和处置后对周围环境影响较小。</w:t>
            </w:r>
          </w:p>
          <w:p>
            <w:pPr>
              <w:pStyle w:val="27"/>
              <w:spacing w:after="0" w:line="420" w:lineRule="exact"/>
              <w:ind w:left="59" w:leftChars="21" w:firstLine="482" w:firstLineChars="200"/>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6.总量控制</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废水：根据工程分析，本项目生活废水最终排放量COD</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0.</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084</w:t>
            </w:r>
            <w:r>
              <w:rPr>
                <w:rFonts w:ascii="Times New Roman" w:hAnsi="Times New Roman" w:eastAsia="宋体"/>
                <w:caps w:val="0"/>
                <w:color w:val="000000" w:themeColor="text1"/>
                <w:sz w:val="24"/>
                <w:highlight w:val="none"/>
                <w14:textFill>
                  <w14:solidFill>
                    <w14:schemeClr w14:val="tx1"/>
                  </w14:solidFill>
                </w14:textFill>
              </w:rPr>
              <w:t>t/a，NH</w:t>
            </w:r>
            <w:r>
              <w:rPr>
                <w:rFonts w:ascii="Times New Roman" w:hAnsi="Times New Roman" w:eastAsia="宋体"/>
                <w:caps w:val="0"/>
                <w:color w:val="000000" w:themeColor="text1"/>
                <w:sz w:val="24"/>
                <w:highlight w:val="none"/>
                <w:vertAlign w:val="subscript"/>
                <w14:textFill>
                  <w14:solidFill>
                    <w14:schemeClr w14:val="tx1"/>
                  </w14:solidFill>
                </w14:textFill>
              </w:rPr>
              <w:t>3</w:t>
            </w:r>
            <w:r>
              <w:rPr>
                <w:rFonts w:ascii="Times New Roman" w:hAnsi="Times New Roman" w:eastAsia="宋体"/>
                <w:caps w:val="0"/>
                <w:color w:val="000000" w:themeColor="text1"/>
                <w:sz w:val="24"/>
                <w:highlight w:val="none"/>
                <w14:textFill>
                  <w14:solidFill>
                    <w14:schemeClr w14:val="tx1"/>
                  </w14:solidFill>
                </w14:textFill>
              </w:rPr>
              <w:t>-N</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0.0</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13</w:t>
            </w:r>
            <w:r>
              <w:rPr>
                <w:rFonts w:ascii="Times New Roman" w:hAnsi="Times New Roman" w:eastAsia="宋体"/>
                <w:caps w:val="0"/>
                <w:color w:val="000000" w:themeColor="text1"/>
                <w:sz w:val="24"/>
                <w:highlight w:val="none"/>
                <w14:textFill>
                  <w14:solidFill>
                    <w14:schemeClr w14:val="tx1"/>
                  </w14:solidFill>
                </w14:textFill>
              </w:rPr>
              <w:t>t/a。</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废气：项目建成后，全厂</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烟（粉）尘有组织排放量为</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0.009</w:t>
            </w:r>
            <w:r>
              <w:rPr>
                <w:rFonts w:ascii="Times New Roman" w:hAnsi="Times New Roman" w:eastAsia="宋体"/>
                <w:caps w:val="0"/>
                <w:color w:val="000000" w:themeColor="text1"/>
                <w:kern w:val="0"/>
                <w:sz w:val="24"/>
                <w:highlight w:val="none"/>
                <w14:textFill>
                  <w14:solidFill>
                    <w14:schemeClr w14:val="tx1"/>
                  </w14:solidFill>
                </w14:textFill>
              </w:rPr>
              <w:t>t/a</w:t>
            </w:r>
            <w:r>
              <w:rPr>
                <w:rFonts w:hint="eastAsia" w:ascii="Times New Roman" w:hAnsi="Times New Roman" w:eastAsia="宋体"/>
                <w:caps w:val="0"/>
                <w:color w:val="000000" w:themeColor="text1"/>
                <w:kern w:val="0"/>
                <w:sz w:val="24"/>
                <w:highlight w:val="none"/>
                <w:lang w:eastAsia="zh-CN"/>
                <w14:textFill>
                  <w14:solidFill>
                    <w14:schemeClr w14:val="tx1"/>
                  </w14:solidFill>
                </w14:textFill>
              </w:rPr>
              <w:t>，</w:t>
            </w:r>
            <w:r>
              <w:rPr>
                <w:rFonts w:ascii="Times New Roman" w:hAnsi="Times New Roman" w:eastAsia="宋体"/>
                <w:caps w:val="0"/>
                <w:color w:val="000000" w:themeColor="text1"/>
                <w:kern w:val="0"/>
                <w:sz w:val="24"/>
                <w:highlight w:val="none"/>
                <w14:textFill>
                  <w14:solidFill>
                    <w14:schemeClr w14:val="tx1"/>
                  </w14:solidFill>
                </w14:textFill>
              </w:rPr>
              <w:t>VOCs</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有组织排放量为</w:t>
            </w:r>
            <w:r>
              <w:rPr>
                <w:rFonts w:hint="eastAsia" w:ascii="Times New Roman" w:hAnsi="Times New Roman" w:eastAsia="宋体"/>
                <w:caps w:val="0"/>
                <w:color w:val="000000" w:themeColor="text1"/>
                <w:kern w:val="0"/>
                <w:sz w:val="24"/>
                <w:highlight w:val="none"/>
                <w:lang w:val="en-US" w:eastAsia="zh-CN"/>
                <w14:textFill>
                  <w14:solidFill>
                    <w14:schemeClr w14:val="tx1"/>
                  </w14:solidFill>
                </w14:textFill>
              </w:rPr>
              <w:t>0.156</w:t>
            </w:r>
            <w:r>
              <w:rPr>
                <w:rFonts w:ascii="Times New Roman" w:hAnsi="Times New Roman" w:eastAsia="宋体"/>
                <w:caps w:val="0"/>
                <w:color w:val="000000" w:themeColor="text1"/>
                <w:kern w:val="0"/>
                <w:sz w:val="24"/>
                <w:highlight w:val="none"/>
                <w14:textFill>
                  <w14:solidFill>
                    <w14:schemeClr w14:val="tx1"/>
                  </w14:solidFill>
                </w14:textFill>
              </w:rPr>
              <w:t>t/a</w:t>
            </w:r>
            <w:r>
              <w:rPr>
                <w:rFonts w:ascii="Times New Roman" w:hAnsi="Times New Roman" w:eastAsia="宋体"/>
                <w:caps w:val="0"/>
                <w:color w:val="000000" w:themeColor="text1"/>
                <w:sz w:val="24"/>
                <w:highlight w:val="none"/>
                <w14:textFill>
                  <w14:solidFill>
                    <w14:schemeClr w14:val="tx1"/>
                  </w14:solidFill>
                </w14:textFill>
              </w:rPr>
              <w:t>。</w:t>
            </w:r>
          </w:p>
          <w:p>
            <w:pPr>
              <w:adjustRightInd w:val="0"/>
              <w:spacing w:line="360" w:lineRule="auto"/>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本项目污染物排放总量由当地环保主管部门通过区域平衡予以核准分配。</w:t>
            </w:r>
          </w:p>
          <w:p>
            <w:pPr>
              <w:pStyle w:val="27"/>
              <w:spacing w:after="0" w:line="420" w:lineRule="exact"/>
              <w:ind w:left="59" w:leftChars="21" w:firstLine="482" w:firstLineChars="200"/>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7、总结论</w:t>
            </w:r>
          </w:p>
          <w:p>
            <w:pPr>
              <w:pStyle w:val="27"/>
              <w:spacing w:after="0" w:line="360" w:lineRule="auto"/>
              <w:ind w:left="59" w:leftChars="21" w:firstLine="480" w:firstLineChars="200"/>
              <w:rPr>
                <w:rFonts w:ascii="Times New Roman" w:hAnsi="Times New Roman" w:eastAsia="宋体"/>
                <w:caps w:val="0"/>
                <w:color w:val="000000" w:themeColor="text1"/>
                <w:kern w:val="0"/>
                <w:sz w:val="24"/>
                <w:highlight w:val="none"/>
                <w14:textFill>
                  <w14:solidFill>
                    <w14:schemeClr w14:val="tx1"/>
                  </w14:solidFill>
                </w14:textFill>
              </w:rPr>
            </w:pPr>
            <w:r>
              <w:rPr>
                <w:rFonts w:ascii="Times New Roman" w:hAnsi="Times New Roman" w:eastAsia="宋体"/>
                <w:caps w:val="0"/>
                <w:color w:val="000000" w:themeColor="text1"/>
                <w:kern w:val="0"/>
                <w:sz w:val="24"/>
                <w:highlight w:val="none"/>
                <w14:textFill>
                  <w14:solidFill>
                    <w14:schemeClr w14:val="tx1"/>
                  </w14:solidFill>
                </w14:textFill>
              </w:rPr>
              <w:t>综上所述，本项目符合国家及地方产业政策要求，厂址位于</w:t>
            </w:r>
            <w:r>
              <w:rPr>
                <w:rFonts w:hint="eastAsia" w:ascii="Times New Roman" w:hAnsi="Times New Roman" w:eastAsia="宋体"/>
                <w:caps w:val="0"/>
                <w:color w:val="000000" w:themeColor="text1"/>
                <w:kern w:val="0"/>
                <w:sz w:val="24"/>
                <w:highlight w:val="none"/>
                <w14:textFill>
                  <w14:solidFill>
                    <w14:schemeClr w14:val="tx1"/>
                  </w14:solidFill>
                </w14:textFill>
              </w:rPr>
              <w:t>繁昌经济开发区孙村园区</w:t>
            </w:r>
            <w:r>
              <w:rPr>
                <w:rFonts w:ascii="Times New Roman" w:hAnsi="Times New Roman" w:eastAsia="宋体"/>
                <w:caps w:val="0"/>
                <w:color w:val="000000" w:themeColor="text1"/>
                <w:kern w:val="0"/>
                <w:sz w:val="24"/>
                <w:highlight w:val="none"/>
                <w14:textFill>
                  <w14:solidFill>
                    <w14:schemeClr w14:val="tx1"/>
                  </w14:solidFill>
                </w14:textFill>
              </w:rPr>
              <w:t>，该建设项目各项污染物治理得当，经有效处理后，可保证污染物稳定达标排放，对外环境影响较小，不会降低区域功能类别。由此可见，本项目从环境影响角度考虑是可行的。</w:t>
            </w:r>
          </w:p>
          <w:p>
            <w:pPr>
              <w:pStyle w:val="27"/>
              <w:spacing w:after="0" w:line="420" w:lineRule="exact"/>
              <w:ind w:left="59" w:leftChars="21" w:firstLine="482" w:firstLineChars="200"/>
              <w:rPr>
                <w:rFonts w:ascii="Times New Roman" w:hAnsi="Times New Roman" w:eastAsia="宋体"/>
                <w:b/>
                <w:caps w:val="0"/>
                <w:color w:val="000000" w:themeColor="text1"/>
                <w:kern w:val="0"/>
                <w:sz w:val="24"/>
                <w:highlight w:val="none"/>
                <w14:textFill>
                  <w14:solidFill>
                    <w14:schemeClr w14:val="tx1"/>
                  </w14:solidFill>
                </w14:textFill>
              </w:rPr>
            </w:pPr>
            <w:r>
              <w:rPr>
                <w:rFonts w:ascii="Times New Roman" w:hAnsi="Times New Roman" w:eastAsia="宋体"/>
                <w:b/>
                <w:caps w:val="0"/>
                <w:color w:val="000000" w:themeColor="text1"/>
                <w:kern w:val="0"/>
                <w:sz w:val="24"/>
                <w:highlight w:val="none"/>
                <w14:textFill>
                  <w14:solidFill>
                    <w14:schemeClr w14:val="tx1"/>
                  </w14:solidFill>
                </w14:textFill>
              </w:rPr>
              <w:t>8、建设项目“三同时”验收一览表</w:t>
            </w:r>
          </w:p>
          <w:p>
            <w:pPr>
              <w:spacing w:line="460" w:lineRule="exact"/>
              <w:jc w:val="center"/>
              <w:rPr>
                <w:rFonts w:ascii="Times New Roman" w:hAnsi="Times New Roman" w:eastAsia="宋体"/>
                <w:b/>
                <w:bCs/>
                <w:caps w:val="0"/>
                <w:color w:val="000000" w:themeColor="text1"/>
                <w:kern w:val="0"/>
                <w:sz w:val="24"/>
                <w:highlight w:val="none"/>
                <w14:textFill>
                  <w14:solidFill>
                    <w14:schemeClr w14:val="tx1"/>
                  </w14:solidFill>
                </w14:textFill>
              </w:rPr>
            </w:pPr>
            <w:r>
              <w:rPr>
                <w:rFonts w:ascii="Times New Roman" w:hAnsi="Times New Roman" w:eastAsia="宋体"/>
                <w:b/>
                <w:bCs/>
                <w:caps w:val="0"/>
                <w:color w:val="000000" w:themeColor="text1"/>
                <w:sz w:val="24"/>
                <w:highlight w:val="none"/>
                <w14:textFill>
                  <w14:solidFill>
                    <w14:schemeClr w14:val="tx1"/>
                  </w14:solidFill>
                </w14:textFill>
              </w:rPr>
              <w:t xml:space="preserve">表9-1  </w:t>
            </w:r>
            <w:r>
              <w:rPr>
                <w:rFonts w:ascii="Times New Roman" w:hAnsi="Times New Roman" w:eastAsia="宋体"/>
                <w:b/>
                <w:bCs/>
                <w:caps w:val="0"/>
                <w:color w:val="000000" w:themeColor="text1"/>
                <w:kern w:val="0"/>
                <w:sz w:val="24"/>
                <w:highlight w:val="none"/>
                <w14:textFill>
                  <w14:solidFill>
                    <w14:schemeClr w14:val="tx1"/>
                  </w14:solidFill>
                </w14:textFill>
              </w:rPr>
              <w:t>建设项目 “三同时”验收一览表</w:t>
            </w:r>
          </w:p>
          <w:tbl>
            <w:tblPr>
              <w:tblStyle w:val="32"/>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730"/>
              <w:gridCol w:w="1642"/>
              <w:gridCol w:w="2189"/>
              <w:gridCol w:w="730"/>
              <w:gridCol w:w="304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Align w:val="center"/>
                </w:tcPr>
                <w:p>
                  <w:pPr>
                    <w:snapToGrid w:val="0"/>
                    <w:ind w:left="-84" w:leftChars="-30" w:right="-84" w:rightChars="-30"/>
                    <w:jc w:val="center"/>
                    <w:rPr>
                      <w:rFonts w:ascii="Times New Roman" w:hAnsi="Times New Roman" w:eastAsia="宋体"/>
                      <w:b/>
                      <w:caps w:val="0"/>
                      <w:color w:val="000000" w:themeColor="text1"/>
                      <w:sz w:val="21"/>
                      <w:szCs w:val="21"/>
                      <w:highlight w:val="none"/>
                      <w14:textFill>
                        <w14:solidFill>
                          <w14:schemeClr w14:val="tx1"/>
                        </w14:solidFill>
                      </w14:textFill>
                    </w:rPr>
                  </w:pPr>
                  <w:bookmarkStart w:id="11" w:name="_Toc180898896"/>
                  <w:bookmarkStart w:id="12" w:name="_Toc180899217"/>
                  <w:r>
                    <w:rPr>
                      <w:rFonts w:ascii="Times New Roman" w:hAnsi="Times New Roman" w:eastAsia="宋体"/>
                      <w:b/>
                      <w:caps w:val="0"/>
                      <w:color w:val="000000" w:themeColor="text1"/>
                      <w:sz w:val="21"/>
                      <w:szCs w:val="21"/>
                      <w:highlight w:val="none"/>
                      <w14:textFill>
                        <w14:solidFill>
                          <w14:schemeClr w14:val="tx1"/>
                        </w14:solidFill>
                      </w14:textFill>
                    </w:rPr>
                    <w:t>类别</w:t>
                  </w:r>
                </w:p>
              </w:tc>
              <w:tc>
                <w:tcPr>
                  <w:tcW w:w="407" w:type="pct"/>
                  <w:vAlign w:val="center"/>
                </w:tcPr>
                <w:p>
                  <w:pPr>
                    <w:snapToGrid w:val="0"/>
                    <w:ind w:left="-84" w:leftChars="-30" w:right="-84" w:rightChars="-3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污染源</w:t>
                  </w:r>
                </w:p>
              </w:tc>
              <w:tc>
                <w:tcPr>
                  <w:tcW w:w="915" w:type="pct"/>
                  <w:vAlign w:val="center"/>
                </w:tcPr>
                <w:p>
                  <w:pPr>
                    <w:snapToGrid w:val="0"/>
                    <w:ind w:left="-84" w:leftChars="-30" w:right="-84" w:rightChars="-3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污染物</w:t>
                  </w:r>
                </w:p>
              </w:tc>
              <w:tc>
                <w:tcPr>
                  <w:tcW w:w="1220" w:type="pct"/>
                  <w:vAlign w:val="center"/>
                </w:tcPr>
                <w:p>
                  <w:pPr>
                    <w:snapToGrid w:val="0"/>
                    <w:ind w:left="-84" w:leftChars="-30" w:right="-84" w:rightChars="-3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治理措施</w:t>
                  </w:r>
                </w:p>
              </w:tc>
              <w:tc>
                <w:tcPr>
                  <w:tcW w:w="407" w:type="pct"/>
                  <w:vAlign w:val="center"/>
                </w:tcPr>
                <w:p>
                  <w:pPr>
                    <w:snapToGrid w:val="0"/>
                    <w:ind w:left="-84" w:leftChars="-30" w:right="-84" w:rightChars="-3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治理效果</w:t>
                  </w:r>
                </w:p>
              </w:tc>
              <w:tc>
                <w:tcPr>
                  <w:tcW w:w="1698" w:type="pct"/>
                  <w:vAlign w:val="center"/>
                </w:tcPr>
                <w:p>
                  <w:pPr>
                    <w:snapToGrid w:val="0"/>
                    <w:ind w:left="-84" w:leftChars="-30" w:right="-84" w:rightChars="-30"/>
                    <w:jc w:val="center"/>
                    <w:rPr>
                      <w:rFonts w:ascii="Times New Roman" w:hAnsi="Times New Roman" w:eastAsia="宋体"/>
                      <w:b/>
                      <w:caps w:val="0"/>
                      <w:color w:val="000000" w:themeColor="text1"/>
                      <w:sz w:val="21"/>
                      <w:szCs w:val="21"/>
                      <w:highlight w:val="none"/>
                      <w14:textFill>
                        <w14:solidFill>
                          <w14:schemeClr w14:val="tx1"/>
                        </w14:solidFill>
                      </w14:textFill>
                    </w:rPr>
                  </w:pPr>
                  <w:r>
                    <w:rPr>
                      <w:rFonts w:ascii="Times New Roman" w:hAnsi="Times New Roman" w:eastAsia="宋体"/>
                      <w:b/>
                      <w:caps w:val="0"/>
                      <w:color w:val="000000" w:themeColor="text1"/>
                      <w:sz w:val="21"/>
                      <w:szCs w:val="21"/>
                      <w:highlight w:val="none"/>
                      <w14:textFill>
                        <w14:solidFill>
                          <w14:schemeClr w14:val="tx1"/>
                        </w14:solidFill>
                      </w14:textFill>
                    </w:rPr>
                    <w:t>验收内容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restar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废气治理措施</w:t>
                  </w:r>
                </w:p>
              </w:tc>
              <w:tc>
                <w:tcPr>
                  <w:tcW w:w="407" w:type="pct"/>
                  <w:vAlign w:val="center"/>
                </w:tcPr>
                <w:p>
                  <w:pPr>
                    <w:ind w:left="-84" w:leftChars="-30" w:right="-84" w:rightChars="-3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抛丸</w:t>
                  </w:r>
                </w:p>
              </w:tc>
              <w:tc>
                <w:tcPr>
                  <w:tcW w:w="915" w:type="pct"/>
                  <w:vAlign w:val="center"/>
                </w:tcPr>
                <w:p>
                  <w:pPr>
                    <w:ind w:left="-84" w:leftChars="-30" w:right="-84" w:rightChars="-3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颗粒物</w:t>
                  </w:r>
                </w:p>
              </w:tc>
              <w:tc>
                <w:tcPr>
                  <w:tcW w:w="1220" w:type="pct"/>
                  <w:vAlign w:val="center"/>
                </w:tcPr>
                <w:p>
                  <w:pPr>
                    <w:ind w:left="-84" w:leftChars="-30" w:right="-84" w:rightChars="-30"/>
                    <w:jc w:val="center"/>
                    <w:rPr>
                      <w:rFonts w:ascii="Times New Roman" w:hAnsi="Times New Roman" w:eastAsia="宋体" w:cs="Times New Roman"/>
                      <w:caps w:val="0"/>
                      <w:color w:val="000000" w:themeColor="text1"/>
                      <w:sz w:val="21"/>
                      <w:szCs w:val="21"/>
                      <w:highlight w:val="none"/>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cs="Times New Roman"/>
                      <w:caps w:val="0"/>
                      <w:color w:val="000000" w:themeColor="text1"/>
                      <w:sz w:val="21"/>
                      <w:szCs w:val="21"/>
                      <w:highlight w:val="none"/>
                      <w14:textFill>
                        <w14:solidFill>
                          <w14:schemeClr w14:val="tx1"/>
                        </w14:solidFill>
                      </w14:textFill>
                    </w:rPr>
                    <w:t>套脉冲式布袋除尘器+15m高排气筒</w:t>
                  </w:r>
                  <w:r>
                    <w:rPr>
                      <w:rFonts w:ascii="Times New Roman" w:hAnsi="Times New Roman" w:eastAsia="宋体" w:cs="Times New Roman"/>
                      <w:caps w:val="0"/>
                      <w:color w:val="000000" w:themeColor="text1"/>
                      <w:sz w:val="21"/>
                      <w:szCs w:val="21"/>
                      <w:highlight w:val="none"/>
                      <w14:textFill>
                        <w14:solidFill>
                          <w14:schemeClr w14:val="tx1"/>
                        </w14:solidFill>
                      </w14:textFill>
                    </w:rPr>
                    <w:t>（</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6</w:t>
                  </w:r>
                  <w:r>
                    <w:rPr>
                      <w:rFonts w:ascii="Times New Roman" w:hAnsi="Times New Roman" w:eastAsia="宋体" w:cs="Times New Roman"/>
                      <w:caps w:val="0"/>
                      <w:color w:val="000000" w:themeColor="text1"/>
                      <w:sz w:val="21"/>
                      <w:szCs w:val="21"/>
                      <w:highlight w:val="none"/>
                      <w14:textFill>
                        <w14:solidFill>
                          <w14:schemeClr w14:val="tx1"/>
                        </w14:solidFill>
                      </w14:textFill>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达标排放</w:t>
                  </w:r>
                </w:p>
              </w:tc>
              <w:tc>
                <w:tcPr>
                  <w:tcW w:w="1698" w:type="pct"/>
                  <w:vMerge w:val="restart"/>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满足上海市《大气污染物综合排放标准》（DB 31/933-2015）表1大气污染物项目排放限值</w:t>
                  </w:r>
                  <w:r>
                    <w:rPr>
                      <w:rFonts w:hint="eastAsia" w:ascii="Times New Roman" w:hAnsi="Times New Roman" w:eastAsia="宋体"/>
                      <w:caps w:val="0"/>
                      <w:color w:val="000000" w:themeColor="text1"/>
                      <w:sz w:val="21"/>
                      <w:szCs w:val="21"/>
                      <w:highlight w:val="none"/>
                      <w14:textFill>
                        <w14:solidFill>
                          <w14:schemeClr w14:val="tx1"/>
                        </w14:solidFill>
                      </w14:textFill>
                    </w:rPr>
                    <w:t>、表 2 厂区内大气污染物监控点浓度限值</w:t>
                  </w:r>
                  <w:r>
                    <w:rPr>
                      <w:rFonts w:ascii="Times New Roman" w:hAnsi="Times New Roman" w:eastAsia="宋体"/>
                      <w:caps w:val="0"/>
                      <w:color w:val="000000" w:themeColor="text1"/>
                      <w:sz w:val="21"/>
                      <w:szCs w:val="21"/>
                      <w:highlight w:val="none"/>
                      <w14:textFill>
                        <w14:solidFill>
                          <w14:schemeClr w14:val="tx1"/>
                        </w14:solidFill>
                      </w14:textFill>
                    </w:rPr>
                    <w:t>及表3厂界大气污染物监控点浓度限值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07" w:type="pct"/>
                  <w:vAlign w:val="center"/>
                </w:tcPr>
                <w:p>
                  <w:pPr>
                    <w:ind w:left="-84" w:leftChars="-30" w:right="-84" w:rightChars="-3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浸漆</w:t>
                  </w:r>
                </w:p>
              </w:tc>
              <w:tc>
                <w:tcPr>
                  <w:tcW w:w="915" w:type="pct"/>
                  <w:vAlign w:val="center"/>
                </w:tcPr>
                <w:p>
                  <w:pPr>
                    <w:ind w:left="-84" w:leftChars="-30" w:right="-84" w:rightChars="-3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非甲烷总烃、二甲苯</w:t>
                  </w:r>
                </w:p>
              </w:tc>
              <w:tc>
                <w:tcPr>
                  <w:tcW w:w="1220" w:type="pct"/>
                  <w:vMerge w:val="restart"/>
                  <w:vAlign w:val="center"/>
                </w:tcPr>
                <w:p>
                  <w:pPr>
                    <w:ind w:left="-84" w:leftChars="-30" w:right="-84" w:rightChars="-3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1</w:t>
                  </w:r>
                  <w:r>
                    <w:rPr>
                      <w:rFonts w:hint="eastAsia" w:ascii="Times New Roman" w:hAnsi="Times New Roman" w:eastAsia="宋体" w:cs="Times New Roman"/>
                      <w:caps w:val="0"/>
                      <w:color w:val="000000" w:themeColor="text1"/>
                      <w:sz w:val="21"/>
                      <w:szCs w:val="21"/>
                      <w:highlight w:val="none"/>
                      <w14:textFill>
                        <w14:solidFill>
                          <w14:schemeClr w14:val="tx1"/>
                        </w14:solidFill>
                      </w14:textFill>
                    </w:rPr>
                    <w:t>套</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两级活性炭装置</w:t>
                  </w:r>
                  <w:r>
                    <w:rPr>
                      <w:rFonts w:hint="eastAsia" w:ascii="Times New Roman" w:hAnsi="Times New Roman" w:eastAsia="宋体" w:cs="Times New Roman"/>
                      <w:caps w:val="0"/>
                      <w:color w:val="000000" w:themeColor="text1"/>
                      <w:sz w:val="21"/>
                      <w:szCs w:val="21"/>
                      <w:highlight w:val="none"/>
                      <w14:textFill>
                        <w14:solidFill>
                          <w14:schemeClr w14:val="tx1"/>
                        </w14:solidFill>
                      </w14:textFill>
                    </w:rPr>
                    <w:t>+15m高排气筒</w:t>
                  </w:r>
                  <w:r>
                    <w:rPr>
                      <w:rFonts w:ascii="Times New Roman" w:hAnsi="Times New Roman" w:eastAsia="宋体" w:cs="Times New Roman"/>
                      <w:caps w:val="0"/>
                      <w:color w:val="000000" w:themeColor="text1"/>
                      <w:sz w:val="21"/>
                      <w:szCs w:val="21"/>
                      <w:highlight w:val="none"/>
                      <w14:textFill>
                        <w14:solidFill>
                          <w14:schemeClr w14:val="tx1"/>
                        </w14:solidFill>
                      </w14:textFill>
                    </w:rPr>
                    <w:t>（</w:t>
                  </w: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7</w:t>
                  </w:r>
                  <w:r>
                    <w:rPr>
                      <w:rFonts w:ascii="Times New Roman" w:hAnsi="Times New Roman" w:eastAsia="宋体" w:cs="Times New Roman"/>
                      <w:caps w:val="0"/>
                      <w:color w:val="000000" w:themeColor="text1"/>
                      <w:sz w:val="21"/>
                      <w:szCs w:val="21"/>
                      <w:highlight w:val="none"/>
                      <w14:textFill>
                        <w14:solidFill>
                          <w14:schemeClr w14:val="tx1"/>
                        </w14:solidFill>
                      </w14:textFill>
                    </w:rPr>
                    <w:t>#）</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达标排放</w:t>
                  </w:r>
                </w:p>
              </w:tc>
              <w:tc>
                <w:tcPr>
                  <w:tcW w:w="1698" w:type="pct"/>
                  <w:vMerge w:val="continue"/>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407" w:type="pct"/>
                  <w:vAlign w:val="center"/>
                </w:tcPr>
                <w:p>
                  <w:pPr>
                    <w:ind w:left="-84" w:leftChars="-30" w:right="-84" w:rightChars="-3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焚烧炉</w:t>
                  </w:r>
                </w:p>
              </w:tc>
              <w:tc>
                <w:tcPr>
                  <w:tcW w:w="915" w:type="pct"/>
                  <w:vAlign w:val="center"/>
                </w:tcPr>
                <w:p>
                  <w:pPr>
                    <w:ind w:left="-84" w:leftChars="-30" w:right="-84" w:rightChars="-30"/>
                    <w:jc w:val="center"/>
                    <w:rPr>
                      <w:rFonts w:hint="default"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t>非甲烷总烃</w:t>
                  </w:r>
                </w:p>
              </w:tc>
              <w:tc>
                <w:tcPr>
                  <w:tcW w:w="1220" w:type="pct"/>
                  <w:vMerge w:val="continue"/>
                  <w:tcBorders/>
                  <w:vAlign w:val="center"/>
                </w:tcPr>
                <w:p>
                  <w:pPr>
                    <w:ind w:left="-84" w:leftChars="-30" w:right="-84" w:rightChars="-30"/>
                    <w:jc w:val="center"/>
                    <w:rPr>
                      <w:rFonts w:hint="eastAsia" w:ascii="Times New Roman" w:hAnsi="Times New Roman" w:eastAsia="宋体" w:cs="Times New Roman"/>
                      <w:caps w:val="0"/>
                      <w:color w:val="000000" w:themeColor="text1"/>
                      <w:sz w:val="21"/>
                      <w:szCs w:val="21"/>
                      <w:highlight w:val="none"/>
                      <w:lang w:val="en-US" w:eastAsia="zh-CN"/>
                      <w14:textFill>
                        <w14:solidFill>
                          <w14:schemeClr w14:val="tx1"/>
                        </w14:solidFill>
                      </w14:textFill>
                    </w:rPr>
                  </w:pP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达标排放</w:t>
                  </w:r>
                </w:p>
              </w:tc>
              <w:tc>
                <w:tcPr>
                  <w:tcW w:w="1698" w:type="pct"/>
                  <w:vMerge w:val="continue"/>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废水治理措施</w:t>
                  </w:r>
                </w:p>
              </w:tc>
              <w:tc>
                <w:tcPr>
                  <w:tcW w:w="407" w:type="pct"/>
                  <w:vAlign w:val="center"/>
                </w:tcPr>
                <w:p>
                  <w:pPr>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生活污水</w:t>
                  </w:r>
                </w:p>
              </w:tc>
              <w:tc>
                <w:tcPr>
                  <w:tcW w:w="915" w:type="pct"/>
                  <w:vAlign w:val="center"/>
                </w:tcPr>
                <w:p>
                  <w:pPr>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COD、BOD</w:t>
                  </w:r>
                  <w:r>
                    <w:rPr>
                      <w:rFonts w:ascii="Times New Roman" w:hAnsi="Times New Roman" w:eastAsia="宋体"/>
                      <w:caps w:val="0"/>
                      <w:color w:val="000000" w:themeColor="text1"/>
                      <w:sz w:val="21"/>
                      <w:szCs w:val="21"/>
                      <w:highlight w:val="none"/>
                      <w:vertAlign w:val="subscript"/>
                      <w14:textFill>
                        <w14:solidFill>
                          <w14:schemeClr w14:val="tx1"/>
                        </w14:solidFill>
                      </w14:textFill>
                    </w:rPr>
                    <w:t>5</w:t>
                  </w:r>
                  <w:r>
                    <w:rPr>
                      <w:rFonts w:ascii="Times New Roman" w:hAnsi="Times New Roman" w:eastAsia="宋体"/>
                      <w:caps w:val="0"/>
                      <w:color w:val="000000" w:themeColor="text1"/>
                      <w:sz w:val="21"/>
                      <w:szCs w:val="21"/>
                      <w:highlight w:val="none"/>
                      <w14:textFill>
                        <w14:solidFill>
                          <w14:schemeClr w14:val="tx1"/>
                        </w14:solidFill>
                      </w14:textFill>
                    </w:rPr>
                    <w:t>、氨氮、SS、pH</w:t>
                  </w:r>
                </w:p>
              </w:tc>
              <w:tc>
                <w:tcPr>
                  <w:tcW w:w="1220" w:type="pct"/>
                  <w:vAlign w:val="center"/>
                </w:tcPr>
                <w:p>
                  <w:pPr>
                    <w:snapToGrid w:val="0"/>
                    <w:ind w:left="-84" w:leftChars="-30" w:right="-84" w:rightChars="-30"/>
                    <w:jc w:val="center"/>
                    <w:rPr>
                      <w:rFonts w:hint="default" w:ascii="Times New Roman" w:hAnsi="Times New Roman" w:eastAsia="宋体"/>
                      <w:caps w:val="0"/>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化粪池、雨污管网</w:t>
                  </w:r>
                </w:p>
              </w:tc>
              <w:tc>
                <w:tcPr>
                  <w:tcW w:w="407"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达标排放</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满足《污水综合排放标准》（GB8978-1996）表4</w:t>
                  </w:r>
                  <w:r>
                    <w:rPr>
                      <w:rFonts w:hint="eastAsia" w:ascii="Times New Roman" w:hAnsi="Times New Roman" w:eastAsia="宋体"/>
                      <w:caps w:val="0"/>
                      <w:color w:val="000000" w:themeColor="text1"/>
                      <w:sz w:val="21"/>
                      <w:szCs w:val="21"/>
                      <w:highlight w:val="none"/>
                      <w14:textFill>
                        <w14:solidFill>
                          <w14:schemeClr w14:val="tx1"/>
                        </w14:solidFill>
                      </w14:textFill>
                    </w:rPr>
                    <w:t>中</w:t>
                  </w:r>
                  <w:r>
                    <w:rPr>
                      <w:rFonts w:hint="eastAsia" w:ascii="Times New Roman" w:hAnsi="Times New Roman" w:eastAsia="宋体"/>
                      <w:caps w:val="0"/>
                      <w:color w:val="000000" w:themeColor="text1"/>
                      <w:sz w:val="21"/>
                      <w:szCs w:val="21"/>
                      <w:highlight w:val="none"/>
                      <w:lang w:val="en-US" w:eastAsia="zh-CN"/>
                      <w14:textFill>
                        <w14:solidFill>
                          <w14:schemeClr w14:val="tx1"/>
                        </w14:solidFill>
                      </w14:textFill>
                    </w:rPr>
                    <w:t>三</w:t>
                  </w:r>
                  <w:r>
                    <w:rPr>
                      <w:rFonts w:ascii="Times New Roman" w:hAnsi="Times New Roman" w:eastAsia="宋体"/>
                      <w:caps w:val="0"/>
                      <w:color w:val="000000" w:themeColor="text1"/>
                      <w:sz w:val="21"/>
                      <w:szCs w:val="21"/>
                      <w:highlight w:val="none"/>
                      <w14:textFill>
                        <w14:solidFill>
                          <w14:schemeClr w14:val="tx1"/>
                        </w14:solidFill>
                      </w14:textFill>
                    </w:rPr>
                    <w:t>级标准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噪声防治措施</w:t>
                  </w:r>
                </w:p>
              </w:tc>
              <w:tc>
                <w:tcPr>
                  <w:tcW w:w="407"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生产设备</w:t>
                  </w:r>
                </w:p>
              </w:tc>
              <w:tc>
                <w:tcPr>
                  <w:tcW w:w="915"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噪声</w:t>
                  </w:r>
                </w:p>
              </w:tc>
              <w:tc>
                <w:tcPr>
                  <w:tcW w:w="1220"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设备减震垫、厂房隔声等</w:t>
                  </w:r>
                </w:p>
              </w:tc>
              <w:tc>
                <w:tcPr>
                  <w:tcW w:w="407"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达标排放</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达到《工业企业厂界环境噪声排放标准》（GB12348-2008）3类标准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restart"/>
                  <w:vAlign w:val="center"/>
                </w:tcPr>
                <w:p>
                  <w:pPr>
                    <w:snapToGrid w:val="0"/>
                    <w:ind w:right="-84" w:rightChars="-30"/>
                    <w:jc w:val="both"/>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固废治理措施</w:t>
                  </w:r>
                </w:p>
              </w:tc>
              <w:tc>
                <w:tcPr>
                  <w:tcW w:w="1322" w:type="pct"/>
                  <w:gridSpan w:val="2"/>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生活垃圾</w:t>
                  </w:r>
                </w:p>
              </w:tc>
              <w:tc>
                <w:tcPr>
                  <w:tcW w:w="1220"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垃圾收集后环卫部门清运处理</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安全处置</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合理处置，不产生二次污染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322" w:type="pct"/>
                  <w:gridSpan w:val="2"/>
                  <w:vAlign w:val="center"/>
                </w:tcPr>
                <w:p>
                  <w:pPr>
                    <w:autoSpaceDE w:val="0"/>
                    <w:autoSpaceDN w:val="0"/>
                    <w:adjustRightInd w:val="0"/>
                    <w:snapToGrid w:val="0"/>
                    <w:ind w:left="-84" w:leftChars="-30" w:right="-84" w:rightChars="-30"/>
                    <w:jc w:val="center"/>
                    <w:rPr>
                      <w:rFonts w:ascii="Times New Roman" w:hAnsi="Times New Roman" w:eastAsia="宋体"/>
                      <w:caps w:val="0"/>
                      <w:color w:val="000000" w:themeColor="text1"/>
                      <w:spacing w:val="-1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一般固废</w:t>
                  </w:r>
                </w:p>
              </w:tc>
              <w:tc>
                <w:tcPr>
                  <w:tcW w:w="1220"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定期外售综合利用</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安全处置</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合理处置，不产生二次污染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Merge w:val="continue"/>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p>
              </w:tc>
              <w:tc>
                <w:tcPr>
                  <w:tcW w:w="1322" w:type="pct"/>
                  <w:gridSpan w:val="2"/>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危险废物</w:t>
                  </w:r>
                </w:p>
              </w:tc>
              <w:tc>
                <w:tcPr>
                  <w:tcW w:w="1220"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设危废暂存库，全封闭设置，并采取防风、防雨、防渗和防腐措施；危废及时委托有资质单位处理。</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安全处置</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符合《危险废物贮存污染控制标准》（GB18597-2001）其修改单中相关要求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地下水</w:t>
                  </w:r>
                </w:p>
              </w:tc>
              <w:tc>
                <w:tcPr>
                  <w:tcW w:w="1322" w:type="pct"/>
                  <w:gridSpan w:val="2"/>
                  <w:vAlign w:val="center"/>
                </w:tcPr>
                <w:p>
                  <w:pPr>
                    <w:pStyle w:val="6"/>
                    <w:snapToGrid w:val="0"/>
                    <w:spacing w:before="120" w:after="120"/>
                    <w:ind w:left="-84" w:leftChars="-30" w:right="-84" w:rightChars="-30" w:firstLine="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w:t>
                  </w:r>
                </w:p>
              </w:tc>
              <w:tc>
                <w:tcPr>
                  <w:tcW w:w="1220"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生产车间一般防渗，危废间重点防渗</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满足环保要求</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分区防渗，满足防渗要求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50"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排污口</w:t>
                  </w:r>
                </w:p>
              </w:tc>
              <w:tc>
                <w:tcPr>
                  <w:tcW w:w="1322" w:type="pct"/>
                  <w:gridSpan w:val="2"/>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w:t>
                  </w:r>
                </w:p>
              </w:tc>
              <w:tc>
                <w:tcPr>
                  <w:tcW w:w="1220"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规范建设排污口</w:t>
                  </w:r>
                </w:p>
              </w:tc>
              <w:tc>
                <w:tcPr>
                  <w:tcW w:w="407" w:type="pct"/>
                  <w:vAlign w:val="center"/>
                </w:tcPr>
                <w:p>
                  <w:pPr>
                    <w:adjustRightInd w:val="0"/>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满足环保要求</w:t>
                  </w:r>
                </w:p>
              </w:tc>
              <w:tc>
                <w:tcPr>
                  <w:tcW w:w="1698" w:type="pct"/>
                  <w:vAlign w:val="center"/>
                </w:tcPr>
                <w:p>
                  <w:pPr>
                    <w:snapToGrid w:val="0"/>
                    <w:ind w:left="-84" w:leftChars="-30" w:right="-84" w:rightChars="-30"/>
                    <w:jc w:val="center"/>
                    <w:rPr>
                      <w:rFonts w:ascii="Times New Roman" w:hAnsi="Times New Roman" w:eastAsia="宋体"/>
                      <w:caps w:val="0"/>
                      <w:color w:val="000000" w:themeColor="text1"/>
                      <w:sz w:val="21"/>
                      <w:szCs w:val="21"/>
                      <w:highlight w:val="none"/>
                      <w14:textFill>
                        <w14:solidFill>
                          <w14:schemeClr w14:val="tx1"/>
                        </w14:solidFill>
                      </w14:textFill>
                    </w:rPr>
                  </w:pPr>
                  <w:r>
                    <w:rPr>
                      <w:rFonts w:ascii="Times New Roman" w:hAnsi="Times New Roman" w:eastAsia="宋体"/>
                      <w:caps w:val="0"/>
                      <w:color w:val="000000" w:themeColor="text1"/>
                      <w:sz w:val="21"/>
                      <w:szCs w:val="21"/>
                      <w:highlight w:val="none"/>
                      <w14:textFill>
                        <w14:solidFill>
                          <w14:schemeClr w14:val="tx1"/>
                        </w14:solidFill>
                      </w14:textFill>
                    </w:rPr>
                    <w:t>排污口规范化建设</w:t>
                  </w:r>
                </w:p>
              </w:tc>
            </w:tr>
            <w:bookmarkEnd w:id="11"/>
            <w:bookmarkEnd w:id="12"/>
          </w:tbl>
          <w:p>
            <w:pPr>
              <w:spacing w:line="48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 xml:space="preserve">二、建议  </w:t>
            </w:r>
          </w:p>
          <w:p>
            <w:pPr>
              <w:spacing w:line="360" w:lineRule="auto"/>
              <w:ind w:firstLine="57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1、建设单位应认真将各项环保防治措施落实到位，以保证项目投入正式运营后能最大程度地减少对环境的影响。</w:t>
            </w:r>
          </w:p>
          <w:p>
            <w:pPr>
              <w:spacing w:line="360" w:lineRule="auto"/>
              <w:ind w:firstLine="57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2、加强运营过程的各项目污染防治措施和设施的控制和使用工作，充分利用项目区内可用的污染防治措施进行环境保护，做到项目的社会效益、环境效益和经济效益相统一和最大化。</w:t>
            </w:r>
          </w:p>
          <w:p>
            <w:pPr>
              <w:spacing w:line="360" w:lineRule="auto"/>
              <w:ind w:firstLine="57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3、加强和落实厂区的固废的管理工作，落实固废的分类收集工作，严禁乱排乱放乱倒，及时进行回收处理。确保资源化和无害化的实现，保证项目区清洁卫生和安全。</w:t>
            </w:r>
          </w:p>
          <w:p>
            <w:pPr>
              <w:spacing w:line="360" w:lineRule="auto"/>
              <w:ind w:firstLine="600" w:firstLineChars="25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4、加强管理，提高员工环保意识，确保各项治理设施正常稳定运行。</w:t>
            </w:r>
          </w:p>
          <w:p>
            <w:pPr>
              <w:spacing w:line="480" w:lineRule="exact"/>
              <w:rPr>
                <w:rFonts w:ascii="Times New Roman" w:hAnsi="Times New Roman" w:eastAsia="宋体"/>
                <w:caps w:val="0"/>
                <w:color w:val="000000" w:themeColor="text1"/>
                <w:sz w:val="24"/>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93" w:hRule="atLeast"/>
          <w:jc w:val="center"/>
        </w:trPr>
        <w:tc>
          <w:tcPr>
            <w:tcW w:w="9181" w:type="dxa"/>
          </w:tcPr>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预审意见：</w:t>
            </w: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 xml:space="preserve">                                          </w:t>
            </w: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经办人：                                           公   章</w:t>
            </w: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审核人：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72" w:hRule="atLeast"/>
          <w:jc w:val="center"/>
        </w:trPr>
        <w:tc>
          <w:tcPr>
            <w:tcW w:w="9181" w:type="dxa"/>
          </w:tcPr>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下一级环境保护行政主管部门审查意见：</w:t>
            </w: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 xml:space="preserve">                                         </w:t>
            </w: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经办人：                                          公   章</w:t>
            </w: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审核人：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52" w:hRule="atLeast"/>
          <w:jc w:val="center"/>
        </w:trPr>
        <w:tc>
          <w:tcPr>
            <w:tcW w:w="9181" w:type="dxa"/>
          </w:tcPr>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审批意见：</w:t>
            </w: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 xml:space="preserve">                                                 公   章</w:t>
            </w: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r>
              <w:rPr>
                <w:rFonts w:ascii="Times New Roman" w:hAnsi="Times New Roman" w:eastAsia="宋体"/>
                <w:b/>
                <w:caps w:val="0"/>
                <w:color w:val="000000" w:themeColor="text1"/>
                <w:szCs w:val="28"/>
                <w:highlight w:val="none"/>
                <w14:textFill>
                  <w14:solidFill>
                    <w14:schemeClr w14:val="tx1"/>
                  </w14:solidFill>
                </w14:textFill>
              </w:rPr>
              <w:t>经办人：                                       年   月   日</w:t>
            </w:r>
          </w:p>
          <w:p>
            <w:pPr>
              <w:spacing w:line="440" w:lineRule="exact"/>
              <w:rPr>
                <w:rFonts w:ascii="Times New Roman" w:hAnsi="Times New Roman" w:eastAsia="宋体"/>
                <w:b/>
                <w:caps w:val="0"/>
                <w:color w:val="000000" w:themeColor="text1"/>
                <w:szCs w:val="28"/>
                <w:highlight w:val="none"/>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452" w:hRule="atLeast"/>
          <w:jc w:val="center"/>
        </w:trPr>
        <w:tc>
          <w:tcPr>
            <w:tcW w:w="9181" w:type="dxa"/>
          </w:tcPr>
          <w:p>
            <w:pPr>
              <w:spacing w:line="440" w:lineRule="exact"/>
              <w:jc w:val="center"/>
              <w:rPr>
                <w:rFonts w:ascii="Times New Roman" w:hAnsi="Times New Roman" w:eastAsia="宋体"/>
                <w:b/>
                <w:caps w:val="0"/>
                <w:color w:val="000000" w:themeColor="text1"/>
                <w:sz w:val="24"/>
                <w:highlight w:val="none"/>
                <w14:textFill>
                  <w14:solidFill>
                    <w14:schemeClr w14:val="tx1"/>
                  </w14:solidFill>
                </w14:textFill>
              </w:rPr>
            </w:pPr>
            <w:r>
              <w:rPr>
                <w:rFonts w:ascii="Times New Roman" w:hAnsi="Times New Roman" w:eastAsia="宋体"/>
                <w:b/>
                <w:caps w:val="0"/>
                <w:color w:val="000000" w:themeColor="text1"/>
                <w:sz w:val="24"/>
                <w:highlight w:val="none"/>
                <w14:textFill>
                  <w14:solidFill>
                    <w14:schemeClr w14:val="tx1"/>
                  </w14:solidFill>
                </w14:textFill>
              </w:rPr>
              <w:t>注    释</w:t>
            </w:r>
          </w:p>
          <w:p>
            <w:pPr>
              <w:spacing w:line="440" w:lineRule="exact"/>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一、本报告表应附以下附件、附图：</w:t>
            </w:r>
          </w:p>
          <w:p>
            <w:pPr>
              <w:spacing w:line="440" w:lineRule="exact"/>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图</w:t>
            </w:r>
            <w:r>
              <w:rPr>
                <w:rFonts w:ascii="Times New Roman" w:hAnsi="Times New Roman" w:eastAsia="宋体"/>
                <w:caps w:val="0"/>
                <w:color w:val="000000" w:themeColor="text1"/>
                <w:sz w:val="24"/>
                <w:highlight w:val="none"/>
                <w14:textFill>
                  <w14:solidFill>
                    <w14:schemeClr w14:val="tx1"/>
                  </w14:solidFill>
                </w14:textFill>
              </w:rPr>
              <w:t xml:space="preserve">1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项目所在位置图</w:t>
            </w:r>
          </w:p>
          <w:p>
            <w:pPr>
              <w:spacing w:line="440" w:lineRule="exact"/>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图</w:t>
            </w:r>
            <w:r>
              <w:rPr>
                <w:rFonts w:ascii="Times New Roman" w:hAnsi="Times New Roman" w:eastAsia="宋体"/>
                <w:caps w:val="0"/>
                <w:color w:val="000000" w:themeColor="text1"/>
                <w:sz w:val="24"/>
                <w:highlight w:val="none"/>
                <w14:textFill>
                  <w14:solidFill>
                    <w14:schemeClr w14:val="tx1"/>
                  </w14:solidFill>
                </w14:textFill>
              </w:rPr>
              <w:t xml:space="preserve">2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周边环境概况图</w:t>
            </w:r>
          </w:p>
          <w:p>
            <w:pPr>
              <w:spacing w:line="440" w:lineRule="exact"/>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图</w:t>
            </w:r>
            <w:r>
              <w:rPr>
                <w:rFonts w:ascii="Times New Roman" w:hAnsi="Times New Roman" w:eastAsia="宋体"/>
                <w:caps w:val="0"/>
                <w:color w:val="000000" w:themeColor="text1"/>
                <w:sz w:val="24"/>
                <w:highlight w:val="none"/>
                <w14:textFill>
                  <w14:solidFill>
                    <w14:schemeClr w14:val="tx1"/>
                  </w14:solidFill>
                </w14:textFill>
              </w:rPr>
              <w:t xml:space="preserve">3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厂房平面布置图</w:t>
            </w:r>
          </w:p>
          <w:p>
            <w:pPr>
              <w:spacing w:line="440" w:lineRule="exact"/>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图</w:t>
            </w:r>
            <w:r>
              <w:rPr>
                <w:rFonts w:ascii="Times New Roman" w:hAnsi="Times New Roman" w:eastAsia="宋体"/>
                <w:caps w:val="0"/>
                <w:color w:val="000000" w:themeColor="text1"/>
                <w:sz w:val="24"/>
                <w:highlight w:val="none"/>
                <w14:textFill>
                  <w14:solidFill>
                    <w14:schemeClr w14:val="tx1"/>
                  </w14:solidFill>
                </w14:textFill>
              </w:rPr>
              <w:t xml:space="preserve">4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生态保护红线</w:t>
            </w:r>
          </w:p>
          <w:p>
            <w:pPr>
              <w:spacing w:line="440" w:lineRule="exact"/>
              <w:ind w:firstLine="480" w:firstLineChars="200"/>
              <w:rPr>
                <w:rFonts w:hint="eastAsia"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图</w:t>
            </w:r>
            <w:r>
              <w:rPr>
                <w:rFonts w:ascii="Times New Roman" w:hAnsi="Times New Roman" w:eastAsia="宋体"/>
                <w:caps w:val="0"/>
                <w:color w:val="000000" w:themeColor="text1"/>
                <w:sz w:val="24"/>
                <w:highlight w:val="none"/>
                <w14:textFill>
                  <w14:solidFill>
                    <w14:schemeClr w14:val="tx1"/>
                  </w14:solidFill>
                </w14:textFill>
              </w:rPr>
              <w:t xml:space="preserve">5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规划图</w:t>
            </w:r>
          </w:p>
          <w:p>
            <w:pPr>
              <w:pStyle w:val="40"/>
              <w:rPr>
                <w:rFonts w:ascii="Times New Roman" w:hAnsi="Times New Roman" w:eastAsia="宋体" w:cs="Times New Roman"/>
                <w:caps w:val="0"/>
                <w:color w:val="000000" w:themeColor="text1"/>
                <w:highlight w:val="none"/>
                <w14:textFill>
                  <w14:solidFill>
                    <w14:schemeClr w14:val="tx1"/>
                  </w14:solidFill>
                </w14:textFill>
              </w:rPr>
            </w:pPr>
          </w:p>
          <w:p>
            <w:pPr>
              <w:spacing w:line="44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附件1  环评委托书</w:t>
            </w:r>
          </w:p>
          <w:p>
            <w:pPr>
              <w:spacing w:line="440" w:lineRule="exact"/>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 xml:space="preserve">附件2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危废承诺</w:t>
            </w:r>
          </w:p>
          <w:p>
            <w:pPr>
              <w:spacing w:line="440" w:lineRule="exact"/>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 xml:space="preserve">附件3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真实性承诺</w:t>
            </w:r>
          </w:p>
          <w:p>
            <w:pPr>
              <w:spacing w:line="440" w:lineRule="exact"/>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 xml:space="preserve">附件4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项目备案</w:t>
            </w:r>
          </w:p>
          <w:p>
            <w:pPr>
              <w:spacing w:line="440" w:lineRule="exact"/>
              <w:ind w:firstLine="480" w:firstLineChars="200"/>
              <w:rPr>
                <w:rFonts w:hint="eastAsia" w:ascii="Times New Roman" w:hAnsi="Times New Roman" w:eastAsia="宋体"/>
                <w:caps w:val="0"/>
                <w:color w:val="000000" w:themeColor="text1"/>
                <w:sz w:val="24"/>
                <w:highlight w:val="none"/>
                <w:lang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 xml:space="preserve">附件5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检测报告</w:t>
            </w:r>
          </w:p>
          <w:p>
            <w:pPr>
              <w:spacing w:line="440" w:lineRule="exact"/>
              <w:ind w:firstLine="480" w:firstLineChars="200"/>
              <w:rPr>
                <w:rFonts w:hint="eastAsia" w:ascii="Times New Roman" w:hAnsi="Times New Roman" w:eastAsia="宋体"/>
                <w:caps w:val="0"/>
                <w:color w:val="000000" w:themeColor="text1"/>
                <w:sz w:val="24"/>
                <w:highlight w:val="none"/>
                <w:lang w:eastAsia="zh-CN"/>
                <w14:textFill>
                  <w14:solidFill>
                    <w14:schemeClr w14:val="tx1"/>
                  </w14:solidFill>
                </w14:textFill>
              </w:rPr>
            </w:pPr>
            <w:r>
              <w:rPr>
                <w:rFonts w:hint="eastAsia" w:ascii="Times New Roman" w:hAnsi="Times New Roman" w:eastAsia="宋体"/>
                <w:caps w:val="0"/>
                <w:color w:val="000000" w:themeColor="text1"/>
                <w:sz w:val="24"/>
                <w:highlight w:val="none"/>
                <w14:textFill>
                  <w14:solidFill>
                    <w14:schemeClr w14:val="tx1"/>
                  </w14:solidFill>
                </w14:textFill>
              </w:rPr>
              <w:t xml:space="preserve">附件6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营业执照</w:t>
            </w:r>
          </w:p>
          <w:p>
            <w:pPr>
              <w:spacing w:line="44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附件</w:t>
            </w:r>
            <w:r>
              <w:rPr>
                <w:rFonts w:hint="eastAsia" w:ascii="Times New Roman" w:hAnsi="Times New Roman" w:eastAsia="宋体"/>
                <w:caps w:val="0"/>
                <w:color w:val="000000" w:themeColor="text1"/>
                <w:sz w:val="24"/>
                <w:highlight w:val="none"/>
                <w14:textFill>
                  <w14:solidFill>
                    <w14:schemeClr w14:val="tx1"/>
                  </w14:solidFill>
                </w14:textFill>
              </w:rPr>
              <w:t>7</w:t>
            </w:r>
            <w:r>
              <w:rPr>
                <w:rFonts w:ascii="Times New Roman" w:hAnsi="Times New Roman" w:eastAsia="宋体"/>
                <w:caps w:val="0"/>
                <w:color w:val="000000" w:themeColor="text1"/>
                <w:sz w:val="24"/>
                <w:highlight w:val="none"/>
                <w14:textFill>
                  <w14:solidFill>
                    <w14:schemeClr w14:val="tx1"/>
                  </w14:solidFill>
                </w14:textFill>
              </w:rPr>
              <w:t xml:space="preserve">  土地证</w:t>
            </w:r>
          </w:p>
          <w:p>
            <w:pPr>
              <w:spacing w:line="440" w:lineRule="exact"/>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附件</w:t>
            </w:r>
            <w:r>
              <w:rPr>
                <w:rFonts w:hint="eastAsia" w:ascii="Times New Roman" w:hAnsi="Times New Roman" w:eastAsia="宋体"/>
                <w:caps w:val="0"/>
                <w:color w:val="000000" w:themeColor="text1"/>
                <w:sz w:val="24"/>
                <w:highlight w:val="none"/>
                <w14:textFill>
                  <w14:solidFill>
                    <w14:schemeClr w14:val="tx1"/>
                  </w14:solidFill>
                </w14:textFill>
              </w:rPr>
              <w:t>8</w:t>
            </w:r>
            <w:r>
              <w:rPr>
                <w:rFonts w:ascii="Times New Roman" w:hAnsi="Times New Roman" w:eastAsia="宋体"/>
                <w:caps w:val="0"/>
                <w:color w:val="000000" w:themeColor="text1"/>
                <w:sz w:val="24"/>
                <w:highlight w:val="none"/>
                <w14:textFill>
                  <w14:solidFill>
                    <w14:schemeClr w14:val="tx1"/>
                  </w14:solidFill>
                </w14:textFill>
              </w:rPr>
              <w:t xml:space="preserve">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原环评备案</w:t>
            </w:r>
          </w:p>
          <w:p>
            <w:pPr>
              <w:spacing w:line="440" w:lineRule="exact"/>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附件</w:t>
            </w:r>
            <w:r>
              <w:rPr>
                <w:rFonts w:hint="eastAsia" w:ascii="Times New Roman" w:hAnsi="Times New Roman" w:eastAsia="宋体"/>
                <w:caps w:val="0"/>
                <w:color w:val="000000" w:themeColor="text1"/>
                <w:sz w:val="24"/>
                <w:highlight w:val="none"/>
                <w14:textFill>
                  <w14:solidFill>
                    <w14:schemeClr w14:val="tx1"/>
                  </w14:solidFill>
                </w14:textFill>
              </w:rPr>
              <w:t>9</w:t>
            </w:r>
            <w:r>
              <w:rPr>
                <w:rFonts w:ascii="Times New Roman" w:hAnsi="Times New Roman" w:eastAsia="宋体"/>
                <w:caps w:val="0"/>
                <w:color w:val="000000" w:themeColor="text1"/>
                <w:sz w:val="24"/>
                <w:highlight w:val="none"/>
                <w14:textFill>
                  <w14:solidFill>
                    <w14:schemeClr w14:val="tx1"/>
                  </w14:solidFill>
                </w14:textFill>
              </w:rPr>
              <w:t xml:space="preserve">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原环评批复</w:t>
            </w:r>
          </w:p>
          <w:p>
            <w:pPr>
              <w:spacing w:line="440" w:lineRule="exact"/>
              <w:ind w:firstLine="480" w:firstLineChars="200"/>
              <w:rPr>
                <w:rFonts w:hint="default" w:ascii="Times New Roman" w:hAnsi="Times New Roman" w:eastAsia="宋体"/>
                <w:caps w:val="0"/>
                <w:color w:val="000000" w:themeColor="text1"/>
                <w:sz w:val="24"/>
                <w:highlight w:val="none"/>
                <w:lang w:val="en-US" w:eastAsia="zh-CN"/>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附件</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10</w:t>
            </w:r>
            <w:r>
              <w:rPr>
                <w:rFonts w:ascii="Times New Roman" w:hAnsi="Times New Roman" w:eastAsia="宋体"/>
                <w:caps w:val="0"/>
                <w:color w:val="000000" w:themeColor="text1"/>
                <w:sz w:val="24"/>
                <w:highlight w:val="none"/>
                <w14:textFill>
                  <w14:solidFill>
                    <w14:schemeClr w14:val="tx1"/>
                  </w14:solidFill>
                </w14:textFill>
              </w:rPr>
              <w:t xml:space="preserve"> </w:t>
            </w:r>
            <w:r>
              <w:rPr>
                <w:rFonts w:hint="eastAsia" w:ascii="Times New Roman" w:hAnsi="Times New Roman" w:eastAsia="宋体"/>
                <w:caps w:val="0"/>
                <w:color w:val="000000" w:themeColor="text1"/>
                <w:sz w:val="24"/>
                <w:highlight w:val="none"/>
                <w:lang w:val="en-US" w:eastAsia="zh-CN"/>
                <w14:textFill>
                  <w14:solidFill>
                    <w14:schemeClr w14:val="tx1"/>
                  </w14:solidFill>
                </w14:textFill>
              </w:rPr>
              <w:t>原环评验收</w:t>
            </w:r>
          </w:p>
          <w:p>
            <w:pPr>
              <w:spacing w:line="440" w:lineRule="exact"/>
              <w:ind w:firstLine="560" w:firstLineChars="200"/>
              <w:rPr>
                <w:rFonts w:ascii="Times New Roman" w:hAnsi="Times New Roman" w:eastAsia="宋体"/>
                <w:caps w:val="0"/>
                <w:color w:val="000000" w:themeColor="text1"/>
                <w:highlight w:val="none"/>
                <w14:textFill>
                  <w14:solidFill>
                    <w14:schemeClr w14:val="tx1"/>
                  </w14:solidFill>
                </w14:textFill>
              </w:rPr>
            </w:pPr>
          </w:p>
          <w:p>
            <w:pPr>
              <w:spacing w:line="44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附表1  建设项目环评审批基础信息表</w:t>
            </w:r>
          </w:p>
          <w:p>
            <w:pPr>
              <w:spacing w:line="440" w:lineRule="exact"/>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二、如果本报告表不能说明项目产生的污染及对环境造成的影响，应进行专项评价。根据建设项目的特点和当地环境特征，应选下列1—2项进行专项评价。</w:t>
            </w:r>
          </w:p>
          <w:p>
            <w:pPr>
              <w:spacing w:line="44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1、大气环境影响专项评价</w:t>
            </w:r>
          </w:p>
          <w:p>
            <w:pPr>
              <w:spacing w:line="44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2、水环境影响专项评价（包括地表水和地下水）</w:t>
            </w:r>
          </w:p>
          <w:p>
            <w:pPr>
              <w:spacing w:line="44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3、生态影响专项评价</w:t>
            </w:r>
          </w:p>
          <w:p>
            <w:pPr>
              <w:spacing w:line="44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4、声影响专项评价</w:t>
            </w:r>
          </w:p>
          <w:p>
            <w:pPr>
              <w:spacing w:line="44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5、土壤影响专项评价</w:t>
            </w:r>
          </w:p>
          <w:p>
            <w:pPr>
              <w:spacing w:line="44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6、固体废弃物影响专项评价</w:t>
            </w:r>
          </w:p>
          <w:p>
            <w:pPr>
              <w:spacing w:line="440" w:lineRule="exact"/>
              <w:ind w:firstLine="480" w:firstLineChars="200"/>
              <w:rPr>
                <w:rFonts w:ascii="Times New Roman" w:hAnsi="Times New Roman" w:eastAsia="宋体"/>
                <w:caps w:val="0"/>
                <w:color w:val="000000" w:themeColor="text1"/>
                <w:sz w:val="24"/>
                <w:highlight w:val="none"/>
                <w14:textFill>
                  <w14:solidFill>
                    <w14:schemeClr w14:val="tx1"/>
                  </w14:solidFill>
                </w14:textFill>
              </w:rPr>
            </w:pPr>
            <w:r>
              <w:rPr>
                <w:rFonts w:ascii="Times New Roman" w:hAnsi="Times New Roman" w:eastAsia="宋体"/>
                <w:caps w:val="0"/>
                <w:color w:val="000000" w:themeColor="text1"/>
                <w:sz w:val="24"/>
                <w:highlight w:val="none"/>
                <w14:textFill>
                  <w14:solidFill>
                    <w14:schemeClr w14:val="tx1"/>
                  </w14:solidFill>
                </w14:textFill>
              </w:rPr>
              <w:t>以上专项评价未包括的可另列专项，专项评价按照《环境影响评价技术导则》中的要求进行。</w:t>
            </w:r>
          </w:p>
        </w:tc>
      </w:tr>
    </w:tbl>
    <w:p>
      <w:pPr>
        <w:rPr>
          <w:rFonts w:ascii="Times New Roman" w:hAnsi="Times New Roman" w:eastAsia="宋体"/>
          <w:caps w:val="0"/>
          <w:color w:val="000000" w:themeColor="text1"/>
          <w:sz w:val="24"/>
          <w:highlight w:val="none"/>
          <w14:textFill>
            <w14:solidFill>
              <w14:schemeClr w14:val="tx1"/>
            </w14:solidFill>
          </w14:textFill>
        </w:rPr>
      </w:pPr>
    </w:p>
    <w:sectPr>
      <w:pgSz w:w="11906" w:h="16838"/>
      <w:pgMar w:top="1440" w:right="144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ºÚÌå">
    <w:altName w:val="Arial"/>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华文中宋">
    <w:altName w:val="Malgun Gothic Semilight"/>
    <w:panose1 w:val="00000000000000000000"/>
    <w:charset w:val="86"/>
    <w:family w:val="auto"/>
    <w:pitch w:val="default"/>
    <w:sig w:usb0="00000000" w:usb1="00000000" w:usb2="00000010" w:usb3="00000000" w:csb0="0004009F" w:csb1="00000000"/>
  </w:font>
  <w:font w:name="Wingdings 2">
    <w:altName w:val="CommercialPi BT"/>
    <w:panose1 w:val="00000000000000000000"/>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roman"/>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CommercialPi BT">
    <w:panose1 w:val="05020102010206080802"/>
    <w:charset w:val="00"/>
    <w:family w:val="auto"/>
    <w:pitch w:val="default"/>
    <w:sig w:usb0="00000000" w:usb1="00000000" w:usb2="00000000" w:usb3="00000000" w:csb0="00000000" w:csb1="00000000"/>
  </w:font>
  <w:font w:name="CommercialPi BT">
    <w:panose1 w:val="05020102010206080802"/>
    <w:charset w:val="02"/>
    <w:family w:val="roman"/>
    <w:pitch w:val="default"/>
    <w:sig w:usb0="00000000" w:usb1="00000000" w:usb2="00000000" w:usb3="00000000" w:csb0="00000000" w:csb1="00000000"/>
  </w:font>
  <w:font w:name="Malgun Gothic Semilight">
    <w:panose1 w:val="020B0502040204020203"/>
    <w:charset w:val="86"/>
    <w:family w:val="auto"/>
    <w:pitch w:val="default"/>
    <w:sig w:usb0="900002AF" w:usb1="01D77CFB" w:usb2="00000012" w:usb3="00000000" w:csb0="203E01BD" w:csb1="D7FF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pPr>
    <w:r>
      <mc:AlternateContent>
        <mc:Choice Requires="wps">
          <w:drawing>
            <wp:anchor distT="0" distB="0" distL="114300" distR="114300" simplePos="0" relativeHeight="251656192" behindDoc="0" locked="0" layoutInCell="1" allowOverlap="1">
              <wp:simplePos x="0" y="0"/>
              <wp:positionH relativeFrom="margin">
                <wp:posOffset>2834640</wp:posOffset>
              </wp:positionH>
              <wp:positionV relativeFrom="paragraph">
                <wp:posOffset>-1270</wp:posOffset>
              </wp:positionV>
              <wp:extent cx="228600" cy="160020"/>
              <wp:effectExtent l="0" t="0" r="0" b="11430"/>
              <wp:wrapNone/>
              <wp:docPr id="97" name="文本框 97"/>
              <wp:cNvGraphicFramePr/>
              <a:graphic xmlns:a="http://schemas.openxmlformats.org/drawingml/2006/main">
                <a:graphicData uri="http://schemas.microsoft.com/office/word/2010/wordprocessingShape">
                  <wps:wsp>
                    <wps:cNvSpPr txBox="1"/>
                    <wps:spPr>
                      <a:xfrm>
                        <a:off x="0" y="0"/>
                        <a:ext cx="228600" cy="160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95</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23.2pt;margin-top:-0.1pt;height:12.6pt;width:18pt;mso-position-horizontal-relative:margin;z-index:251656192;mso-width-relative:page;mso-height-relative:page;" filled="f" stroked="f" coordsize="21600,21600" o:gfxdata="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rkTJA1gAAAAgBAAAPAAAAAAAAAAEAIAAAACIAAABkcnMvZG93bnJldi54bWxQSwEC&#10;FAAUAAAACACHTuJAt/ZOBi8CAABXBAAADgAAAAAAAAABACAAAAAlAQAAZHJzL2Uyb0RvYy54bWxQ&#10;SwUGAAAAAAYABgBZAQAAxgUAAAAA&#10;">
              <v:fill on="f" focussize="0,0"/>
              <v:stroke on="f" weight="0.5pt"/>
              <v:imagedata o:title=""/>
              <o:lock v:ext="edit" aspectratio="f"/>
              <v:textbox inset="0mm,0mm,0mm,0mm">
                <w:txbxContent>
                  <w:p>
                    <w:pPr>
                      <w:pStyle w:val="22"/>
                    </w:pPr>
                    <w:r>
                      <w:rPr>
                        <w:rFonts w:hint="eastAsia"/>
                      </w:rPr>
                      <w:fldChar w:fldCharType="begin"/>
                    </w:r>
                    <w:r>
                      <w:rPr>
                        <w:rFonts w:hint="eastAsia"/>
                      </w:rPr>
                      <w:instrText xml:space="preserve"> PAGE  \* MERGEFORMAT </w:instrText>
                    </w:r>
                    <w:r>
                      <w:rPr>
                        <w:rFonts w:hint="eastAsia"/>
                      </w:rPr>
                      <w:fldChar w:fldCharType="separate"/>
                    </w:r>
                    <w:r>
                      <w:t>95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1"/>
      </w:pBdr>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BC6071"/>
    <w:multiLevelType w:val="singleLevel"/>
    <w:tmpl w:val="C8BC6071"/>
    <w:lvl w:ilvl="0" w:tentative="0">
      <w:start w:val="1"/>
      <w:numFmt w:val="decimalEnclosedCircleChinese"/>
      <w:suff w:val="nothing"/>
      <w:lvlText w:val="%1"/>
      <w:lvlJc w:val="left"/>
      <w:pPr>
        <w:ind w:left="0" w:firstLine="397"/>
      </w:pPr>
      <w:rPr>
        <w:rFonts w:hint="eastAsia"/>
      </w:rPr>
    </w:lvl>
  </w:abstractNum>
  <w:abstractNum w:abstractNumId="1">
    <w:nsid w:val="D0A28BE8"/>
    <w:multiLevelType w:val="singleLevel"/>
    <w:tmpl w:val="D0A28BE8"/>
    <w:lvl w:ilvl="0" w:tentative="0">
      <w:start w:val="1"/>
      <w:numFmt w:val="decimalEnclosedCircleChinese"/>
      <w:suff w:val="nothing"/>
      <w:lvlText w:val="%1"/>
      <w:lvlJc w:val="left"/>
      <w:pPr>
        <w:ind w:left="0" w:firstLine="397"/>
      </w:pPr>
      <w:rPr>
        <w:rFonts w:hint="eastAsia"/>
      </w:rPr>
    </w:lvl>
  </w:abstractNum>
  <w:abstractNum w:abstractNumId="2">
    <w:nsid w:val="D45361A6"/>
    <w:multiLevelType w:val="singleLevel"/>
    <w:tmpl w:val="D45361A6"/>
    <w:lvl w:ilvl="0" w:tentative="0">
      <w:start w:val="1"/>
      <w:numFmt w:val="decimal"/>
      <w:pStyle w:val="169"/>
      <w:suff w:val="nothing"/>
      <w:lvlText w:val="表%1："/>
      <w:lvlJc w:val="left"/>
      <w:pPr>
        <w:ind w:left="0" w:firstLine="0"/>
      </w:pPr>
      <w:rPr>
        <w:rFonts w:hint="default"/>
      </w:rPr>
    </w:lvl>
  </w:abstractNum>
  <w:abstractNum w:abstractNumId="3">
    <w:nsid w:val="18725F2F"/>
    <w:multiLevelType w:val="singleLevel"/>
    <w:tmpl w:val="18725F2F"/>
    <w:lvl w:ilvl="0" w:tentative="0">
      <w:start w:val="1"/>
      <w:numFmt w:val="decimal"/>
      <w:suff w:val="nothing"/>
      <w:lvlText w:val="%1）"/>
      <w:lvlJc w:val="left"/>
      <w:pPr>
        <w:ind w:left="0" w:firstLine="397"/>
      </w:pPr>
      <w:rPr>
        <w:rFonts w:hint="default"/>
      </w:rPr>
    </w:lvl>
  </w:abstractNum>
  <w:abstractNum w:abstractNumId="4">
    <w:nsid w:val="284083E8"/>
    <w:multiLevelType w:val="singleLevel"/>
    <w:tmpl w:val="284083E8"/>
    <w:lvl w:ilvl="0" w:tentative="0">
      <w:start w:val="1"/>
      <w:numFmt w:val="decimalEnclosedCircleChinese"/>
      <w:suff w:val="nothing"/>
      <w:lvlText w:val="%1"/>
      <w:lvlJc w:val="left"/>
      <w:pPr>
        <w:ind w:left="0" w:firstLine="397"/>
      </w:pPr>
      <w:rPr>
        <w:rFonts w:hint="eastAsia"/>
      </w:rPr>
    </w:lvl>
  </w:abstractNum>
  <w:abstractNum w:abstractNumId="5">
    <w:nsid w:val="3B6EC392"/>
    <w:multiLevelType w:val="singleLevel"/>
    <w:tmpl w:val="3B6EC392"/>
    <w:lvl w:ilvl="0" w:tentative="0">
      <w:start w:val="1"/>
      <w:numFmt w:val="decimalEnclosedCircleChinese"/>
      <w:suff w:val="nothing"/>
      <w:lvlText w:val="%1"/>
      <w:lvlJc w:val="left"/>
      <w:pPr>
        <w:ind w:left="0" w:firstLine="397"/>
      </w:pPr>
      <w:rPr>
        <w:rFonts w:hint="eastAsia"/>
      </w:rPr>
    </w:lvl>
  </w:abstractNum>
  <w:abstractNum w:abstractNumId="6">
    <w:nsid w:val="581FD6BC"/>
    <w:multiLevelType w:val="singleLevel"/>
    <w:tmpl w:val="581FD6BC"/>
    <w:lvl w:ilvl="0" w:tentative="0">
      <w:start w:val="1"/>
      <w:numFmt w:val="decimalEnclosedCircleChinese"/>
      <w:suff w:val="nothing"/>
      <w:lvlText w:val="%1"/>
      <w:lvlJc w:val="left"/>
      <w:pPr>
        <w:ind w:left="0" w:firstLine="397"/>
      </w:pPr>
      <w:rPr>
        <w:rFonts w:hint="eastAsia"/>
      </w:rPr>
    </w:lvl>
  </w:abstractNum>
  <w:num w:numId="1">
    <w:abstractNumId w:val="2"/>
  </w:num>
  <w:num w:numId="2">
    <w:abstractNumId w:val="3"/>
  </w:num>
  <w:num w:numId="3">
    <w:abstractNumId w:val="4"/>
  </w:num>
  <w:num w:numId="4">
    <w:abstractNumId w:val="1"/>
  </w:num>
  <w:num w:numId="5">
    <w:abstractNumId w:val="5"/>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38B"/>
    <w:rsid w:val="00000698"/>
    <w:rsid w:val="000009B0"/>
    <w:rsid w:val="00000EF2"/>
    <w:rsid w:val="000010BA"/>
    <w:rsid w:val="000034FF"/>
    <w:rsid w:val="000039FD"/>
    <w:rsid w:val="00004C19"/>
    <w:rsid w:val="00005317"/>
    <w:rsid w:val="000100FD"/>
    <w:rsid w:val="000102EB"/>
    <w:rsid w:val="000106E6"/>
    <w:rsid w:val="00010E92"/>
    <w:rsid w:val="00011D6D"/>
    <w:rsid w:val="00012B9C"/>
    <w:rsid w:val="00012E68"/>
    <w:rsid w:val="00012F40"/>
    <w:rsid w:val="00012FED"/>
    <w:rsid w:val="000137DA"/>
    <w:rsid w:val="00014160"/>
    <w:rsid w:val="000143CC"/>
    <w:rsid w:val="000146FF"/>
    <w:rsid w:val="000163D1"/>
    <w:rsid w:val="00017B87"/>
    <w:rsid w:val="00017D06"/>
    <w:rsid w:val="00021485"/>
    <w:rsid w:val="000219D1"/>
    <w:rsid w:val="00022710"/>
    <w:rsid w:val="00022EE8"/>
    <w:rsid w:val="00022F90"/>
    <w:rsid w:val="00023D16"/>
    <w:rsid w:val="000241B8"/>
    <w:rsid w:val="0002446F"/>
    <w:rsid w:val="00024B23"/>
    <w:rsid w:val="00024F62"/>
    <w:rsid w:val="0002510A"/>
    <w:rsid w:val="000252F9"/>
    <w:rsid w:val="000256A2"/>
    <w:rsid w:val="00025D2F"/>
    <w:rsid w:val="000266C5"/>
    <w:rsid w:val="00026E8E"/>
    <w:rsid w:val="0002714F"/>
    <w:rsid w:val="00027257"/>
    <w:rsid w:val="000274BA"/>
    <w:rsid w:val="0003145D"/>
    <w:rsid w:val="00031F0F"/>
    <w:rsid w:val="00032E6E"/>
    <w:rsid w:val="00035940"/>
    <w:rsid w:val="00036115"/>
    <w:rsid w:val="000364D3"/>
    <w:rsid w:val="0003658F"/>
    <w:rsid w:val="00037BCC"/>
    <w:rsid w:val="00037F68"/>
    <w:rsid w:val="00037F6B"/>
    <w:rsid w:val="00040026"/>
    <w:rsid w:val="00040311"/>
    <w:rsid w:val="000404D4"/>
    <w:rsid w:val="00041280"/>
    <w:rsid w:val="000412B6"/>
    <w:rsid w:val="000414F9"/>
    <w:rsid w:val="00041711"/>
    <w:rsid w:val="00041D5C"/>
    <w:rsid w:val="000425CE"/>
    <w:rsid w:val="000426E8"/>
    <w:rsid w:val="0004295F"/>
    <w:rsid w:val="00042DBE"/>
    <w:rsid w:val="00042F6F"/>
    <w:rsid w:val="00043E2A"/>
    <w:rsid w:val="0004486A"/>
    <w:rsid w:val="00044CE6"/>
    <w:rsid w:val="00044DAC"/>
    <w:rsid w:val="00045380"/>
    <w:rsid w:val="00045B43"/>
    <w:rsid w:val="000461D0"/>
    <w:rsid w:val="00046278"/>
    <w:rsid w:val="00046BBA"/>
    <w:rsid w:val="00047099"/>
    <w:rsid w:val="00047901"/>
    <w:rsid w:val="00047AB5"/>
    <w:rsid w:val="00047AD7"/>
    <w:rsid w:val="0005029E"/>
    <w:rsid w:val="00050B66"/>
    <w:rsid w:val="00051039"/>
    <w:rsid w:val="00051090"/>
    <w:rsid w:val="000515D0"/>
    <w:rsid w:val="00052BBD"/>
    <w:rsid w:val="00052E49"/>
    <w:rsid w:val="00052E98"/>
    <w:rsid w:val="0005314B"/>
    <w:rsid w:val="00053548"/>
    <w:rsid w:val="00053852"/>
    <w:rsid w:val="00053FAA"/>
    <w:rsid w:val="00054042"/>
    <w:rsid w:val="00055495"/>
    <w:rsid w:val="00055580"/>
    <w:rsid w:val="00056310"/>
    <w:rsid w:val="00057987"/>
    <w:rsid w:val="00057989"/>
    <w:rsid w:val="000579CC"/>
    <w:rsid w:val="00057AE4"/>
    <w:rsid w:val="00057D12"/>
    <w:rsid w:val="0006068A"/>
    <w:rsid w:val="0006219C"/>
    <w:rsid w:val="0006260C"/>
    <w:rsid w:val="00062B7B"/>
    <w:rsid w:val="00063002"/>
    <w:rsid w:val="0006314A"/>
    <w:rsid w:val="000646A1"/>
    <w:rsid w:val="000649DC"/>
    <w:rsid w:val="00064B76"/>
    <w:rsid w:val="0006520F"/>
    <w:rsid w:val="00066138"/>
    <w:rsid w:val="0006668C"/>
    <w:rsid w:val="00066B69"/>
    <w:rsid w:val="0006716A"/>
    <w:rsid w:val="00067D47"/>
    <w:rsid w:val="00070516"/>
    <w:rsid w:val="0007125D"/>
    <w:rsid w:val="00073BF1"/>
    <w:rsid w:val="0007519F"/>
    <w:rsid w:val="000756B6"/>
    <w:rsid w:val="00076B9D"/>
    <w:rsid w:val="00076C38"/>
    <w:rsid w:val="00076C3D"/>
    <w:rsid w:val="00076E64"/>
    <w:rsid w:val="0007762D"/>
    <w:rsid w:val="00080406"/>
    <w:rsid w:val="00080A1B"/>
    <w:rsid w:val="00080DFC"/>
    <w:rsid w:val="00081440"/>
    <w:rsid w:val="000814D3"/>
    <w:rsid w:val="00082A7C"/>
    <w:rsid w:val="000836CB"/>
    <w:rsid w:val="000839F8"/>
    <w:rsid w:val="00084261"/>
    <w:rsid w:val="00084699"/>
    <w:rsid w:val="00084BC8"/>
    <w:rsid w:val="00084D09"/>
    <w:rsid w:val="00085B2F"/>
    <w:rsid w:val="00085DC9"/>
    <w:rsid w:val="00085F8D"/>
    <w:rsid w:val="0008608C"/>
    <w:rsid w:val="00086689"/>
    <w:rsid w:val="0008672D"/>
    <w:rsid w:val="00086C4E"/>
    <w:rsid w:val="000871E4"/>
    <w:rsid w:val="00087384"/>
    <w:rsid w:val="00087D33"/>
    <w:rsid w:val="000907BA"/>
    <w:rsid w:val="00091A18"/>
    <w:rsid w:val="0009221F"/>
    <w:rsid w:val="0009400F"/>
    <w:rsid w:val="00094011"/>
    <w:rsid w:val="000943BD"/>
    <w:rsid w:val="000944E7"/>
    <w:rsid w:val="00094753"/>
    <w:rsid w:val="000947EA"/>
    <w:rsid w:val="00095482"/>
    <w:rsid w:val="00095605"/>
    <w:rsid w:val="000960E3"/>
    <w:rsid w:val="00096F2D"/>
    <w:rsid w:val="000A217F"/>
    <w:rsid w:val="000A2AEC"/>
    <w:rsid w:val="000A2D4D"/>
    <w:rsid w:val="000A3067"/>
    <w:rsid w:val="000A312B"/>
    <w:rsid w:val="000A3333"/>
    <w:rsid w:val="000A369F"/>
    <w:rsid w:val="000A3E8B"/>
    <w:rsid w:val="000A4B22"/>
    <w:rsid w:val="000A4E4B"/>
    <w:rsid w:val="000A5F63"/>
    <w:rsid w:val="000A68D9"/>
    <w:rsid w:val="000A6E90"/>
    <w:rsid w:val="000A73FF"/>
    <w:rsid w:val="000A7487"/>
    <w:rsid w:val="000B0630"/>
    <w:rsid w:val="000B09FC"/>
    <w:rsid w:val="000B0B05"/>
    <w:rsid w:val="000B0B1F"/>
    <w:rsid w:val="000B4468"/>
    <w:rsid w:val="000B460C"/>
    <w:rsid w:val="000B58F5"/>
    <w:rsid w:val="000B5E40"/>
    <w:rsid w:val="000B616A"/>
    <w:rsid w:val="000B65BD"/>
    <w:rsid w:val="000B671D"/>
    <w:rsid w:val="000B719E"/>
    <w:rsid w:val="000B7700"/>
    <w:rsid w:val="000C00B0"/>
    <w:rsid w:val="000C1AF4"/>
    <w:rsid w:val="000C1B77"/>
    <w:rsid w:val="000C2019"/>
    <w:rsid w:val="000C228C"/>
    <w:rsid w:val="000C24DF"/>
    <w:rsid w:val="000C287B"/>
    <w:rsid w:val="000C2CE7"/>
    <w:rsid w:val="000C407B"/>
    <w:rsid w:val="000C4C36"/>
    <w:rsid w:val="000C54DF"/>
    <w:rsid w:val="000C65E6"/>
    <w:rsid w:val="000C6619"/>
    <w:rsid w:val="000C71CB"/>
    <w:rsid w:val="000C741E"/>
    <w:rsid w:val="000D0422"/>
    <w:rsid w:val="000D1E09"/>
    <w:rsid w:val="000D247D"/>
    <w:rsid w:val="000D2649"/>
    <w:rsid w:val="000D2DD4"/>
    <w:rsid w:val="000D3762"/>
    <w:rsid w:val="000D3BF3"/>
    <w:rsid w:val="000D42C1"/>
    <w:rsid w:val="000D57C7"/>
    <w:rsid w:val="000D6479"/>
    <w:rsid w:val="000D6688"/>
    <w:rsid w:val="000D7401"/>
    <w:rsid w:val="000D7C60"/>
    <w:rsid w:val="000E09DB"/>
    <w:rsid w:val="000E139F"/>
    <w:rsid w:val="000E22E9"/>
    <w:rsid w:val="000E2B9D"/>
    <w:rsid w:val="000E385A"/>
    <w:rsid w:val="000E4123"/>
    <w:rsid w:val="000E4F2E"/>
    <w:rsid w:val="000E4F6D"/>
    <w:rsid w:val="000E51DE"/>
    <w:rsid w:val="000E54E0"/>
    <w:rsid w:val="000E5BC6"/>
    <w:rsid w:val="000E73A6"/>
    <w:rsid w:val="000E7B06"/>
    <w:rsid w:val="000E7B81"/>
    <w:rsid w:val="000F0657"/>
    <w:rsid w:val="000F131A"/>
    <w:rsid w:val="000F166E"/>
    <w:rsid w:val="000F1C0D"/>
    <w:rsid w:val="000F2078"/>
    <w:rsid w:val="000F2B56"/>
    <w:rsid w:val="000F3D5C"/>
    <w:rsid w:val="000F4AC2"/>
    <w:rsid w:val="000F4DC7"/>
    <w:rsid w:val="000F51A4"/>
    <w:rsid w:val="000F5C52"/>
    <w:rsid w:val="000F65AD"/>
    <w:rsid w:val="000F6FA9"/>
    <w:rsid w:val="000F7734"/>
    <w:rsid w:val="000F799D"/>
    <w:rsid w:val="0010047A"/>
    <w:rsid w:val="001008A4"/>
    <w:rsid w:val="0010105D"/>
    <w:rsid w:val="00102391"/>
    <w:rsid w:val="0010369E"/>
    <w:rsid w:val="00103BB2"/>
    <w:rsid w:val="00104DA7"/>
    <w:rsid w:val="001065DF"/>
    <w:rsid w:val="00107FE4"/>
    <w:rsid w:val="001100D5"/>
    <w:rsid w:val="00111E6F"/>
    <w:rsid w:val="00112147"/>
    <w:rsid w:val="001137C4"/>
    <w:rsid w:val="00114163"/>
    <w:rsid w:val="0011442E"/>
    <w:rsid w:val="001162C8"/>
    <w:rsid w:val="001166AB"/>
    <w:rsid w:val="00117294"/>
    <w:rsid w:val="001173D5"/>
    <w:rsid w:val="00120219"/>
    <w:rsid w:val="00120C5D"/>
    <w:rsid w:val="00121D9B"/>
    <w:rsid w:val="001221AB"/>
    <w:rsid w:val="0012256A"/>
    <w:rsid w:val="00122BDC"/>
    <w:rsid w:val="001234C5"/>
    <w:rsid w:val="00123F0B"/>
    <w:rsid w:val="001242F7"/>
    <w:rsid w:val="0012482E"/>
    <w:rsid w:val="00125CB8"/>
    <w:rsid w:val="00125CE7"/>
    <w:rsid w:val="00125ED6"/>
    <w:rsid w:val="001263EF"/>
    <w:rsid w:val="0012692D"/>
    <w:rsid w:val="00127AAC"/>
    <w:rsid w:val="001305A9"/>
    <w:rsid w:val="001310E8"/>
    <w:rsid w:val="00131622"/>
    <w:rsid w:val="0013174B"/>
    <w:rsid w:val="00131777"/>
    <w:rsid w:val="001327CD"/>
    <w:rsid w:val="00132CE9"/>
    <w:rsid w:val="00133418"/>
    <w:rsid w:val="001335B0"/>
    <w:rsid w:val="001336D7"/>
    <w:rsid w:val="00133994"/>
    <w:rsid w:val="0013415E"/>
    <w:rsid w:val="001343D9"/>
    <w:rsid w:val="0013477F"/>
    <w:rsid w:val="00134B02"/>
    <w:rsid w:val="00134B86"/>
    <w:rsid w:val="00135283"/>
    <w:rsid w:val="001362C3"/>
    <w:rsid w:val="00136665"/>
    <w:rsid w:val="00136823"/>
    <w:rsid w:val="00136AEA"/>
    <w:rsid w:val="0013701D"/>
    <w:rsid w:val="0013737F"/>
    <w:rsid w:val="00137DCE"/>
    <w:rsid w:val="0014000B"/>
    <w:rsid w:val="0014121E"/>
    <w:rsid w:val="00141909"/>
    <w:rsid w:val="001448DC"/>
    <w:rsid w:val="00144B6B"/>
    <w:rsid w:val="00144CAF"/>
    <w:rsid w:val="00145669"/>
    <w:rsid w:val="00145674"/>
    <w:rsid w:val="00145C97"/>
    <w:rsid w:val="001460DE"/>
    <w:rsid w:val="001463C9"/>
    <w:rsid w:val="001465F4"/>
    <w:rsid w:val="00147CDC"/>
    <w:rsid w:val="00150741"/>
    <w:rsid w:val="001507F9"/>
    <w:rsid w:val="00150960"/>
    <w:rsid w:val="00150A5A"/>
    <w:rsid w:val="0015112B"/>
    <w:rsid w:val="00151312"/>
    <w:rsid w:val="00151F3F"/>
    <w:rsid w:val="00152401"/>
    <w:rsid w:val="001527B0"/>
    <w:rsid w:val="00152D00"/>
    <w:rsid w:val="00152ECE"/>
    <w:rsid w:val="001533FF"/>
    <w:rsid w:val="00153458"/>
    <w:rsid w:val="00153E6D"/>
    <w:rsid w:val="00154698"/>
    <w:rsid w:val="00154921"/>
    <w:rsid w:val="00154D4D"/>
    <w:rsid w:val="00155756"/>
    <w:rsid w:val="001567D7"/>
    <w:rsid w:val="00157C82"/>
    <w:rsid w:val="00157D24"/>
    <w:rsid w:val="00157E02"/>
    <w:rsid w:val="00160F7C"/>
    <w:rsid w:val="00163773"/>
    <w:rsid w:val="00163AF4"/>
    <w:rsid w:val="00163DE9"/>
    <w:rsid w:val="00163E41"/>
    <w:rsid w:val="00164CC3"/>
    <w:rsid w:val="001652B8"/>
    <w:rsid w:val="0016532A"/>
    <w:rsid w:val="001653F3"/>
    <w:rsid w:val="001656F2"/>
    <w:rsid w:val="00165F2E"/>
    <w:rsid w:val="00166671"/>
    <w:rsid w:val="001666BD"/>
    <w:rsid w:val="00166EC1"/>
    <w:rsid w:val="001670FC"/>
    <w:rsid w:val="001674DE"/>
    <w:rsid w:val="0017035E"/>
    <w:rsid w:val="00170860"/>
    <w:rsid w:val="001726F6"/>
    <w:rsid w:val="00172A27"/>
    <w:rsid w:val="00173513"/>
    <w:rsid w:val="0017356C"/>
    <w:rsid w:val="001743DF"/>
    <w:rsid w:val="00174D5F"/>
    <w:rsid w:val="00174E3B"/>
    <w:rsid w:val="0017532F"/>
    <w:rsid w:val="00176850"/>
    <w:rsid w:val="00176E64"/>
    <w:rsid w:val="001778EE"/>
    <w:rsid w:val="00180672"/>
    <w:rsid w:val="00181068"/>
    <w:rsid w:val="00181C16"/>
    <w:rsid w:val="00182BCF"/>
    <w:rsid w:val="00182EE1"/>
    <w:rsid w:val="00183584"/>
    <w:rsid w:val="00184851"/>
    <w:rsid w:val="00184A99"/>
    <w:rsid w:val="0018513A"/>
    <w:rsid w:val="001851C3"/>
    <w:rsid w:val="00185611"/>
    <w:rsid w:val="001857FE"/>
    <w:rsid w:val="001859F2"/>
    <w:rsid w:val="00186361"/>
    <w:rsid w:val="001863E0"/>
    <w:rsid w:val="00187B9D"/>
    <w:rsid w:val="00190B12"/>
    <w:rsid w:val="00191545"/>
    <w:rsid w:val="00192100"/>
    <w:rsid w:val="00192210"/>
    <w:rsid w:val="0019364C"/>
    <w:rsid w:val="00193F4F"/>
    <w:rsid w:val="00195C4E"/>
    <w:rsid w:val="00195E88"/>
    <w:rsid w:val="001967BE"/>
    <w:rsid w:val="00196E29"/>
    <w:rsid w:val="00197F63"/>
    <w:rsid w:val="001A0221"/>
    <w:rsid w:val="001A0459"/>
    <w:rsid w:val="001A0B0A"/>
    <w:rsid w:val="001A2F1B"/>
    <w:rsid w:val="001A3954"/>
    <w:rsid w:val="001A4592"/>
    <w:rsid w:val="001A4A2A"/>
    <w:rsid w:val="001A4D3D"/>
    <w:rsid w:val="001A539D"/>
    <w:rsid w:val="001A5639"/>
    <w:rsid w:val="001A585F"/>
    <w:rsid w:val="001A6168"/>
    <w:rsid w:val="001A644B"/>
    <w:rsid w:val="001A67D7"/>
    <w:rsid w:val="001A7057"/>
    <w:rsid w:val="001A73B1"/>
    <w:rsid w:val="001A7444"/>
    <w:rsid w:val="001B03C2"/>
    <w:rsid w:val="001B1326"/>
    <w:rsid w:val="001B17ED"/>
    <w:rsid w:val="001B18E7"/>
    <w:rsid w:val="001B2487"/>
    <w:rsid w:val="001B252F"/>
    <w:rsid w:val="001B35A7"/>
    <w:rsid w:val="001B5A05"/>
    <w:rsid w:val="001B69C2"/>
    <w:rsid w:val="001C13EA"/>
    <w:rsid w:val="001C3071"/>
    <w:rsid w:val="001C30A8"/>
    <w:rsid w:val="001C42C3"/>
    <w:rsid w:val="001C4705"/>
    <w:rsid w:val="001C47FE"/>
    <w:rsid w:val="001C66CF"/>
    <w:rsid w:val="001C77CB"/>
    <w:rsid w:val="001D07C6"/>
    <w:rsid w:val="001D092F"/>
    <w:rsid w:val="001D0AA9"/>
    <w:rsid w:val="001D0E24"/>
    <w:rsid w:val="001D13BE"/>
    <w:rsid w:val="001D1737"/>
    <w:rsid w:val="001D187D"/>
    <w:rsid w:val="001D2473"/>
    <w:rsid w:val="001D2F6E"/>
    <w:rsid w:val="001D2FE0"/>
    <w:rsid w:val="001D3A0C"/>
    <w:rsid w:val="001D3FE7"/>
    <w:rsid w:val="001D4AAC"/>
    <w:rsid w:val="001D4B9B"/>
    <w:rsid w:val="001D4C75"/>
    <w:rsid w:val="001D56CE"/>
    <w:rsid w:val="001D59CA"/>
    <w:rsid w:val="001D72F0"/>
    <w:rsid w:val="001E0031"/>
    <w:rsid w:val="001E01FB"/>
    <w:rsid w:val="001E25A4"/>
    <w:rsid w:val="001E29C6"/>
    <w:rsid w:val="001E326B"/>
    <w:rsid w:val="001E3F50"/>
    <w:rsid w:val="001E46F0"/>
    <w:rsid w:val="001E46FD"/>
    <w:rsid w:val="001E488B"/>
    <w:rsid w:val="001E5DBD"/>
    <w:rsid w:val="001E6AC1"/>
    <w:rsid w:val="001F0058"/>
    <w:rsid w:val="001F09A6"/>
    <w:rsid w:val="001F1F53"/>
    <w:rsid w:val="001F2093"/>
    <w:rsid w:val="001F22B6"/>
    <w:rsid w:val="001F3748"/>
    <w:rsid w:val="001F3BF1"/>
    <w:rsid w:val="001F4EF0"/>
    <w:rsid w:val="001F7396"/>
    <w:rsid w:val="001F75E4"/>
    <w:rsid w:val="00200FF8"/>
    <w:rsid w:val="00201147"/>
    <w:rsid w:val="002021F8"/>
    <w:rsid w:val="002028D8"/>
    <w:rsid w:val="00203187"/>
    <w:rsid w:val="0020395E"/>
    <w:rsid w:val="002045FD"/>
    <w:rsid w:val="00204844"/>
    <w:rsid w:val="00204C86"/>
    <w:rsid w:val="00205262"/>
    <w:rsid w:val="0020695A"/>
    <w:rsid w:val="00206B82"/>
    <w:rsid w:val="00206F71"/>
    <w:rsid w:val="0020776B"/>
    <w:rsid w:val="00210412"/>
    <w:rsid w:val="00210AA9"/>
    <w:rsid w:val="00211FC2"/>
    <w:rsid w:val="00212802"/>
    <w:rsid w:val="00212822"/>
    <w:rsid w:val="00212FF5"/>
    <w:rsid w:val="002131A6"/>
    <w:rsid w:val="00213F66"/>
    <w:rsid w:val="0021415D"/>
    <w:rsid w:val="00214396"/>
    <w:rsid w:val="00214A40"/>
    <w:rsid w:val="002152D5"/>
    <w:rsid w:val="00215435"/>
    <w:rsid w:val="0021709B"/>
    <w:rsid w:val="00217476"/>
    <w:rsid w:val="00217B54"/>
    <w:rsid w:val="00220B9A"/>
    <w:rsid w:val="002212F7"/>
    <w:rsid w:val="00221F91"/>
    <w:rsid w:val="002225DA"/>
    <w:rsid w:val="002227D8"/>
    <w:rsid w:val="00222FE7"/>
    <w:rsid w:val="0022539A"/>
    <w:rsid w:val="002253E1"/>
    <w:rsid w:val="00225F85"/>
    <w:rsid w:val="0022643C"/>
    <w:rsid w:val="002303F2"/>
    <w:rsid w:val="0023116C"/>
    <w:rsid w:val="00231D2D"/>
    <w:rsid w:val="00231DB4"/>
    <w:rsid w:val="00231DEB"/>
    <w:rsid w:val="00232271"/>
    <w:rsid w:val="00232279"/>
    <w:rsid w:val="00232616"/>
    <w:rsid w:val="00232775"/>
    <w:rsid w:val="00232F0A"/>
    <w:rsid w:val="002333C1"/>
    <w:rsid w:val="002334EE"/>
    <w:rsid w:val="00233BE3"/>
    <w:rsid w:val="00233F48"/>
    <w:rsid w:val="00234E91"/>
    <w:rsid w:val="002351BA"/>
    <w:rsid w:val="002375B9"/>
    <w:rsid w:val="002378FD"/>
    <w:rsid w:val="00237FF0"/>
    <w:rsid w:val="002400FF"/>
    <w:rsid w:val="002412E4"/>
    <w:rsid w:val="002420F2"/>
    <w:rsid w:val="00245EC6"/>
    <w:rsid w:val="002477A5"/>
    <w:rsid w:val="00247D74"/>
    <w:rsid w:val="002500A0"/>
    <w:rsid w:val="00250B4E"/>
    <w:rsid w:val="002517B2"/>
    <w:rsid w:val="002518D8"/>
    <w:rsid w:val="002525BA"/>
    <w:rsid w:val="00252D08"/>
    <w:rsid w:val="00252D2F"/>
    <w:rsid w:val="002530D2"/>
    <w:rsid w:val="00253163"/>
    <w:rsid w:val="0025354A"/>
    <w:rsid w:val="00253573"/>
    <w:rsid w:val="002550FF"/>
    <w:rsid w:val="00256D21"/>
    <w:rsid w:val="00256E42"/>
    <w:rsid w:val="0025708A"/>
    <w:rsid w:val="00260647"/>
    <w:rsid w:val="00261457"/>
    <w:rsid w:val="002645B4"/>
    <w:rsid w:val="00264ACA"/>
    <w:rsid w:val="002650D9"/>
    <w:rsid w:val="002654F7"/>
    <w:rsid w:val="00265BCC"/>
    <w:rsid w:val="00266874"/>
    <w:rsid w:val="00266A12"/>
    <w:rsid w:val="00266D2B"/>
    <w:rsid w:val="00267B2D"/>
    <w:rsid w:val="00267F87"/>
    <w:rsid w:val="002711B2"/>
    <w:rsid w:val="002730BD"/>
    <w:rsid w:val="0027327B"/>
    <w:rsid w:val="0027488A"/>
    <w:rsid w:val="002759A9"/>
    <w:rsid w:val="00275E42"/>
    <w:rsid w:val="002760A6"/>
    <w:rsid w:val="00276961"/>
    <w:rsid w:val="00276D68"/>
    <w:rsid w:val="00280E5D"/>
    <w:rsid w:val="0028388C"/>
    <w:rsid w:val="002842D3"/>
    <w:rsid w:val="002847C8"/>
    <w:rsid w:val="0028507D"/>
    <w:rsid w:val="0029151E"/>
    <w:rsid w:val="00291F71"/>
    <w:rsid w:val="00291FF3"/>
    <w:rsid w:val="0029275D"/>
    <w:rsid w:val="00292E3F"/>
    <w:rsid w:val="00293CD2"/>
    <w:rsid w:val="002941FC"/>
    <w:rsid w:val="00294740"/>
    <w:rsid w:val="0029479A"/>
    <w:rsid w:val="00294C23"/>
    <w:rsid w:val="00294CBF"/>
    <w:rsid w:val="00294FC6"/>
    <w:rsid w:val="002950CD"/>
    <w:rsid w:val="002971C2"/>
    <w:rsid w:val="00297779"/>
    <w:rsid w:val="002A098C"/>
    <w:rsid w:val="002A1E26"/>
    <w:rsid w:val="002A237C"/>
    <w:rsid w:val="002A2D1C"/>
    <w:rsid w:val="002A2E29"/>
    <w:rsid w:val="002A4788"/>
    <w:rsid w:val="002A4EF1"/>
    <w:rsid w:val="002A4F11"/>
    <w:rsid w:val="002A50BA"/>
    <w:rsid w:val="002A705C"/>
    <w:rsid w:val="002A7BF7"/>
    <w:rsid w:val="002B157E"/>
    <w:rsid w:val="002B194F"/>
    <w:rsid w:val="002B1C83"/>
    <w:rsid w:val="002B1F3E"/>
    <w:rsid w:val="002B24BB"/>
    <w:rsid w:val="002B2BBA"/>
    <w:rsid w:val="002B2DFC"/>
    <w:rsid w:val="002B31C2"/>
    <w:rsid w:val="002B3514"/>
    <w:rsid w:val="002B3B2A"/>
    <w:rsid w:val="002B3BB9"/>
    <w:rsid w:val="002B3BD0"/>
    <w:rsid w:val="002B3E0A"/>
    <w:rsid w:val="002B3EEE"/>
    <w:rsid w:val="002B3FC3"/>
    <w:rsid w:val="002B445F"/>
    <w:rsid w:val="002B457F"/>
    <w:rsid w:val="002B4BB8"/>
    <w:rsid w:val="002B4D47"/>
    <w:rsid w:val="002B5497"/>
    <w:rsid w:val="002B5DD1"/>
    <w:rsid w:val="002B65B7"/>
    <w:rsid w:val="002B6D82"/>
    <w:rsid w:val="002B70EB"/>
    <w:rsid w:val="002C06BF"/>
    <w:rsid w:val="002C0A9B"/>
    <w:rsid w:val="002C141F"/>
    <w:rsid w:val="002C20A9"/>
    <w:rsid w:val="002C3D53"/>
    <w:rsid w:val="002C4829"/>
    <w:rsid w:val="002C4B5A"/>
    <w:rsid w:val="002C4F18"/>
    <w:rsid w:val="002C50B8"/>
    <w:rsid w:val="002C54AC"/>
    <w:rsid w:val="002C684F"/>
    <w:rsid w:val="002C6F65"/>
    <w:rsid w:val="002C72B4"/>
    <w:rsid w:val="002D013D"/>
    <w:rsid w:val="002D073D"/>
    <w:rsid w:val="002D1D62"/>
    <w:rsid w:val="002D2299"/>
    <w:rsid w:val="002D2937"/>
    <w:rsid w:val="002D2BD2"/>
    <w:rsid w:val="002D3431"/>
    <w:rsid w:val="002D380C"/>
    <w:rsid w:val="002D3A07"/>
    <w:rsid w:val="002D3D71"/>
    <w:rsid w:val="002D613C"/>
    <w:rsid w:val="002D66DC"/>
    <w:rsid w:val="002D6C77"/>
    <w:rsid w:val="002D7536"/>
    <w:rsid w:val="002D75D5"/>
    <w:rsid w:val="002D7B83"/>
    <w:rsid w:val="002E0899"/>
    <w:rsid w:val="002E0D29"/>
    <w:rsid w:val="002E1A73"/>
    <w:rsid w:val="002E1D9E"/>
    <w:rsid w:val="002E1F03"/>
    <w:rsid w:val="002E25B6"/>
    <w:rsid w:val="002E2791"/>
    <w:rsid w:val="002E3678"/>
    <w:rsid w:val="002E3B5A"/>
    <w:rsid w:val="002E3F76"/>
    <w:rsid w:val="002E45F4"/>
    <w:rsid w:val="002E463E"/>
    <w:rsid w:val="002E4747"/>
    <w:rsid w:val="002E4D0E"/>
    <w:rsid w:val="002E5F18"/>
    <w:rsid w:val="002E66BD"/>
    <w:rsid w:val="002E7024"/>
    <w:rsid w:val="002F0046"/>
    <w:rsid w:val="002F0613"/>
    <w:rsid w:val="002F1E9B"/>
    <w:rsid w:val="002F2343"/>
    <w:rsid w:val="002F27AD"/>
    <w:rsid w:val="002F353B"/>
    <w:rsid w:val="002F3CE0"/>
    <w:rsid w:val="002F4272"/>
    <w:rsid w:val="002F4AE6"/>
    <w:rsid w:val="002F4D82"/>
    <w:rsid w:val="002F575F"/>
    <w:rsid w:val="002F646D"/>
    <w:rsid w:val="002F6BA5"/>
    <w:rsid w:val="002F7092"/>
    <w:rsid w:val="002F754E"/>
    <w:rsid w:val="003002A3"/>
    <w:rsid w:val="003006A1"/>
    <w:rsid w:val="003006EF"/>
    <w:rsid w:val="003015BD"/>
    <w:rsid w:val="00301B31"/>
    <w:rsid w:val="00301C85"/>
    <w:rsid w:val="00302EA6"/>
    <w:rsid w:val="00302F0C"/>
    <w:rsid w:val="00302F35"/>
    <w:rsid w:val="0030476B"/>
    <w:rsid w:val="00304F60"/>
    <w:rsid w:val="003064D2"/>
    <w:rsid w:val="003065B8"/>
    <w:rsid w:val="00307DCF"/>
    <w:rsid w:val="00311B44"/>
    <w:rsid w:val="00311E3C"/>
    <w:rsid w:val="00312831"/>
    <w:rsid w:val="00312F07"/>
    <w:rsid w:val="003136D2"/>
    <w:rsid w:val="00314D29"/>
    <w:rsid w:val="00315539"/>
    <w:rsid w:val="0031568F"/>
    <w:rsid w:val="003161A4"/>
    <w:rsid w:val="00316887"/>
    <w:rsid w:val="00317AE0"/>
    <w:rsid w:val="00320234"/>
    <w:rsid w:val="00324760"/>
    <w:rsid w:val="003247F0"/>
    <w:rsid w:val="00325A4B"/>
    <w:rsid w:val="00326519"/>
    <w:rsid w:val="00326945"/>
    <w:rsid w:val="003301BF"/>
    <w:rsid w:val="00330E25"/>
    <w:rsid w:val="0033341B"/>
    <w:rsid w:val="00333AA9"/>
    <w:rsid w:val="00333AE1"/>
    <w:rsid w:val="00333F3D"/>
    <w:rsid w:val="003344D1"/>
    <w:rsid w:val="00334AB1"/>
    <w:rsid w:val="00335818"/>
    <w:rsid w:val="00335CA8"/>
    <w:rsid w:val="003365DB"/>
    <w:rsid w:val="00337EEB"/>
    <w:rsid w:val="0034135C"/>
    <w:rsid w:val="00341458"/>
    <w:rsid w:val="0034157B"/>
    <w:rsid w:val="00342D19"/>
    <w:rsid w:val="00343241"/>
    <w:rsid w:val="00343584"/>
    <w:rsid w:val="00343836"/>
    <w:rsid w:val="00343C50"/>
    <w:rsid w:val="00344187"/>
    <w:rsid w:val="003441FF"/>
    <w:rsid w:val="0034612C"/>
    <w:rsid w:val="0034723D"/>
    <w:rsid w:val="00347899"/>
    <w:rsid w:val="00347A33"/>
    <w:rsid w:val="003505DA"/>
    <w:rsid w:val="00352060"/>
    <w:rsid w:val="00353909"/>
    <w:rsid w:val="00354017"/>
    <w:rsid w:val="00354341"/>
    <w:rsid w:val="00354DE6"/>
    <w:rsid w:val="00356483"/>
    <w:rsid w:val="00356550"/>
    <w:rsid w:val="00356A0F"/>
    <w:rsid w:val="0036078A"/>
    <w:rsid w:val="00360E6E"/>
    <w:rsid w:val="00361027"/>
    <w:rsid w:val="0036109A"/>
    <w:rsid w:val="003616AF"/>
    <w:rsid w:val="00361AF2"/>
    <w:rsid w:val="0036265D"/>
    <w:rsid w:val="00362BD2"/>
    <w:rsid w:val="00362EDA"/>
    <w:rsid w:val="003630DF"/>
    <w:rsid w:val="0036345A"/>
    <w:rsid w:val="003635F2"/>
    <w:rsid w:val="003639D5"/>
    <w:rsid w:val="00363E2A"/>
    <w:rsid w:val="0036441C"/>
    <w:rsid w:val="003646A0"/>
    <w:rsid w:val="0036488F"/>
    <w:rsid w:val="00364CBC"/>
    <w:rsid w:val="00365103"/>
    <w:rsid w:val="0036535F"/>
    <w:rsid w:val="00365516"/>
    <w:rsid w:val="003656BF"/>
    <w:rsid w:val="0036660D"/>
    <w:rsid w:val="003679B8"/>
    <w:rsid w:val="003701AA"/>
    <w:rsid w:val="0037053D"/>
    <w:rsid w:val="00370AB1"/>
    <w:rsid w:val="00371529"/>
    <w:rsid w:val="0037160A"/>
    <w:rsid w:val="00371BC7"/>
    <w:rsid w:val="00371EC6"/>
    <w:rsid w:val="00372328"/>
    <w:rsid w:val="00374237"/>
    <w:rsid w:val="00376731"/>
    <w:rsid w:val="00376F45"/>
    <w:rsid w:val="0038027A"/>
    <w:rsid w:val="003804F8"/>
    <w:rsid w:val="0038074A"/>
    <w:rsid w:val="003808E8"/>
    <w:rsid w:val="003815A1"/>
    <w:rsid w:val="0038170F"/>
    <w:rsid w:val="003823CC"/>
    <w:rsid w:val="00382BA2"/>
    <w:rsid w:val="00383B7C"/>
    <w:rsid w:val="00383CB7"/>
    <w:rsid w:val="00383D74"/>
    <w:rsid w:val="00383DFC"/>
    <w:rsid w:val="0038439D"/>
    <w:rsid w:val="00385068"/>
    <w:rsid w:val="003862AE"/>
    <w:rsid w:val="00386D92"/>
    <w:rsid w:val="00387CDE"/>
    <w:rsid w:val="003914E6"/>
    <w:rsid w:val="003932D9"/>
    <w:rsid w:val="00393A1E"/>
    <w:rsid w:val="0039408D"/>
    <w:rsid w:val="00394119"/>
    <w:rsid w:val="00395850"/>
    <w:rsid w:val="00396617"/>
    <w:rsid w:val="003967DD"/>
    <w:rsid w:val="00396B4A"/>
    <w:rsid w:val="00397909"/>
    <w:rsid w:val="00397D79"/>
    <w:rsid w:val="003A0FA3"/>
    <w:rsid w:val="003A12D2"/>
    <w:rsid w:val="003A18C4"/>
    <w:rsid w:val="003A1A41"/>
    <w:rsid w:val="003A1F59"/>
    <w:rsid w:val="003A20C0"/>
    <w:rsid w:val="003A2462"/>
    <w:rsid w:val="003A28D7"/>
    <w:rsid w:val="003A32B5"/>
    <w:rsid w:val="003A3D5C"/>
    <w:rsid w:val="003A4246"/>
    <w:rsid w:val="003A5DC1"/>
    <w:rsid w:val="003A63AF"/>
    <w:rsid w:val="003A6B3F"/>
    <w:rsid w:val="003A7346"/>
    <w:rsid w:val="003A73E1"/>
    <w:rsid w:val="003B0754"/>
    <w:rsid w:val="003B0DF8"/>
    <w:rsid w:val="003B1315"/>
    <w:rsid w:val="003B2099"/>
    <w:rsid w:val="003B27DE"/>
    <w:rsid w:val="003B2DE5"/>
    <w:rsid w:val="003B4168"/>
    <w:rsid w:val="003B423A"/>
    <w:rsid w:val="003B4743"/>
    <w:rsid w:val="003B6CD7"/>
    <w:rsid w:val="003B6E2A"/>
    <w:rsid w:val="003B6FC4"/>
    <w:rsid w:val="003B753D"/>
    <w:rsid w:val="003B7D72"/>
    <w:rsid w:val="003C1792"/>
    <w:rsid w:val="003C1B55"/>
    <w:rsid w:val="003C27A3"/>
    <w:rsid w:val="003C2E7C"/>
    <w:rsid w:val="003C3400"/>
    <w:rsid w:val="003C3AAF"/>
    <w:rsid w:val="003C45B5"/>
    <w:rsid w:val="003C4759"/>
    <w:rsid w:val="003C47E3"/>
    <w:rsid w:val="003C4D21"/>
    <w:rsid w:val="003C5EE0"/>
    <w:rsid w:val="003C75C1"/>
    <w:rsid w:val="003D0A95"/>
    <w:rsid w:val="003D1096"/>
    <w:rsid w:val="003D128B"/>
    <w:rsid w:val="003D1C4C"/>
    <w:rsid w:val="003D1D46"/>
    <w:rsid w:val="003D268C"/>
    <w:rsid w:val="003D3648"/>
    <w:rsid w:val="003D3A35"/>
    <w:rsid w:val="003D3B79"/>
    <w:rsid w:val="003D45BC"/>
    <w:rsid w:val="003D4B22"/>
    <w:rsid w:val="003E058F"/>
    <w:rsid w:val="003E0E4D"/>
    <w:rsid w:val="003E16D5"/>
    <w:rsid w:val="003E17C7"/>
    <w:rsid w:val="003E23BE"/>
    <w:rsid w:val="003E3FDF"/>
    <w:rsid w:val="003E4084"/>
    <w:rsid w:val="003E4111"/>
    <w:rsid w:val="003E4326"/>
    <w:rsid w:val="003E49CD"/>
    <w:rsid w:val="003E5F03"/>
    <w:rsid w:val="003E66DA"/>
    <w:rsid w:val="003F053E"/>
    <w:rsid w:val="003F0A11"/>
    <w:rsid w:val="003F0BB7"/>
    <w:rsid w:val="003F17F4"/>
    <w:rsid w:val="003F190A"/>
    <w:rsid w:val="003F1EB9"/>
    <w:rsid w:val="003F2680"/>
    <w:rsid w:val="003F441D"/>
    <w:rsid w:val="003F4A24"/>
    <w:rsid w:val="003F5EBE"/>
    <w:rsid w:val="003F5F0E"/>
    <w:rsid w:val="003F67D8"/>
    <w:rsid w:val="003F6DAE"/>
    <w:rsid w:val="003F6E0B"/>
    <w:rsid w:val="00400036"/>
    <w:rsid w:val="004005A9"/>
    <w:rsid w:val="00400CF4"/>
    <w:rsid w:val="00401340"/>
    <w:rsid w:val="00401BFE"/>
    <w:rsid w:val="004025DE"/>
    <w:rsid w:val="00403561"/>
    <w:rsid w:val="00403FDF"/>
    <w:rsid w:val="00404745"/>
    <w:rsid w:val="0040488E"/>
    <w:rsid w:val="00405182"/>
    <w:rsid w:val="004057C2"/>
    <w:rsid w:val="00407ED1"/>
    <w:rsid w:val="00410073"/>
    <w:rsid w:val="00410199"/>
    <w:rsid w:val="00410AFF"/>
    <w:rsid w:val="00410FE7"/>
    <w:rsid w:val="00411C4D"/>
    <w:rsid w:val="00411C7A"/>
    <w:rsid w:val="00412CF4"/>
    <w:rsid w:val="004131C1"/>
    <w:rsid w:val="0041387A"/>
    <w:rsid w:val="00414721"/>
    <w:rsid w:val="004148C3"/>
    <w:rsid w:val="00414954"/>
    <w:rsid w:val="00415267"/>
    <w:rsid w:val="004159F6"/>
    <w:rsid w:val="00415FDA"/>
    <w:rsid w:val="004165C0"/>
    <w:rsid w:val="004166B6"/>
    <w:rsid w:val="00416973"/>
    <w:rsid w:val="00416ABA"/>
    <w:rsid w:val="00416C56"/>
    <w:rsid w:val="00417348"/>
    <w:rsid w:val="004173E2"/>
    <w:rsid w:val="00417835"/>
    <w:rsid w:val="00417F93"/>
    <w:rsid w:val="004204B0"/>
    <w:rsid w:val="0042053B"/>
    <w:rsid w:val="00420F1B"/>
    <w:rsid w:val="004217EB"/>
    <w:rsid w:val="004218E8"/>
    <w:rsid w:val="004218EF"/>
    <w:rsid w:val="004222D2"/>
    <w:rsid w:val="00422303"/>
    <w:rsid w:val="004224F7"/>
    <w:rsid w:val="00422740"/>
    <w:rsid w:val="00423377"/>
    <w:rsid w:val="00423657"/>
    <w:rsid w:val="0042378F"/>
    <w:rsid w:val="004241A5"/>
    <w:rsid w:val="0042648B"/>
    <w:rsid w:val="00426754"/>
    <w:rsid w:val="0042680C"/>
    <w:rsid w:val="0043128E"/>
    <w:rsid w:val="00431914"/>
    <w:rsid w:val="00431B0E"/>
    <w:rsid w:val="00431F72"/>
    <w:rsid w:val="0043441D"/>
    <w:rsid w:val="00434D89"/>
    <w:rsid w:val="004353E6"/>
    <w:rsid w:val="004357E4"/>
    <w:rsid w:val="00435907"/>
    <w:rsid w:val="00436B39"/>
    <w:rsid w:val="004374E3"/>
    <w:rsid w:val="00437DEB"/>
    <w:rsid w:val="00437F07"/>
    <w:rsid w:val="00437F64"/>
    <w:rsid w:val="00440086"/>
    <w:rsid w:val="00440779"/>
    <w:rsid w:val="00441280"/>
    <w:rsid w:val="00441D7C"/>
    <w:rsid w:val="00442B45"/>
    <w:rsid w:val="00442E03"/>
    <w:rsid w:val="00442E31"/>
    <w:rsid w:val="00442F27"/>
    <w:rsid w:val="00443297"/>
    <w:rsid w:val="00443652"/>
    <w:rsid w:val="0044488D"/>
    <w:rsid w:val="00445701"/>
    <w:rsid w:val="004464CB"/>
    <w:rsid w:val="0044698C"/>
    <w:rsid w:val="00447660"/>
    <w:rsid w:val="004476BC"/>
    <w:rsid w:val="00447F65"/>
    <w:rsid w:val="004512F5"/>
    <w:rsid w:val="00451F64"/>
    <w:rsid w:val="00454149"/>
    <w:rsid w:val="00454302"/>
    <w:rsid w:val="00456CF5"/>
    <w:rsid w:val="00456E56"/>
    <w:rsid w:val="004600F5"/>
    <w:rsid w:val="0046052D"/>
    <w:rsid w:val="00460E46"/>
    <w:rsid w:val="00461043"/>
    <w:rsid w:val="0046142F"/>
    <w:rsid w:val="00461D22"/>
    <w:rsid w:val="004629E4"/>
    <w:rsid w:val="004630B7"/>
    <w:rsid w:val="00465994"/>
    <w:rsid w:val="00465A45"/>
    <w:rsid w:val="00466F3E"/>
    <w:rsid w:val="00467044"/>
    <w:rsid w:val="0046745E"/>
    <w:rsid w:val="0046747D"/>
    <w:rsid w:val="0046793D"/>
    <w:rsid w:val="004701BF"/>
    <w:rsid w:val="004704E6"/>
    <w:rsid w:val="00470767"/>
    <w:rsid w:val="00471752"/>
    <w:rsid w:val="004740C0"/>
    <w:rsid w:val="004747AD"/>
    <w:rsid w:val="0047481C"/>
    <w:rsid w:val="00475C7B"/>
    <w:rsid w:val="00475E0F"/>
    <w:rsid w:val="0047685D"/>
    <w:rsid w:val="0048021A"/>
    <w:rsid w:val="004802E8"/>
    <w:rsid w:val="00480E83"/>
    <w:rsid w:val="004816F6"/>
    <w:rsid w:val="004822C1"/>
    <w:rsid w:val="00482985"/>
    <w:rsid w:val="00483255"/>
    <w:rsid w:val="00483DC5"/>
    <w:rsid w:val="0048446B"/>
    <w:rsid w:val="004844C6"/>
    <w:rsid w:val="00484ACF"/>
    <w:rsid w:val="00487DFB"/>
    <w:rsid w:val="00490326"/>
    <w:rsid w:val="0049038E"/>
    <w:rsid w:val="00490470"/>
    <w:rsid w:val="00493840"/>
    <w:rsid w:val="00493856"/>
    <w:rsid w:val="00493B6A"/>
    <w:rsid w:val="00495198"/>
    <w:rsid w:val="00496A21"/>
    <w:rsid w:val="00497012"/>
    <w:rsid w:val="00497BB5"/>
    <w:rsid w:val="004A083B"/>
    <w:rsid w:val="004A1519"/>
    <w:rsid w:val="004A1DFA"/>
    <w:rsid w:val="004A23AB"/>
    <w:rsid w:val="004A27F3"/>
    <w:rsid w:val="004A378C"/>
    <w:rsid w:val="004A3850"/>
    <w:rsid w:val="004A3A32"/>
    <w:rsid w:val="004A3CFF"/>
    <w:rsid w:val="004A41AC"/>
    <w:rsid w:val="004A4742"/>
    <w:rsid w:val="004A671C"/>
    <w:rsid w:val="004A6971"/>
    <w:rsid w:val="004A6C06"/>
    <w:rsid w:val="004A71E8"/>
    <w:rsid w:val="004B0F42"/>
    <w:rsid w:val="004B16C3"/>
    <w:rsid w:val="004B2A5A"/>
    <w:rsid w:val="004B2AF2"/>
    <w:rsid w:val="004B2E56"/>
    <w:rsid w:val="004B3FE2"/>
    <w:rsid w:val="004B4618"/>
    <w:rsid w:val="004B49C5"/>
    <w:rsid w:val="004B4C06"/>
    <w:rsid w:val="004B596A"/>
    <w:rsid w:val="004B6017"/>
    <w:rsid w:val="004B61F3"/>
    <w:rsid w:val="004C07EC"/>
    <w:rsid w:val="004C0E2C"/>
    <w:rsid w:val="004C1298"/>
    <w:rsid w:val="004C1AE7"/>
    <w:rsid w:val="004C21DB"/>
    <w:rsid w:val="004C2217"/>
    <w:rsid w:val="004C33C3"/>
    <w:rsid w:val="004C68C7"/>
    <w:rsid w:val="004C6A72"/>
    <w:rsid w:val="004C71B3"/>
    <w:rsid w:val="004C7303"/>
    <w:rsid w:val="004C797F"/>
    <w:rsid w:val="004C7AC3"/>
    <w:rsid w:val="004C7C80"/>
    <w:rsid w:val="004D0B51"/>
    <w:rsid w:val="004D1679"/>
    <w:rsid w:val="004D1979"/>
    <w:rsid w:val="004D2E1D"/>
    <w:rsid w:val="004D312C"/>
    <w:rsid w:val="004D3931"/>
    <w:rsid w:val="004D412A"/>
    <w:rsid w:val="004D5D5E"/>
    <w:rsid w:val="004D6659"/>
    <w:rsid w:val="004D699D"/>
    <w:rsid w:val="004D6AA5"/>
    <w:rsid w:val="004D6C38"/>
    <w:rsid w:val="004D6F28"/>
    <w:rsid w:val="004D772D"/>
    <w:rsid w:val="004E08B9"/>
    <w:rsid w:val="004E3193"/>
    <w:rsid w:val="004E451B"/>
    <w:rsid w:val="004E4F09"/>
    <w:rsid w:val="004E5446"/>
    <w:rsid w:val="004E58AD"/>
    <w:rsid w:val="004E590B"/>
    <w:rsid w:val="004E5C17"/>
    <w:rsid w:val="004E78BD"/>
    <w:rsid w:val="004E7A44"/>
    <w:rsid w:val="004E7E5F"/>
    <w:rsid w:val="004E7FE4"/>
    <w:rsid w:val="004F00A1"/>
    <w:rsid w:val="004F00D0"/>
    <w:rsid w:val="004F01F6"/>
    <w:rsid w:val="004F0E3E"/>
    <w:rsid w:val="004F1934"/>
    <w:rsid w:val="004F3851"/>
    <w:rsid w:val="004F3856"/>
    <w:rsid w:val="004F3CE4"/>
    <w:rsid w:val="004F50CD"/>
    <w:rsid w:val="004F5B85"/>
    <w:rsid w:val="004F74BE"/>
    <w:rsid w:val="0050082D"/>
    <w:rsid w:val="00501F64"/>
    <w:rsid w:val="005021F5"/>
    <w:rsid w:val="00502EEB"/>
    <w:rsid w:val="005032F7"/>
    <w:rsid w:val="00503A20"/>
    <w:rsid w:val="005050A6"/>
    <w:rsid w:val="00505FBB"/>
    <w:rsid w:val="005063F0"/>
    <w:rsid w:val="00506483"/>
    <w:rsid w:val="005067EF"/>
    <w:rsid w:val="0050700A"/>
    <w:rsid w:val="005072ED"/>
    <w:rsid w:val="00507638"/>
    <w:rsid w:val="005079C9"/>
    <w:rsid w:val="00507DB8"/>
    <w:rsid w:val="00510295"/>
    <w:rsid w:val="00510606"/>
    <w:rsid w:val="00510702"/>
    <w:rsid w:val="00510D6C"/>
    <w:rsid w:val="00511CEE"/>
    <w:rsid w:val="00511D0C"/>
    <w:rsid w:val="00512281"/>
    <w:rsid w:val="0051228D"/>
    <w:rsid w:val="00512B5A"/>
    <w:rsid w:val="0051307F"/>
    <w:rsid w:val="00513526"/>
    <w:rsid w:val="00513CA7"/>
    <w:rsid w:val="00514D71"/>
    <w:rsid w:val="00516565"/>
    <w:rsid w:val="00517278"/>
    <w:rsid w:val="00517A70"/>
    <w:rsid w:val="00517A99"/>
    <w:rsid w:val="005201D2"/>
    <w:rsid w:val="00520784"/>
    <w:rsid w:val="00521663"/>
    <w:rsid w:val="005219FB"/>
    <w:rsid w:val="00521F0F"/>
    <w:rsid w:val="00522236"/>
    <w:rsid w:val="005225C5"/>
    <w:rsid w:val="00522C69"/>
    <w:rsid w:val="00522D2D"/>
    <w:rsid w:val="005237D7"/>
    <w:rsid w:val="005243D5"/>
    <w:rsid w:val="005244F9"/>
    <w:rsid w:val="00524575"/>
    <w:rsid w:val="00524C51"/>
    <w:rsid w:val="00524EE3"/>
    <w:rsid w:val="005256F5"/>
    <w:rsid w:val="00525754"/>
    <w:rsid w:val="0052646A"/>
    <w:rsid w:val="00526BF5"/>
    <w:rsid w:val="00526D9F"/>
    <w:rsid w:val="00530B48"/>
    <w:rsid w:val="0053107A"/>
    <w:rsid w:val="005318C1"/>
    <w:rsid w:val="00534404"/>
    <w:rsid w:val="00536019"/>
    <w:rsid w:val="005364A8"/>
    <w:rsid w:val="00537243"/>
    <w:rsid w:val="00537A58"/>
    <w:rsid w:val="00537E45"/>
    <w:rsid w:val="005410BA"/>
    <w:rsid w:val="00541246"/>
    <w:rsid w:val="00541961"/>
    <w:rsid w:val="00542367"/>
    <w:rsid w:val="00542479"/>
    <w:rsid w:val="00542A30"/>
    <w:rsid w:val="00542AD0"/>
    <w:rsid w:val="00543517"/>
    <w:rsid w:val="00544E1A"/>
    <w:rsid w:val="005458E0"/>
    <w:rsid w:val="00545F41"/>
    <w:rsid w:val="00546B83"/>
    <w:rsid w:val="005473F3"/>
    <w:rsid w:val="00547BE2"/>
    <w:rsid w:val="00550505"/>
    <w:rsid w:val="00550852"/>
    <w:rsid w:val="0055190D"/>
    <w:rsid w:val="00551FCD"/>
    <w:rsid w:val="00552068"/>
    <w:rsid w:val="00553112"/>
    <w:rsid w:val="00553F42"/>
    <w:rsid w:val="00554197"/>
    <w:rsid w:val="00555A11"/>
    <w:rsid w:val="0055611B"/>
    <w:rsid w:val="00556459"/>
    <w:rsid w:val="00556FA7"/>
    <w:rsid w:val="00557B54"/>
    <w:rsid w:val="00560359"/>
    <w:rsid w:val="00560A2B"/>
    <w:rsid w:val="00562468"/>
    <w:rsid w:val="0056367E"/>
    <w:rsid w:val="005642A9"/>
    <w:rsid w:val="00565E52"/>
    <w:rsid w:val="00565FA9"/>
    <w:rsid w:val="00566237"/>
    <w:rsid w:val="005662DE"/>
    <w:rsid w:val="00566CF2"/>
    <w:rsid w:val="00566D4D"/>
    <w:rsid w:val="0056742B"/>
    <w:rsid w:val="00567579"/>
    <w:rsid w:val="00570226"/>
    <w:rsid w:val="005702E1"/>
    <w:rsid w:val="00570649"/>
    <w:rsid w:val="00570927"/>
    <w:rsid w:val="005725A8"/>
    <w:rsid w:val="0057341D"/>
    <w:rsid w:val="00573462"/>
    <w:rsid w:val="0057393A"/>
    <w:rsid w:val="005745E3"/>
    <w:rsid w:val="00574784"/>
    <w:rsid w:val="00575EE2"/>
    <w:rsid w:val="00576AF6"/>
    <w:rsid w:val="00577769"/>
    <w:rsid w:val="005777B5"/>
    <w:rsid w:val="00577CBC"/>
    <w:rsid w:val="005810B9"/>
    <w:rsid w:val="0058148C"/>
    <w:rsid w:val="00581821"/>
    <w:rsid w:val="00582456"/>
    <w:rsid w:val="00582514"/>
    <w:rsid w:val="005828B0"/>
    <w:rsid w:val="0058294C"/>
    <w:rsid w:val="00582E44"/>
    <w:rsid w:val="00583198"/>
    <w:rsid w:val="00583A4B"/>
    <w:rsid w:val="00583A93"/>
    <w:rsid w:val="00583C2A"/>
    <w:rsid w:val="005851C6"/>
    <w:rsid w:val="00585A65"/>
    <w:rsid w:val="00585D4A"/>
    <w:rsid w:val="005860B4"/>
    <w:rsid w:val="00586734"/>
    <w:rsid w:val="00586844"/>
    <w:rsid w:val="00586CC6"/>
    <w:rsid w:val="00590DCF"/>
    <w:rsid w:val="0059190D"/>
    <w:rsid w:val="005931C6"/>
    <w:rsid w:val="00593315"/>
    <w:rsid w:val="00593417"/>
    <w:rsid w:val="00593F3B"/>
    <w:rsid w:val="005944E6"/>
    <w:rsid w:val="0059552A"/>
    <w:rsid w:val="00596664"/>
    <w:rsid w:val="0059789F"/>
    <w:rsid w:val="005A05F1"/>
    <w:rsid w:val="005A0C9E"/>
    <w:rsid w:val="005A1742"/>
    <w:rsid w:val="005A2463"/>
    <w:rsid w:val="005A32D3"/>
    <w:rsid w:val="005A3395"/>
    <w:rsid w:val="005A3700"/>
    <w:rsid w:val="005A3E31"/>
    <w:rsid w:val="005A4263"/>
    <w:rsid w:val="005A5416"/>
    <w:rsid w:val="005A73FE"/>
    <w:rsid w:val="005B0674"/>
    <w:rsid w:val="005B06FC"/>
    <w:rsid w:val="005B1919"/>
    <w:rsid w:val="005B1B2C"/>
    <w:rsid w:val="005B1FD0"/>
    <w:rsid w:val="005B2380"/>
    <w:rsid w:val="005B2651"/>
    <w:rsid w:val="005B2FD0"/>
    <w:rsid w:val="005B4016"/>
    <w:rsid w:val="005B433F"/>
    <w:rsid w:val="005B49E6"/>
    <w:rsid w:val="005B5A22"/>
    <w:rsid w:val="005B70BF"/>
    <w:rsid w:val="005B73D0"/>
    <w:rsid w:val="005B7D78"/>
    <w:rsid w:val="005C0F6E"/>
    <w:rsid w:val="005C176A"/>
    <w:rsid w:val="005C1A41"/>
    <w:rsid w:val="005C27AC"/>
    <w:rsid w:val="005C2D24"/>
    <w:rsid w:val="005C3596"/>
    <w:rsid w:val="005C3F1B"/>
    <w:rsid w:val="005C4083"/>
    <w:rsid w:val="005C4E97"/>
    <w:rsid w:val="005C50F7"/>
    <w:rsid w:val="005C5246"/>
    <w:rsid w:val="005D071B"/>
    <w:rsid w:val="005D13AB"/>
    <w:rsid w:val="005D1EDA"/>
    <w:rsid w:val="005D1F66"/>
    <w:rsid w:val="005D26C8"/>
    <w:rsid w:val="005D283C"/>
    <w:rsid w:val="005D32EF"/>
    <w:rsid w:val="005D33D5"/>
    <w:rsid w:val="005D348B"/>
    <w:rsid w:val="005D3E0F"/>
    <w:rsid w:val="005D5465"/>
    <w:rsid w:val="005D59AC"/>
    <w:rsid w:val="005D5AE1"/>
    <w:rsid w:val="005D5D7E"/>
    <w:rsid w:val="005D6939"/>
    <w:rsid w:val="005D6FA2"/>
    <w:rsid w:val="005D70AD"/>
    <w:rsid w:val="005D775F"/>
    <w:rsid w:val="005E0205"/>
    <w:rsid w:val="005E0456"/>
    <w:rsid w:val="005E0481"/>
    <w:rsid w:val="005E0B22"/>
    <w:rsid w:val="005E2B55"/>
    <w:rsid w:val="005E2B86"/>
    <w:rsid w:val="005E2DF1"/>
    <w:rsid w:val="005E2FBE"/>
    <w:rsid w:val="005E32F3"/>
    <w:rsid w:val="005E3F8C"/>
    <w:rsid w:val="005E5332"/>
    <w:rsid w:val="005E6464"/>
    <w:rsid w:val="005E711E"/>
    <w:rsid w:val="005E781C"/>
    <w:rsid w:val="005E7DB1"/>
    <w:rsid w:val="005F04BA"/>
    <w:rsid w:val="005F08C7"/>
    <w:rsid w:val="005F094D"/>
    <w:rsid w:val="005F1327"/>
    <w:rsid w:val="005F1571"/>
    <w:rsid w:val="005F251B"/>
    <w:rsid w:val="005F2A19"/>
    <w:rsid w:val="005F2CDA"/>
    <w:rsid w:val="005F35BB"/>
    <w:rsid w:val="005F416A"/>
    <w:rsid w:val="005F4329"/>
    <w:rsid w:val="005F5447"/>
    <w:rsid w:val="005F5727"/>
    <w:rsid w:val="005F6B8C"/>
    <w:rsid w:val="005F7017"/>
    <w:rsid w:val="005F77CE"/>
    <w:rsid w:val="005F7863"/>
    <w:rsid w:val="006002A2"/>
    <w:rsid w:val="006016B8"/>
    <w:rsid w:val="006021B8"/>
    <w:rsid w:val="00602314"/>
    <w:rsid w:val="00603163"/>
    <w:rsid w:val="00603A83"/>
    <w:rsid w:val="00603F97"/>
    <w:rsid w:val="00604396"/>
    <w:rsid w:val="00604564"/>
    <w:rsid w:val="00604992"/>
    <w:rsid w:val="00604BCF"/>
    <w:rsid w:val="00605BDF"/>
    <w:rsid w:val="00606455"/>
    <w:rsid w:val="00610FAB"/>
    <w:rsid w:val="0061115A"/>
    <w:rsid w:val="0061182C"/>
    <w:rsid w:val="00612BFF"/>
    <w:rsid w:val="0061368A"/>
    <w:rsid w:val="0061418A"/>
    <w:rsid w:val="006141CC"/>
    <w:rsid w:val="00614815"/>
    <w:rsid w:val="00615216"/>
    <w:rsid w:val="00615A12"/>
    <w:rsid w:val="00615D45"/>
    <w:rsid w:val="006161DA"/>
    <w:rsid w:val="006170CA"/>
    <w:rsid w:val="00617FEF"/>
    <w:rsid w:val="00620043"/>
    <w:rsid w:val="00620494"/>
    <w:rsid w:val="00620C18"/>
    <w:rsid w:val="00621022"/>
    <w:rsid w:val="00621891"/>
    <w:rsid w:val="00621948"/>
    <w:rsid w:val="00621F06"/>
    <w:rsid w:val="00622660"/>
    <w:rsid w:val="0062291B"/>
    <w:rsid w:val="00622A84"/>
    <w:rsid w:val="006230C7"/>
    <w:rsid w:val="00623A73"/>
    <w:rsid w:val="00623B0D"/>
    <w:rsid w:val="00623ECC"/>
    <w:rsid w:val="0062404A"/>
    <w:rsid w:val="006245D5"/>
    <w:rsid w:val="00624E46"/>
    <w:rsid w:val="00625041"/>
    <w:rsid w:val="006250CB"/>
    <w:rsid w:val="00625F6E"/>
    <w:rsid w:val="00626D8B"/>
    <w:rsid w:val="00627569"/>
    <w:rsid w:val="00627D8E"/>
    <w:rsid w:val="00630A93"/>
    <w:rsid w:val="00630CB4"/>
    <w:rsid w:val="00633177"/>
    <w:rsid w:val="00633C97"/>
    <w:rsid w:val="006341F0"/>
    <w:rsid w:val="00634FDC"/>
    <w:rsid w:val="0063626C"/>
    <w:rsid w:val="0063637A"/>
    <w:rsid w:val="006365AC"/>
    <w:rsid w:val="00636D0F"/>
    <w:rsid w:val="00636E93"/>
    <w:rsid w:val="00636FD1"/>
    <w:rsid w:val="006371EF"/>
    <w:rsid w:val="006373D5"/>
    <w:rsid w:val="006411A7"/>
    <w:rsid w:val="00642CEB"/>
    <w:rsid w:val="00642F7A"/>
    <w:rsid w:val="0064332A"/>
    <w:rsid w:val="0064365F"/>
    <w:rsid w:val="00643B28"/>
    <w:rsid w:val="00643DBD"/>
    <w:rsid w:val="006444B2"/>
    <w:rsid w:val="0064512F"/>
    <w:rsid w:val="0064572F"/>
    <w:rsid w:val="00645CED"/>
    <w:rsid w:val="006460B2"/>
    <w:rsid w:val="00646DD8"/>
    <w:rsid w:val="00647070"/>
    <w:rsid w:val="00647EB2"/>
    <w:rsid w:val="0065006D"/>
    <w:rsid w:val="0065012F"/>
    <w:rsid w:val="006515DE"/>
    <w:rsid w:val="00652A65"/>
    <w:rsid w:val="00653236"/>
    <w:rsid w:val="00653721"/>
    <w:rsid w:val="00653954"/>
    <w:rsid w:val="006539EC"/>
    <w:rsid w:val="0065498C"/>
    <w:rsid w:val="006554C5"/>
    <w:rsid w:val="0065565B"/>
    <w:rsid w:val="006570DC"/>
    <w:rsid w:val="006575F0"/>
    <w:rsid w:val="00657A0C"/>
    <w:rsid w:val="00657C63"/>
    <w:rsid w:val="00657F7F"/>
    <w:rsid w:val="00657FFD"/>
    <w:rsid w:val="006605D4"/>
    <w:rsid w:val="006605E9"/>
    <w:rsid w:val="00660D00"/>
    <w:rsid w:val="006622BE"/>
    <w:rsid w:val="006631AD"/>
    <w:rsid w:val="00663298"/>
    <w:rsid w:val="006634C2"/>
    <w:rsid w:val="006635D3"/>
    <w:rsid w:val="00663C52"/>
    <w:rsid w:val="00664249"/>
    <w:rsid w:val="00665669"/>
    <w:rsid w:val="00665F53"/>
    <w:rsid w:val="00665F6E"/>
    <w:rsid w:val="00666EDE"/>
    <w:rsid w:val="00666F68"/>
    <w:rsid w:val="00667AE2"/>
    <w:rsid w:val="00670BDF"/>
    <w:rsid w:val="00671A6F"/>
    <w:rsid w:val="00672801"/>
    <w:rsid w:val="00672849"/>
    <w:rsid w:val="00672C0A"/>
    <w:rsid w:val="00672C44"/>
    <w:rsid w:val="00674A43"/>
    <w:rsid w:val="00674D0C"/>
    <w:rsid w:val="006769D9"/>
    <w:rsid w:val="00677B51"/>
    <w:rsid w:val="00677B65"/>
    <w:rsid w:val="00680F64"/>
    <w:rsid w:val="00681A48"/>
    <w:rsid w:val="006825D2"/>
    <w:rsid w:val="00683844"/>
    <w:rsid w:val="00683C1B"/>
    <w:rsid w:val="00684948"/>
    <w:rsid w:val="006852B7"/>
    <w:rsid w:val="00686B53"/>
    <w:rsid w:val="00687160"/>
    <w:rsid w:val="00687388"/>
    <w:rsid w:val="006873CC"/>
    <w:rsid w:val="006878DE"/>
    <w:rsid w:val="00687D36"/>
    <w:rsid w:val="00691352"/>
    <w:rsid w:val="0069175E"/>
    <w:rsid w:val="00691F16"/>
    <w:rsid w:val="00692146"/>
    <w:rsid w:val="00692542"/>
    <w:rsid w:val="0069318D"/>
    <w:rsid w:val="00693CDD"/>
    <w:rsid w:val="00693F74"/>
    <w:rsid w:val="0069590F"/>
    <w:rsid w:val="0069643E"/>
    <w:rsid w:val="0069669A"/>
    <w:rsid w:val="00696D38"/>
    <w:rsid w:val="00696F37"/>
    <w:rsid w:val="006972DD"/>
    <w:rsid w:val="006975FC"/>
    <w:rsid w:val="006A038D"/>
    <w:rsid w:val="006A0571"/>
    <w:rsid w:val="006A08A7"/>
    <w:rsid w:val="006A2301"/>
    <w:rsid w:val="006A251E"/>
    <w:rsid w:val="006A335C"/>
    <w:rsid w:val="006A40C7"/>
    <w:rsid w:val="006A4268"/>
    <w:rsid w:val="006A43B1"/>
    <w:rsid w:val="006A4A1A"/>
    <w:rsid w:val="006A4D8F"/>
    <w:rsid w:val="006A5337"/>
    <w:rsid w:val="006A5F97"/>
    <w:rsid w:val="006A6065"/>
    <w:rsid w:val="006A757F"/>
    <w:rsid w:val="006A7736"/>
    <w:rsid w:val="006A7AF1"/>
    <w:rsid w:val="006B05C6"/>
    <w:rsid w:val="006B0C53"/>
    <w:rsid w:val="006B1978"/>
    <w:rsid w:val="006B1EDC"/>
    <w:rsid w:val="006B2253"/>
    <w:rsid w:val="006B3676"/>
    <w:rsid w:val="006B43C0"/>
    <w:rsid w:val="006B4E70"/>
    <w:rsid w:val="006B54AA"/>
    <w:rsid w:val="006B7265"/>
    <w:rsid w:val="006B7A19"/>
    <w:rsid w:val="006C253A"/>
    <w:rsid w:val="006C25D1"/>
    <w:rsid w:val="006C28D4"/>
    <w:rsid w:val="006C29EC"/>
    <w:rsid w:val="006C2D7D"/>
    <w:rsid w:val="006C35B6"/>
    <w:rsid w:val="006C6286"/>
    <w:rsid w:val="006C64F1"/>
    <w:rsid w:val="006C66C2"/>
    <w:rsid w:val="006C6BE9"/>
    <w:rsid w:val="006C6EEA"/>
    <w:rsid w:val="006C76F7"/>
    <w:rsid w:val="006C78F3"/>
    <w:rsid w:val="006D0089"/>
    <w:rsid w:val="006D00A1"/>
    <w:rsid w:val="006D0610"/>
    <w:rsid w:val="006D0DBF"/>
    <w:rsid w:val="006D159D"/>
    <w:rsid w:val="006D1A45"/>
    <w:rsid w:val="006D2958"/>
    <w:rsid w:val="006D2B89"/>
    <w:rsid w:val="006D2BF6"/>
    <w:rsid w:val="006D3294"/>
    <w:rsid w:val="006D336E"/>
    <w:rsid w:val="006D429A"/>
    <w:rsid w:val="006D5134"/>
    <w:rsid w:val="006D5BB1"/>
    <w:rsid w:val="006D5C66"/>
    <w:rsid w:val="006D6913"/>
    <w:rsid w:val="006D70A1"/>
    <w:rsid w:val="006E05B4"/>
    <w:rsid w:val="006E05BA"/>
    <w:rsid w:val="006E09EC"/>
    <w:rsid w:val="006E1239"/>
    <w:rsid w:val="006E1C0D"/>
    <w:rsid w:val="006E339B"/>
    <w:rsid w:val="006E385F"/>
    <w:rsid w:val="006E3A51"/>
    <w:rsid w:val="006E499F"/>
    <w:rsid w:val="006E4F44"/>
    <w:rsid w:val="006E5C0C"/>
    <w:rsid w:val="006E64EB"/>
    <w:rsid w:val="006E71C9"/>
    <w:rsid w:val="006E7C3F"/>
    <w:rsid w:val="006E7F9A"/>
    <w:rsid w:val="006F0055"/>
    <w:rsid w:val="006F10F7"/>
    <w:rsid w:val="006F1586"/>
    <w:rsid w:val="006F1F0B"/>
    <w:rsid w:val="006F2B56"/>
    <w:rsid w:val="006F3BC5"/>
    <w:rsid w:val="006F47EF"/>
    <w:rsid w:val="006F4ACE"/>
    <w:rsid w:val="006F549B"/>
    <w:rsid w:val="006F57D7"/>
    <w:rsid w:val="006F5B56"/>
    <w:rsid w:val="006F5D1A"/>
    <w:rsid w:val="006F5D5A"/>
    <w:rsid w:val="006F6095"/>
    <w:rsid w:val="006F69D4"/>
    <w:rsid w:val="006F6E14"/>
    <w:rsid w:val="006F72FC"/>
    <w:rsid w:val="006F7565"/>
    <w:rsid w:val="006F7FD2"/>
    <w:rsid w:val="0070010A"/>
    <w:rsid w:val="007028FC"/>
    <w:rsid w:val="00702D49"/>
    <w:rsid w:val="00702FE9"/>
    <w:rsid w:val="00703D42"/>
    <w:rsid w:val="00704F5D"/>
    <w:rsid w:val="007056F1"/>
    <w:rsid w:val="007062DB"/>
    <w:rsid w:val="00706866"/>
    <w:rsid w:val="00706969"/>
    <w:rsid w:val="00706C64"/>
    <w:rsid w:val="00707105"/>
    <w:rsid w:val="00711289"/>
    <w:rsid w:val="007112BD"/>
    <w:rsid w:val="007118AB"/>
    <w:rsid w:val="007119B4"/>
    <w:rsid w:val="00711C4C"/>
    <w:rsid w:val="007121A0"/>
    <w:rsid w:val="007121E9"/>
    <w:rsid w:val="007134B5"/>
    <w:rsid w:val="00713C33"/>
    <w:rsid w:val="007156AD"/>
    <w:rsid w:val="007158A0"/>
    <w:rsid w:val="00715B52"/>
    <w:rsid w:val="00715CED"/>
    <w:rsid w:val="00715F3C"/>
    <w:rsid w:val="0071647A"/>
    <w:rsid w:val="007164CF"/>
    <w:rsid w:val="00716A59"/>
    <w:rsid w:val="007208E0"/>
    <w:rsid w:val="00721ECC"/>
    <w:rsid w:val="0072202A"/>
    <w:rsid w:val="00722902"/>
    <w:rsid w:val="00723496"/>
    <w:rsid w:val="00723A86"/>
    <w:rsid w:val="00725267"/>
    <w:rsid w:val="00725479"/>
    <w:rsid w:val="00725B6E"/>
    <w:rsid w:val="007263C0"/>
    <w:rsid w:val="00726D52"/>
    <w:rsid w:val="00727026"/>
    <w:rsid w:val="00727652"/>
    <w:rsid w:val="0072768E"/>
    <w:rsid w:val="00727C77"/>
    <w:rsid w:val="00727D4E"/>
    <w:rsid w:val="007307EF"/>
    <w:rsid w:val="007316A9"/>
    <w:rsid w:val="00732053"/>
    <w:rsid w:val="00732804"/>
    <w:rsid w:val="00733FE8"/>
    <w:rsid w:val="007340D0"/>
    <w:rsid w:val="0073473C"/>
    <w:rsid w:val="0073477D"/>
    <w:rsid w:val="00734B72"/>
    <w:rsid w:val="00735CD2"/>
    <w:rsid w:val="00735F5C"/>
    <w:rsid w:val="007368BC"/>
    <w:rsid w:val="00737166"/>
    <w:rsid w:val="0073731C"/>
    <w:rsid w:val="00737955"/>
    <w:rsid w:val="00737B96"/>
    <w:rsid w:val="007401E3"/>
    <w:rsid w:val="00740464"/>
    <w:rsid w:val="007407E5"/>
    <w:rsid w:val="00740D1B"/>
    <w:rsid w:val="00741611"/>
    <w:rsid w:val="007418A9"/>
    <w:rsid w:val="007431B2"/>
    <w:rsid w:val="00743869"/>
    <w:rsid w:val="00743BCB"/>
    <w:rsid w:val="0074418D"/>
    <w:rsid w:val="00744F54"/>
    <w:rsid w:val="007459CE"/>
    <w:rsid w:val="00745F14"/>
    <w:rsid w:val="007469EB"/>
    <w:rsid w:val="00746E90"/>
    <w:rsid w:val="00750F83"/>
    <w:rsid w:val="00751A69"/>
    <w:rsid w:val="0075219C"/>
    <w:rsid w:val="00752C1F"/>
    <w:rsid w:val="00752E61"/>
    <w:rsid w:val="00752F4C"/>
    <w:rsid w:val="00753E79"/>
    <w:rsid w:val="00753FC4"/>
    <w:rsid w:val="0075464B"/>
    <w:rsid w:val="00754928"/>
    <w:rsid w:val="00754B45"/>
    <w:rsid w:val="00755684"/>
    <w:rsid w:val="00755B4B"/>
    <w:rsid w:val="007561C2"/>
    <w:rsid w:val="00757D55"/>
    <w:rsid w:val="0076016C"/>
    <w:rsid w:val="007602E5"/>
    <w:rsid w:val="007606FD"/>
    <w:rsid w:val="0076085D"/>
    <w:rsid w:val="00760961"/>
    <w:rsid w:val="00761994"/>
    <w:rsid w:val="00762A7C"/>
    <w:rsid w:val="00762DA7"/>
    <w:rsid w:val="00763D62"/>
    <w:rsid w:val="0076509C"/>
    <w:rsid w:val="00765F48"/>
    <w:rsid w:val="0076603A"/>
    <w:rsid w:val="00766A9B"/>
    <w:rsid w:val="00767372"/>
    <w:rsid w:val="007677BD"/>
    <w:rsid w:val="00767993"/>
    <w:rsid w:val="0077230D"/>
    <w:rsid w:val="007723B2"/>
    <w:rsid w:val="00772922"/>
    <w:rsid w:val="00772E9B"/>
    <w:rsid w:val="00773E4E"/>
    <w:rsid w:val="00773E85"/>
    <w:rsid w:val="007741D1"/>
    <w:rsid w:val="00774939"/>
    <w:rsid w:val="007752AC"/>
    <w:rsid w:val="007754A5"/>
    <w:rsid w:val="00775597"/>
    <w:rsid w:val="0077654B"/>
    <w:rsid w:val="0077662E"/>
    <w:rsid w:val="007778CD"/>
    <w:rsid w:val="007813EA"/>
    <w:rsid w:val="00781892"/>
    <w:rsid w:val="0078202C"/>
    <w:rsid w:val="00782C62"/>
    <w:rsid w:val="00783BC9"/>
    <w:rsid w:val="007851D2"/>
    <w:rsid w:val="0078585A"/>
    <w:rsid w:val="00785FB2"/>
    <w:rsid w:val="007864C4"/>
    <w:rsid w:val="0078674F"/>
    <w:rsid w:val="00786EE0"/>
    <w:rsid w:val="0078795B"/>
    <w:rsid w:val="00790D9E"/>
    <w:rsid w:val="00790E39"/>
    <w:rsid w:val="00792438"/>
    <w:rsid w:val="00793155"/>
    <w:rsid w:val="00793B85"/>
    <w:rsid w:val="00794B0E"/>
    <w:rsid w:val="00794CCA"/>
    <w:rsid w:val="007950D6"/>
    <w:rsid w:val="00795634"/>
    <w:rsid w:val="00795C01"/>
    <w:rsid w:val="007961EB"/>
    <w:rsid w:val="00796C65"/>
    <w:rsid w:val="00796D83"/>
    <w:rsid w:val="00796E37"/>
    <w:rsid w:val="00796F9A"/>
    <w:rsid w:val="007A1E50"/>
    <w:rsid w:val="007A26FD"/>
    <w:rsid w:val="007A2E3D"/>
    <w:rsid w:val="007A2E6F"/>
    <w:rsid w:val="007A2E71"/>
    <w:rsid w:val="007A3AC9"/>
    <w:rsid w:val="007A4411"/>
    <w:rsid w:val="007A461D"/>
    <w:rsid w:val="007A4A28"/>
    <w:rsid w:val="007A4C9F"/>
    <w:rsid w:val="007A6C1A"/>
    <w:rsid w:val="007A73ED"/>
    <w:rsid w:val="007B01D0"/>
    <w:rsid w:val="007B0450"/>
    <w:rsid w:val="007B08C8"/>
    <w:rsid w:val="007B208E"/>
    <w:rsid w:val="007B3239"/>
    <w:rsid w:val="007B3B89"/>
    <w:rsid w:val="007B3DD6"/>
    <w:rsid w:val="007B3EF4"/>
    <w:rsid w:val="007B62BA"/>
    <w:rsid w:val="007B649A"/>
    <w:rsid w:val="007B65CF"/>
    <w:rsid w:val="007B670A"/>
    <w:rsid w:val="007B69AD"/>
    <w:rsid w:val="007B6B40"/>
    <w:rsid w:val="007B70DF"/>
    <w:rsid w:val="007B728D"/>
    <w:rsid w:val="007B72CD"/>
    <w:rsid w:val="007B7D13"/>
    <w:rsid w:val="007C070D"/>
    <w:rsid w:val="007C0CBB"/>
    <w:rsid w:val="007C10FE"/>
    <w:rsid w:val="007C2221"/>
    <w:rsid w:val="007C2498"/>
    <w:rsid w:val="007C2778"/>
    <w:rsid w:val="007C2F48"/>
    <w:rsid w:val="007C3845"/>
    <w:rsid w:val="007C4EB8"/>
    <w:rsid w:val="007C657B"/>
    <w:rsid w:val="007C6B92"/>
    <w:rsid w:val="007D03C9"/>
    <w:rsid w:val="007D091B"/>
    <w:rsid w:val="007D1D2A"/>
    <w:rsid w:val="007D2003"/>
    <w:rsid w:val="007D3676"/>
    <w:rsid w:val="007D44CF"/>
    <w:rsid w:val="007D47AA"/>
    <w:rsid w:val="007D5828"/>
    <w:rsid w:val="007D5A8C"/>
    <w:rsid w:val="007D5D54"/>
    <w:rsid w:val="007D6320"/>
    <w:rsid w:val="007D7EE2"/>
    <w:rsid w:val="007E1923"/>
    <w:rsid w:val="007E4318"/>
    <w:rsid w:val="007E67AF"/>
    <w:rsid w:val="007E6BC7"/>
    <w:rsid w:val="007F140A"/>
    <w:rsid w:val="007F1FBC"/>
    <w:rsid w:val="007F2824"/>
    <w:rsid w:val="007F2B4D"/>
    <w:rsid w:val="007F3B4A"/>
    <w:rsid w:val="007F4286"/>
    <w:rsid w:val="007F467D"/>
    <w:rsid w:val="007F4B4A"/>
    <w:rsid w:val="007F518F"/>
    <w:rsid w:val="007F5E45"/>
    <w:rsid w:val="007F6978"/>
    <w:rsid w:val="007F7515"/>
    <w:rsid w:val="007F774D"/>
    <w:rsid w:val="00800DB0"/>
    <w:rsid w:val="00801A94"/>
    <w:rsid w:val="00802AC9"/>
    <w:rsid w:val="00802B1D"/>
    <w:rsid w:val="00802B7F"/>
    <w:rsid w:val="00802D22"/>
    <w:rsid w:val="008030F7"/>
    <w:rsid w:val="00805AEF"/>
    <w:rsid w:val="00805CDE"/>
    <w:rsid w:val="00805E59"/>
    <w:rsid w:val="0080665C"/>
    <w:rsid w:val="00806B6B"/>
    <w:rsid w:val="00806E19"/>
    <w:rsid w:val="0080758F"/>
    <w:rsid w:val="008105C7"/>
    <w:rsid w:val="008113E7"/>
    <w:rsid w:val="008114AE"/>
    <w:rsid w:val="008114D1"/>
    <w:rsid w:val="008118B3"/>
    <w:rsid w:val="00811E24"/>
    <w:rsid w:val="00812245"/>
    <w:rsid w:val="008129CB"/>
    <w:rsid w:val="0081341A"/>
    <w:rsid w:val="008160E4"/>
    <w:rsid w:val="008200B7"/>
    <w:rsid w:val="00820D10"/>
    <w:rsid w:val="00820E93"/>
    <w:rsid w:val="00821299"/>
    <w:rsid w:val="00823471"/>
    <w:rsid w:val="008240F9"/>
    <w:rsid w:val="0082615B"/>
    <w:rsid w:val="00826D33"/>
    <w:rsid w:val="008275B9"/>
    <w:rsid w:val="00830162"/>
    <w:rsid w:val="0083093E"/>
    <w:rsid w:val="00830FAF"/>
    <w:rsid w:val="0083164E"/>
    <w:rsid w:val="00831914"/>
    <w:rsid w:val="00832153"/>
    <w:rsid w:val="008332FC"/>
    <w:rsid w:val="00833414"/>
    <w:rsid w:val="00835BE8"/>
    <w:rsid w:val="0083615E"/>
    <w:rsid w:val="00836A8A"/>
    <w:rsid w:val="00837367"/>
    <w:rsid w:val="00837BCE"/>
    <w:rsid w:val="008401CE"/>
    <w:rsid w:val="00841240"/>
    <w:rsid w:val="00842832"/>
    <w:rsid w:val="00842E49"/>
    <w:rsid w:val="008435AA"/>
    <w:rsid w:val="0084460D"/>
    <w:rsid w:val="0084588B"/>
    <w:rsid w:val="00845A95"/>
    <w:rsid w:val="00845AAA"/>
    <w:rsid w:val="00847E1A"/>
    <w:rsid w:val="00851172"/>
    <w:rsid w:val="0085154C"/>
    <w:rsid w:val="008524A5"/>
    <w:rsid w:val="00852586"/>
    <w:rsid w:val="00852BBD"/>
    <w:rsid w:val="00852D27"/>
    <w:rsid w:val="008531DD"/>
    <w:rsid w:val="00854255"/>
    <w:rsid w:val="008542D4"/>
    <w:rsid w:val="008546B9"/>
    <w:rsid w:val="0085481D"/>
    <w:rsid w:val="00854A86"/>
    <w:rsid w:val="00855915"/>
    <w:rsid w:val="0085605F"/>
    <w:rsid w:val="00857237"/>
    <w:rsid w:val="0085744B"/>
    <w:rsid w:val="00857CB1"/>
    <w:rsid w:val="00862D32"/>
    <w:rsid w:val="00863E9C"/>
    <w:rsid w:val="008642CD"/>
    <w:rsid w:val="0086430E"/>
    <w:rsid w:val="00864A80"/>
    <w:rsid w:val="00864E52"/>
    <w:rsid w:val="00865EA0"/>
    <w:rsid w:val="00866647"/>
    <w:rsid w:val="00866B03"/>
    <w:rsid w:val="00866BA0"/>
    <w:rsid w:val="00867BE8"/>
    <w:rsid w:val="00867C2B"/>
    <w:rsid w:val="00870A2D"/>
    <w:rsid w:val="00870CD4"/>
    <w:rsid w:val="008723B9"/>
    <w:rsid w:val="008728EF"/>
    <w:rsid w:val="0087343F"/>
    <w:rsid w:val="008740BC"/>
    <w:rsid w:val="00875229"/>
    <w:rsid w:val="00875A59"/>
    <w:rsid w:val="008760C3"/>
    <w:rsid w:val="00877688"/>
    <w:rsid w:val="0088012F"/>
    <w:rsid w:val="00880451"/>
    <w:rsid w:val="00880AF8"/>
    <w:rsid w:val="00881A05"/>
    <w:rsid w:val="00882078"/>
    <w:rsid w:val="00882DBA"/>
    <w:rsid w:val="0088406A"/>
    <w:rsid w:val="00884794"/>
    <w:rsid w:val="0088480B"/>
    <w:rsid w:val="0088491F"/>
    <w:rsid w:val="00884E7A"/>
    <w:rsid w:val="00885031"/>
    <w:rsid w:val="00885936"/>
    <w:rsid w:val="00886A00"/>
    <w:rsid w:val="00887AD3"/>
    <w:rsid w:val="0089113F"/>
    <w:rsid w:val="00891C18"/>
    <w:rsid w:val="00891DE0"/>
    <w:rsid w:val="0089235B"/>
    <w:rsid w:val="00892A59"/>
    <w:rsid w:val="00892FCC"/>
    <w:rsid w:val="00894B77"/>
    <w:rsid w:val="00894D4A"/>
    <w:rsid w:val="00894D67"/>
    <w:rsid w:val="00894E58"/>
    <w:rsid w:val="00895F77"/>
    <w:rsid w:val="008960A5"/>
    <w:rsid w:val="0089663E"/>
    <w:rsid w:val="0089715C"/>
    <w:rsid w:val="0089728C"/>
    <w:rsid w:val="00897719"/>
    <w:rsid w:val="00897A13"/>
    <w:rsid w:val="00897CAB"/>
    <w:rsid w:val="008A0330"/>
    <w:rsid w:val="008A2133"/>
    <w:rsid w:val="008A2574"/>
    <w:rsid w:val="008A3745"/>
    <w:rsid w:val="008A455F"/>
    <w:rsid w:val="008A4892"/>
    <w:rsid w:val="008A523B"/>
    <w:rsid w:val="008A5C36"/>
    <w:rsid w:val="008A5E0B"/>
    <w:rsid w:val="008A61EA"/>
    <w:rsid w:val="008A6EDB"/>
    <w:rsid w:val="008A6F2D"/>
    <w:rsid w:val="008A784F"/>
    <w:rsid w:val="008B0883"/>
    <w:rsid w:val="008B1217"/>
    <w:rsid w:val="008B1D61"/>
    <w:rsid w:val="008B203A"/>
    <w:rsid w:val="008B2783"/>
    <w:rsid w:val="008B2854"/>
    <w:rsid w:val="008B35DA"/>
    <w:rsid w:val="008B3A11"/>
    <w:rsid w:val="008B3CF9"/>
    <w:rsid w:val="008B3ED9"/>
    <w:rsid w:val="008B4C6A"/>
    <w:rsid w:val="008B4E51"/>
    <w:rsid w:val="008B62F5"/>
    <w:rsid w:val="008B7965"/>
    <w:rsid w:val="008C02A2"/>
    <w:rsid w:val="008C164E"/>
    <w:rsid w:val="008C1A74"/>
    <w:rsid w:val="008C4075"/>
    <w:rsid w:val="008C465D"/>
    <w:rsid w:val="008C4CAF"/>
    <w:rsid w:val="008C6332"/>
    <w:rsid w:val="008C65BA"/>
    <w:rsid w:val="008C678F"/>
    <w:rsid w:val="008C6EDC"/>
    <w:rsid w:val="008C7F22"/>
    <w:rsid w:val="008C7F95"/>
    <w:rsid w:val="008D076B"/>
    <w:rsid w:val="008D0F4D"/>
    <w:rsid w:val="008D218E"/>
    <w:rsid w:val="008D229B"/>
    <w:rsid w:val="008D2A25"/>
    <w:rsid w:val="008D2FC4"/>
    <w:rsid w:val="008D4043"/>
    <w:rsid w:val="008D5352"/>
    <w:rsid w:val="008D5513"/>
    <w:rsid w:val="008D6AFE"/>
    <w:rsid w:val="008D6B3E"/>
    <w:rsid w:val="008D6C26"/>
    <w:rsid w:val="008D6D42"/>
    <w:rsid w:val="008E01DB"/>
    <w:rsid w:val="008E0648"/>
    <w:rsid w:val="008E0C8F"/>
    <w:rsid w:val="008E0D40"/>
    <w:rsid w:val="008E14F0"/>
    <w:rsid w:val="008E1B1F"/>
    <w:rsid w:val="008E1CAF"/>
    <w:rsid w:val="008E211C"/>
    <w:rsid w:val="008E2D55"/>
    <w:rsid w:val="008E2E90"/>
    <w:rsid w:val="008E36D0"/>
    <w:rsid w:val="008E463C"/>
    <w:rsid w:val="008E48E5"/>
    <w:rsid w:val="008E5812"/>
    <w:rsid w:val="008E5A37"/>
    <w:rsid w:val="008E5B84"/>
    <w:rsid w:val="008E60CC"/>
    <w:rsid w:val="008E64F8"/>
    <w:rsid w:val="008E7BE8"/>
    <w:rsid w:val="008E7F6B"/>
    <w:rsid w:val="008F0235"/>
    <w:rsid w:val="008F1132"/>
    <w:rsid w:val="008F1C95"/>
    <w:rsid w:val="008F2C27"/>
    <w:rsid w:val="008F32E8"/>
    <w:rsid w:val="008F3521"/>
    <w:rsid w:val="008F6751"/>
    <w:rsid w:val="008F7184"/>
    <w:rsid w:val="00900A38"/>
    <w:rsid w:val="00900C90"/>
    <w:rsid w:val="00901225"/>
    <w:rsid w:val="00901418"/>
    <w:rsid w:val="00901C02"/>
    <w:rsid w:val="00901C63"/>
    <w:rsid w:val="009024C6"/>
    <w:rsid w:val="009025F8"/>
    <w:rsid w:val="009036CD"/>
    <w:rsid w:val="00903BB0"/>
    <w:rsid w:val="00905B75"/>
    <w:rsid w:val="00906198"/>
    <w:rsid w:val="00906533"/>
    <w:rsid w:val="009073EB"/>
    <w:rsid w:val="00910AE3"/>
    <w:rsid w:val="00911B77"/>
    <w:rsid w:val="0091201E"/>
    <w:rsid w:val="009136F0"/>
    <w:rsid w:val="00913DED"/>
    <w:rsid w:val="009166DD"/>
    <w:rsid w:val="009174E1"/>
    <w:rsid w:val="00917681"/>
    <w:rsid w:val="009201F2"/>
    <w:rsid w:val="00920232"/>
    <w:rsid w:val="00920447"/>
    <w:rsid w:val="009204E4"/>
    <w:rsid w:val="009208D4"/>
    <w:rsid w:val="00921E49"/>
    <w:rsid w:val="00922D94"/>
    <w:rsid w:val="00922F45"/>
    <w:rsid w:val="00923259"/>
    <w:rsid w:val="009233F1"/>
    <w:rsid w:val="00923863"/>
    <w:rsid w:val="00924DE4"/>
    <w:rsid w:val="00924E11"/>
    <w:rsid w:val="00930DE3"/>
    <w:rsid w:val="0093241D"/>
    <w:rsid w:val="009329D9"/>
    <w:rsid w:val="00932AF4"/>
    <w:rsid w:val="00933805"/>
    <w:rsid w:val="00933B5D"/>
    <w:rsid w:val="00933D4D"/>
    <w:rsid w:val="009352DC"/>
    <w:rsid w:val="009353BF"/>
    <w:rsid w:val="0093542C"/>
    <w:rsid w:val="00935920"/>
    <w:rsid w:val="00935A7F"/>
    <w:rsid w:val="00935D34"/>
    <w:rsid w:val="00935ED3"/>
    <w:rsid w:val="00936123"/>
    <w:rsid w:val="00936367"/>
    <w:rsid w:val="009405A0"/>
    <w:rsid w:val="0094073F"/>
    <w:rsid w:val="00940AF4"/>
    <w:rsid w:val="00940B6E"/>
    <w:rsid w:val="009418FD"/>
    <w:rsid w:val="0094195A"/>
    <w:rsid w:val="00941B38"/>
    <w:rsid w:val="00941EA2"/>
    <w:rsid w:val="009420E5"/>
    <w:rsid w:val="00942BB9"/>
    <w:rsid w:val="009435DE"/>
    <w:rsid w:val="009441D8"/>
    <w:rsid w:val="00944545"/>
    <w:rsid w:val="009445FF"/>
    <w:rsid w:val="00945502"/>
    <w:rsid w:val="009459AC"/>
    <w:rsid w:val="009459E7"/>
    <w:rsid w:val="00945D63"/>
    <w:rsid w:val="00945DD3"/>
    <w:rsid w:val="0094633A"/>
    <w:rsid w:val="009466DF"/>
    <w:rsid w:val="00946D3C"/>
    <w:rsid w:val="00946DAD"/>
    <w:rsid w:val="0094791C"/>
    <w:rsid w:val="00951619"/>
    <w:rsid w:val="00951A68"/>
    <w:rsid w:val="00952631"/>
    <w:rsid w:val="00952B15"/>
    <w:rsid w:val="009534E9"/>
    <w:rsid w:val="00953AB3"/>
    <w:rsid w:val="00953B98"/>
    <w:rsid w:val="009541BE"/>
    <w:rsid w:val="00955097"/>
    <w:rsid w:val="0095627E"/>
    <w:rsid w:val="00956580"/>
    <w:rsid w:val="00956C82"/>
    <w:rsid w:val="009573B5"/>
    <w:rsid w:val="009574C8"/>
    <w:rsid w:val="00957AEF"/>
    <w:rsid w:val="00960134"/>
    <w:rsid w:val="0096026B"/>
    <w:rsid w:val="00960749"/>
    <w:rsid w:val="00960855"/>
    <w:rsid w:val="00960F12"/>
    <w:rsid w:val="00961073"/>
    <w:rsid w:val="00961B47"/>
    <w:rsid w:val="00961F52"/>
    <w:rsid w:val="009625A3"/>
    <w:rsid w:val="00962805"/>
    <w:rsid w:val="00962807"/>
    <w:rsid w:val="009632F0"/>
    <w:rsid w:val="00963566"/>
    <w:rsid w:val="009638E6"/>
    <w:rsid w:val="00963D2F"/>
    <w:rsid w:val="00964781"/>
    <w:rsid w:val="009655F1"/>
    <w:rsid w:val="00965827"/>
    <w:rsid w:val="00965F30"/>
    <w:rsid w:val="00965F36"/>
    <w:rsid w:val="0096664C"/>
    <w:rsid w:val="00971024"/>
    <w:rsid w:val="00971604"/>
    <w:rsid w:val="0097179F"/>
    <w:rsid w:val="0097247E"/>
    <w:rsid w:val="00973EC8"/>
    <w:rsid w:val="00974624"/>
    <w:rsid w:val="00974E46"/>
    <w:rsid w:val="00974FCF"/>
    <w:rsid w:val="009758AB"/>
    <w:rsid w:val="00975AE5"/>
    <w:rsid w:val="00976019"/>
    <w:rsid w:val="00976E85"/>
    <w:rsid w:val="0097738E"/>
    <w:rsid w:val="00977F1A"/>
    <w:rsid w:val="00981463"/>
    <w:rsid w:val="00984434"/>
    <w:rsid w:val="009844F8"/>
    <w:rsid w:val="00987040"/>
    <w:rsid w:val="00991854"/>
    <w:rsid w:val="00991AC5"/>
    <w:rsid w:val="00991DC8"/>
    <w:rsid w:val="00991F78"/>
    <w:rsid w:val="0099255E"/>
    <w:rsid w:val="009925A7"/>
    <w:rsid w:val="00992B5D"/>
    <w:rsid w:val="00992D1D"/>
    <w:rsid w:val="00992F88"/>
    <w:rsid w:val="0099375F"/>
    <w:rsid w:val="00993B0B"/>
    <w:rsid w:val="0099427C"/>
    <w:rsid w:val="00994D9D"/>
    <w:rsid w:val="00995075"/>
    <w:rsid w:val="00995C87"/>
    <w:rsid w:val="0099627D"/>
    <w:rsid w:val="00996C3F"/>
    <w:rsid w:val="009979DC"/>
    <w:rsid w:val="009A0D66"/>
    <w:rsid w:val="009A1127"/>
    <w:rsid w:val="009A16A9"/>
    <w:rsid w:val="009A17E1"/>
    <w:rsid w:val="009A1E1B"/>
    <w:rsid w:val="009A302E"/>
    <w:rsid w:val="009A3BEC"/>
    <w:rsid w:val="009A4F07"/>
    <w:rsid w:val="009A4F8A"/>
    <w:rsid w:val="009A50F5"/>
    <w:rsid w:val="009A63EF"/>
    <w:rsid w:val="009A6984"/>
    <w:rsid w:val="009A6E36"/>
    <w:rsid w:val="009A6F4B"/>
    <w:rsid w:val="009A7540"/>
    <w:rsid w:val="009B0532"/>
    <w:rsid w:val="009B0C04"/>
    <w:rsid w:val="009B102E"/>
    <w:rsid w:val="009B181E"/>
    <w:rsid w:val="009B1D2E"/>
    <w:rsid w:val="009B3403"/>
    <w:rsid w:val="009B5553"/>
    <w:rsid w:val="009B581F"/>
    <w:rsid w:val="009B5A77"/>
    <w:rsid w:val="009B6EEE"/>
    <w:rsid w:val="009C16B8"/>
    <w:rsid w:val="009C2795"/>
    <w:rsid w:val="009C313D"/>
    <w:rsid w:val="009C31C9"/>
    <w:rsid w:val="009C3B88"/>
    <w:rsid w:val="009C3C68"/>
    <w:rsid w:val="009C3C78"/>
    <w:rsid w:val="009C46CE"/>
    <w:rsid w:val="009C5459"/>
    <w:rsid w:val="009C55E8"/>
    <w:rsid w:val="009D0081"/>
    <w:rsid w:val="009D0BCF"/>
    <w:rsid w:val="009D1591"/>
    <w:rsid w:val="009D162D"/>
    <w:rsid w:val="009D393A"/>
    <w:rsid w:val="009D3D78"/>
    <w:rsid w:val="009D4E77"/>
    <w:rsid w:val="009D50BA"/>
    <w:rsid w:val="009D526A"/>
    <w:rsid w:val="009D57AD"/>
    <w:rsid w:val="009D6036"/>
    <w:rsid w:val="009D6A50"/>
    <w:rsid w:val="009D7982"/>
    <w:rsid w:val="009E0850"/>
    <w:rsid w:val="009E1A38"/>
    <w:rsid w:val="009E1A91"/>
    <w:rsid w:val="009E222D"/>
    <w:rsid w:val="009E2B30"/>
    <w:rsid w:val="009E2FB0"/>
    <w:rsid w:val="009E3286"/>
    <w:rsid w:val="009E3340"/>
    <w:rsid w:val="009E358F"/>
    <w:rsid w:val="009E415E"/>
    <w:rsid w:val="009E459D"/>
    <w:rsid w:val="009E6FA8"/>
    <w:rsid w:val="009F0462"/>
    <w:rsid w:val="009F0D86"/>
    <w:rsid w:val="009F1E56"/>
    <w:rsid w:val="009F2082"/>
    <w:rsid w:val="009F37B4"/>
    <w:rsid w:val="009F389B"/>
    <w:rsid w:val="009F3973"/>
    <w:rsid w:val="009F42D7"/>
    <w:rsid w:val="009F4A64"/>
    <w:rsid w:val="009F4D02"/>
    <w:rsid w:val="009F4D0A"/>
    <w:rsid w:val="009F4F71"/>
    <w:rsid w:val="009F4F75"/>
    <w:rsid w:val="009F4FFE"/>
    <w:rsid w:val="009F56B4"/>
    <w:rsid w:val="009F69E9"/>
    <w:rsid w:val="009F6F15"/>
    <w:rsid w:val="009F768F"/>
    <w:rsid w:val="009F7AF2"/>
    <w:rsid w:val="00A0021B"/>
    <w:rsid w:val="00A0063A"/>
    <w:rsid w:val="00A006DA"/>
    <w:rsid w:val="00A033E2"/>
    <w:rsid w:val="00A03C5B"/>
    <w:rsid w:val="00A0408C"/>
    <w:rsid w:val="00A046DB"/>
    <w:rsid w:val="00A04884"/>
    <w:rsid w:val="00A05907"/>
    <w:rsid w:val="00A060C9"/>
    <w:rsid w:val="00A06E25"/>
    <w:rsid w:val="00A07DE2"/>
    <w:rsid w:val="00A07E10"/>
    <w:rsid w:val="00A10E84"/>
    <w:rsid w:val="00A13A4C"/>
    <w:rsid w:val="00A141DA"/>
    <w:rsid w:val="00A14B7E"/>
    <w:rsid w:val="00A1554A"/>
    <w:rsid w:val="00A15673"/>
    <w:rsid w:val="00A1593D"/>
    <w:rsid w:val="00A15B36"/>
    <w:rsid w:val="00A15B96"/>
    <w:rsid w:val="00A15DEC"/>
    <w:rsid w:val="00A16199"/>
    <w:rsid w:val="00A16926"/>
    <w:rsid w:val="00A1756C"/>
    <w:rsid w:val="00A21747"/>
    <w:rsid w:val="00A2206D"/>
    <w:rsid w:val="00A22ED4"/>
    <w:rsid w:val="00A2340A"/>
    <w:rsid w:val="00A2380A"/>
    <w:rsid w:val="00A24290"/>
    <w:rsid w:val="00A24D0A"/>
    <w:rsid w:val="00A24FDA"/>
    <w:rsid w:val="00A2646B"/>
    <w:rsid w:val="00A304C9"/>
    <w:rsid w:val="00A34788"/>
    <w:rsid w:val="00A34F0C"/>
    <w:rsid w:val="00A35227"/>
    <w:rsid w:val="00A35E98"/>
    <w:rsid w:val="00A3602D"/>
    <w:rsid w:val="00A3612A"/>
    <w:rsid w:val="00A3673F"/>
    <w:rsid w:val="00A375BE"/>
    <w:rsid w:val="00A37BF8"/>
    <w:rsid w:val="00A37F18"/>
    <w:rsid w:val="00A37F32"/>
    <w:rsid w:val="00A37F51"/>
    <w:rsid w:val="00A404DE"/>
    <w:rsid w:val="00A40B51"/>
    <w:rsid w:val="00A43F8A"/>
    <w:rsid w:val="00A44949"/>
    <w:rsid w:val="00A44D01"/>
    <w:rsid w:val="00A453A3"/>
    <w:rsid w:val="00A455FC"/>
    <w:rsid w:val="00A45CE1"/>
    <w:rsid w:val="00A471A2"/>
    <w:rsid w:val="00A471EA"/>
    <w:rsid w:val="00A47DA6"/>
    <w:rsid w:val="00A504FE"/>
    <w:rsid w:val="00A51294"/>
    <w:rsid w:val="00A52E33"/>
    <w:rsid w:val="00A53B55"/>
    <w:rsid w:val="00A53C71"/>
    <w:rsid w:val="00A53FFC"/>
    <w:rsid w:val="00A54045"/>
    <w:rsid w:val="00A544AF"/>
    <w:rsid w:val="00A55228"/>
    <w:rsid w:val="00A56211"/>
    <w:rsid w:val="00A57626"/>
    <w:rsid w:val="00A57CCF"/>
    <w:rsid w:val="00A57E02"/>
    <w:rsid w:val="00A61717"/>
    <w:rsid w:val="00A61BBB"/>
    <w:rsid w:val="00A62591"/>
    <w:rsid w:val="00A6293F"/>
    <w:rsid w:val="00A62FE6"/>
    <w:rsid w:val="00A63321"/>
    <w:rsid w:val="00A63613"/>
    <w:rsid w:val="00A651F1"/>
    <w:rsid w:val="00A65A7B"/>
    <w:rsid w:val="00A65C11"/>
    <w:rsid w:val="00A7025E"/>
    <w:rsid w:val="00A70642"/>
    <w:rsid w:val="00A707D5"/>
    <w:rsid w:val="00A70AAE"/>
    <w:rsid w:val="00A70ADD"/>
    <w:rsid w:val="00A70C53"/>
    <w:rsid w:val="00A714B1"/>
    <w:rsid w:val="00A71871"/>
    <w:rsid w:val="00A72C1F"/>
    <w:rsid w:val="00A73201"/>
    <w:rsid w:val="00A739E5"/>
    <w:rsid w:val="00A73F2B"/>
    <w:rsid w:val="00A73F81"/>
    <w:rsid w:val="00A7420B"/>
    <w:rsid w:val="00A7647A"/>
    <w:rsid w:val="00A76BBC"/>
    <w:rsid w:val="00A80BDB"/>
    <w:rsid w:val="00A8165F"/>
    <w:rsid w:val="00A81818"/>
    <w:rsid w:val="00A8247D"/>
    <w:rsid w:val="00A84171"/>
    <w:rsid w:val="00A851E8"/>
    <w:rsid w:val="00A85B45"/>
    <w:rsid w:val="00A85B98"/>
    <w:rsid w:val="00A86530"/>
    <w:rsid w:val="00A876FA"/>
    <w:rsid w:val="00A9080B"/>
    <w:rsid w:val="00A90F2A"/>
    <w:rsid w:val="00A91167"/>
    <w:rsid w:val="00A916BF"/>
    <w:rsid w:val="00A917A0"/>
    <w:rsid w:val="00A9185E"/>
    <w:rsid w:val="00A92544"/>
    <w:rsid w:val="00A93027"/>
    <w:rsid w:val="00A938D6"/>
    <w:rsid w:val="00A93D3F"/>
    <w:rsid w:val="00A93DD2"/>
    <w:rsid w:val="00A942D9"/>
    <w:rsid w:val="00A949A4"/>
    <w:rsid w:val="00A94A17"/>
    <w:rsid w:val="00A94CA2"/>
    <w:rsid w:val="00A95614"/>
    <w:rsid w:val="00A96051"/>
    <w:rsid w:val="00A966EE"/>
    <w:rsid w:val="00A96A18"/>
    <w:rsid w:val="00A96B29"/>
    <w:rsid w:val="00A973CC"/>
    <w:rsid w:val="00A97883"/>
    <w:rsid w:val="00AA0121"/>
    <w:rsid w:val="00AA072C"/>
    <w:rsid w:val="00AA149F"/>
    <w:rsid w:val="00AA2E97"/>
    <w:rsid w:val="00AA58AF"/>
    <w:rsid w:val="00AA5E54"/>
    <w:rsid w:val="00AA60BA"/>
    <w:rsid w:val="00AA6838"/>
    <w:rsid w:val="00AA6ABB"/>
    <w:rsid w:val="00AB06AB"/>
    <w:rsid w:val="00AB0DE3"/>
    <w:rsid w:val="00AB1839"/>
    <w:rsid w:val="00AB1E57"/>
    <w:rsid w:val="00AB23F2"/>
    <w:rsid w:val="00AB2503"/>
    <w:rsid w:val="00AB2630"/>
    <w:rsid w:val="00AB386E"/>
    <w:rsid w:val="00AB4066"/>
    <w:rsid w:val="00AB5844"/>
    <w:rsid w:val="00AB586A"/>
    <w:rsid w:val="00AB5EFA"/>
    <w:rsid w:val="00AC0244"/>
    <w:rsid w:val="00AC1FFF"/>
    <w:rsid w:val="00AC2FDE"/>
    <w:rsid w:val="00AC3E42"/>
    <w:rsid w:val="00AC40FF"/>
    <w:rsid w:val="00AC57A4"/>
    <w:rsid w:val="00AC5CF2"/>
    <w:rsid w:val="00AC66FF"/>
    <w:rsid w:val="00AC7306"/>
    <w:rsid w:val="00AD0B55"/>
    <w:rsid w:val="00AD1874"/>
    <w:rsid w:val="00AD1A46"/>
    <w:rsid w:val="00AD246F"/>
    <w:rsid w:val="00AD2E59"/>
    <w:rsid w:val="00AD39BE"/>
    <w:rsid w:val="00AD4116"/>
    <w:rsid w:val="00AD443E"/>
    <w:rsid w:val="00AD470F"/>
    <w:rsid w:val="00AD5159"/>
    <w:rsid w:val="00AD52CB"/>
    <w:rsid w:val="00AD6EC3"/>
    <w:rsid w:val="00AD74AA"/>
    <w:rsid w:val="00AD7519"/>
    <w:rsid w:val="00AD7B18"/>
    <w:rsid w:val="00AD7DD7"/>
    <w:rsid w:val="00AE05E5"/>
    <w:rsid w:val="00AE1996"/>
    <w:rsid w:val="00AE276F"/>
    <w:rsid w:val="00AE2F50"/>
    <w:rsid w:val="00AE4258"/>
    <w:rsid w:val="00AE4282"/>
    <w:rsid w:val="00AE4573"/>
    <w:rsid w:val="00AE51A3"/>
    <w:rsid w:val="00AE555E"/>
    <w:rsid w:val="00AE5595"/>
    <w:rsid w:val="00AE5638"/>
    <w:rsid w:val="00AE703B"/>
    <w:rsid w:val="00AE7126"/>
    <w:rsid w:val="00AE7862"/>
    <w:rsid w:val="00AF0AB0"/>
    <w:rsid w:val="00AF1481"/>
    <w:rsid w:val="00AF1BF8"/>
    <w:rsid w:val="00AF1F4C"/>
    <w:rsid w:val="00AF2080"/>
    <w:rsid w:val="00AF27CD"/>
    <w:rsid w:val="00AF350E"/>
    <w:rsid w:val="00AF3F3C"/>
    <w:rsid w:val="00AF4376"/>
    <w:rsid w:val="00AF5F25"/>
    <w:rsid w:val="00AF7A58"/>
    <w:rsid w:val="00AF7E0C"/>
    <w:rsid w:val="00B0176F"/>
    <w:rsid w:val="00B0179C"/>
    <w:rsid w:val="00B02B4E"/>
    <w:rsid w:val="00B03522"/>
    <w:rsid w:val="00B03953"/>
    <w:rsid w:val="00B06FE9"/>
    <w:rsid w:val="00B07885"/>
    <w:rsid w:val="00B07CF6"/>
    <w:rsid w:val="00B07F6F"/>
    <w:rsid w:val="00B10481"/>
    <w:rsid w:val="00B10E57"/>
    <w:rsid w:val="00B114D9"/>
    <w:rsid w:val="00B12499"/>
    <w:rsid w:val="00B14081"/>
    <w:rsid w:val="00B14312"/>
    <w:rsid w:val="00B16A5B"/>
    <w:rsid w:val="00B201D9"/>
    <w:rsid w:val="00B20703"/>
    <w:rsid w:val="00B20ADA"/>
    <w:rsid w:val="00B215C0"/>
    <w:rsid w:val="00B22D04"/>
    <w:rsid w:val="00B255E8"/>
    <w:rsid w:val="00B257A7"/>
    <w:rsid w:val="00B25C7C"/>
    <w:rsid w:val="00B262F9"/>
    <w:rsid w:val="00B26980"/>
    <w:rsid w:val="00B3132F"/>
    <w:rsid w:val="00B3143F"/>
    <w:rsid w:val="00B32353"/>
    <w:rsid w:val="00B332F5"/>
    <w:rsid w:val="00B34011"/>
    <w:rsid w:val="00B351BE"/>
    <w:rsid w:val="00B359C4"/>
    <w:rsid w:val="00B36109"/>
    <w:rsid w:val="00B36B23"/>
    <w:rsid w:val="00B36EA0"/>
    <w:rsid w:val="00B36F8B"/>
    <w:rsid w:val="00B36F90"/>
    <w:rsid w:val="00B3709D"/>
    <w:rsid w:val="00B377D1"/>
    <w:rsid w:val="00B409E6"/>
    <w:rsid w:val="00B41010"/>
    <w:rsid w:val="00B4115E"/>
    <w:rsid w:val="00B424FF"/>
    <w:rsid w:val="00B4264D"/>
    <w:rsid w:val="00B42ACA"/>
    <w:rsid w:val="00B432C0"/>
    <w:rsid w:val="00B434BB"/>
    <w:rsid w:val="00B43808"/>
    <w:rsid w:val="00B43A81"/>
    <w:rsid w:val="00B44286"/>
    <w:rsid w:val="00B44425"/>
    <w:rsid w:val="00B45756"/>
    <w:rsid w:val="00B45BA0"/>
    <w:rsid w:val="00B45E1F"/>
    <w:rsid w:val="00B5063D"/>
    <w:rsid w:val="00B512EF"/>
    <w:rsid w:val="00B51515"/>
    <w:rsid w:val="00B516C2"/>
    <w:rsid w:val="00B52598"/>
    <w:rsid w:val="00B52624"/>
    <w:rsid w:val="00B526D9"/>
    <w:rsid w:val="00B529B4"/>
    <w:rsid w:val="00B52CF3"/>
    <w:rsid w:val="00B53453"/>
    <w:rsid w:val="00B53530"/>
    <w:rsid w:val="00B558B5"/>
    <w:rsid w:val="00B55F7A"/>
    <w:rsid w:val="00B5638A"/>
    <w:rsid w:val="00B5643F"/>
    <w:rsid w:val="00B56B2C"/>
    <w:rsid w:val="00B6039F"/>
    <w:rsid w:val="00B645FA"/>
    <w:rsid w:val="00B650B9"/>
    <w:rsid w:val="00B6517C"/>
    <w:rsid w:val="00B65886"/>
    <w:rsid w:val="00B660EF"/>
    <w:rsid w:val="00B6635F"/>
    <w:rsid w:val="00B663A3"/>
    <w:rsid w:val="00B665C5"/>
    <w:rsid w:val="00B6670E"/>
    <w:rsid w:val="00B70341"/>
    <w:rsid w:val="00B71A6C"/>
    <w:rsid w:val="00B72513"/>
    <w:rsid w:val="00B72C5E"/>
    <w:rsid w:val="00B73129"/>
    <w:rsid w:val="00B73244"/>
    <w:rsid w:val="00B74358"/>
    <w:rsid w:val="00B74C1A"/>
    <w:rsid w:val="00B75B36"/>
    <w:rsid w:val="00B75C52"/>
    <w:rsid w:val="00B75C92"/>
    <w:rsid w:val="00B76BEE"/>
    <w:rsid w:val="00B77CE3"/>
    <w:rsid w:val="00B8095D"/>
    <w:rsid w:val="00B8172F"/>
    <w:rsid w:val="00B81A4F"/>
    <w:rsid w:val="00B81F94"/>
    <w:rsid w:val="00B827ED"/>
    <w:rsid w:val="00B828E0"/>
    <w:rsid w:val="00B8371F"/>
    <w:rsid w:val="00B83E0E"/>
    <w:rsid w:val="00B84331"/>
    <w:rsid w:val="00B8482D"/>
    <w:rsid w:val="00B84BEA"/>
    <w:rsid w:val="00B86010"/>
    <w:rsid w:val="00B860B0"/>
    <w:rsid w:val="00B86EBB"/>
    <w:rsid w:val="00B87572"/>
    <w:rsid w:val="00B8782D"/>
    <w:rsid w:val="00B91133"/>
    <w:rsid w:val="00B91BF8"/>
    <w:rsid w:val="00B92072"/>
    <w:rsid w:val="00B92768"/>
    <w:rsid w:val="00B928A4"/>
    <w:rsid w:val="00B92C74"/>
    <w:rsid w:val="00B948B3"/>
    <w:rsid w:val="00B951E8"/>
    <w:rsid w:val="00B95686"/>
    <w:rsid w:val="00B96D32"/>
    <w:rsid w:val="00B96E0B"/>
    <w:rsid w:val="00B970BD"/>
    <w:rsid w:val="00B977AD"/>
    <w:rsid w:val="00B97E2C"/>
    <w:rsid w:val="00BA0E0B"/>
    <w:rsid w:val="00BA0FEB"/>
    <w:rsid w:val="00BA1FB8"/>
    <w:rsid w:val="00BA28CD"/>
    <w:rsid w:val="00BA2934"/>
    <w:rsid w:val="00BA31B7"/>
    <w:rsid w:val="00BA3447"/>
    <w:rsid w:val="00BA35E7"/>
    <w:rsid w:val="00BA38A0"/>
    <w:rsid w:val="00BA4504"/>
    <w:rsid w:val="00BA58BE"/>
    <w:rsid w:val="00BA5EED"/>
    <w:rsid w:val="00BA6BDD"/>
    <w:rsid w:val="00BA6BF5"/>
    <w:rsid w:val="00BA7687"/>
    <w:rsid w:val="00BA7A0B"/>
    <w:rsid w:val="00BB0907"/>
    <w:rsid w:val="00BB0EFF"/>
    <w:rsid w:val="00BB153E"/>
    <w:rsid w:val="00BB1BF5"/>
    <w:rsid w:val="00BB1EBB"/>
    <w:rsid w:val="00BB208C"/>
    <w:rsid w:val="00BB338D"/>
    <w:rsid w:val="00BB3C5E"/>
    <w:rsid w:val="00BB3C7D"/>
    <w:rsid w:val="00BB4744"/>
    <w:rsid w:val="00BB495A"/>
    <w:rsid w:val="00BB4CFF"/>
    <w:rsid w:val="00BB5FD8"/>
    <w:rsid w:val="00BB6A0C"/>
    <w:rsid w:val="00BB6AB9"/>
    <w:rsid w:val="00BB7E21"/>
    <w:rsid w:val="00BC07D2"/>
    <w:rsid w:val="00BC11F6"/>
    <w:rsid w:val="00BC2A31"/>
    <w:rsid w:val="00BC3625"/>
    <w:rsid w:val="00BC410E"/>
    <w:rsid w:val="00BC4265"/>
    <w:rsid w:val="00BC48AC"/>
    <w:rsid w:val="00BC4ED8"/>
    <w:rsid w:val="00BC57EA"/>
    <w:rsid w:val="00BC5839"/>
    <w:rsid w:val="00BC58F0"/>
    <w:rsid w:val="00BC5E89"/>
    <w:rsid w:val="00BC6046"/>
    <w:rsid w:val="00BC6224"/>
    <w:rsid w:val="00BC67D7"/>
    <w:rsid w:val="00BC69BF"/>
    <w:rsid w:val="00BC7C01"/>
    <w:rsid w:val="00BD02C3"/>
    <w:rsid w:val="00BD0362"/>
    <w:rsid w:val="00BD17F9"/>
    <w:rsid w:val="00BD1AFC"/>
    <w:rsid w:val="00BD31F1"/>
    <w:rsid w:val="00BD35C7"/>
    <w:rsid w:val="00BD3695"/>
    <w:rsid w:val="00BD384B"/>
    <w:rsid w:val="00BD44E0"/>
    <w:rsid w:val="00BD5A80"/>
    <w:rsid w:val="00BD6CD4"/>
    <w:rsid w:val="00BE0174"/>
    <w:rsid w:val="00BE18BC"/>
    <w:rsid w:val="00BE1C44"/>
    <w:rsid w:val="00BE3064"/>
    <w:rsid w:val="00BE32BC"/>
    <w:rsid w:val="00BE3D2E"/>
    <w:rsid w:val="00BE4034"/>
    <w:rsid w:val="00BE4356"/>
    <w:rsid w:val="00BE4B9E"/>
    <w:rsid w:val="00BE6B3F"/>
    <w:rsid w:val="00BE6C69"/>
    <w:rsid w:val="00BF043D"/>
    <w:rsid w:val="00BF196E"/>
    <w:rsid w:val="00BF1A6C"/>
    <w:rsid w:val="00BF1B18"/>
    <w:rsid w:val="00BF20C7"/>
    <w:rsid w:val="00BF2824"/>
    <w:rsid w:val="00BF2E56"/>
    <w:rsid w:val="00BF54AE"/>
    <w:rsid w:val="00BF5715"/>
    <w:rsid w:val="00BF5CE4"/>
    <w:rsid w:val="00BF60D3"/>
    <w:rsid w:val="00BF715E"/>
    <w:rsid w:val="00BF762D"/>
    <w:rsid w:val="00BF7AB3"/>
    <w:rsid w:val="00C003CA"/>
    <w:rsid w:val="00C003D4"/>
    <w:rsid w:val="00C00BA0"/>
    <w:rsid w:val="00C01233"/>
    <w:rsid w:val="00C012CA"/>
    <w:rsid w:val="00C012CC"/>
    <w:rsid w:val="00C0233C"/>
    <w:rsid w:val="00C02FB6"/>
    <w:rsid w:val="00C048B7"/>
    <w:rsid w:val="00C05AB9"/>
    <w:rsid w:val="00C06833"/>
    <w:rsid w:val="00C078E4"/>
    <w:rsid w:val="00C079C6"/>
    <w:rsid w:val="00C07BD3"/>
    <w:rsid w:val="00C107EB"/>
    <w:rsid w:val="00C109AF"/>
    <w:rsid w:val="00C11BB3"/>
    <w:rsid w:val="00C12516"/>
    <w:rsid w:val="00C13248"/>
    <w:rsid w:val="00C13282"/>
    <w:rsid w:val="00C14F3D"/>
    <w:rsid w:val="00C1535D"/>
    <w:rsid w:val="00C161AD"/>
    <w:rsid w:val="00C17095"/>
    <w:rsid w:val="00C20039"/>
    <w:rsid w:val="00C22051"/>
    <w:rsid w:val="00C221C8"/>
    <w:rsid w:val="00C22DAA"/>
    <w:rsid w:val="00C23D33"/>
    <w:rsid w:val="00C24424"/>
    <w:rsid w:val="00C24BDF"/>
    <w:rsid w:val="00C30229"/>
    <w:rsid w:val="00C32445"/>
    <w:rsid w:val="00C32680"/>
    <w:rsid w:val="00C326AA"/>
    <w:rsid w:val="00C33479"/>
    <w:rsid w:val="00C3372F"/>
    <w:rsid w:val="00C34592"/>
    <w:rsid w:val="00C34758"/>
    <w:rsid w:val="00C34AF4"/>
    <w:rsid w:val="00C34CCE"/>
    <w:rsid w:val="00C34E11"/>
    <w:rsid w:val="00C34F23"/>
    <w:rsid w:val="00C35459"/>
    <w:rsid w:val="00C36B0D"/>
    <w:rsid w:val="00C36B84"/>
    <w:rsid w:val="00C37990"/>
    <w:rsid w:val="00C37B95"/>
    <w:rsid w:val="00C40F40"/>
    <w:rsid w:val="00C41AC3"/>
    <w:rsid w:val="00C422E2"/>
    <w:rsid w:val="00C4387D"/>
    <w:rsid w:val="00C44777"/>
    <w:rsid w:val="00C449B8"/>
    <w:rsid w:val="00C44A38"/>
    <w:rsid w:val="00C45098"/>
    <w:rsid w:val="00C452FA"/>
    <w:rsid w:val="00C46479"/>
    <w:rsid w:val="00C46D75"/>
    <w:rsid w:val="00C476C3"/>
    <w:rsid w:val="00C47E16"/>
    <w:rsid w:val="00C50011"/>
    <w:rsid w:val="00C50545"/>
    <w:rsid w:val="00C50E69"/>
    <w:rsid w:val="00C5161B"/>
    <w:rsid w:val="00C51969"/>
    <w:rsid w:val="00C51AF3"/>
    <w:rsid w:val="00C52873"/>
    <w:rsid w:val="00C54D5A"/>
    <w:rsid w:val="00C5577D"/>
    <w:rsid w:val="00C55896"/>
    <w:rsid w:val="00C55BF8"/>
    <w:rsid w:val="00C55C27"/>
    <w:rsid w:val="00C55D68"/>
    <w:rsid w:val="00C55F2A"/>
    <w:rsid w:val="00C570D8"/>
    <w:rsid w:val="00C57FD1"/>
    <w:rsid w:val="00C61004"/>
    <w:rsid w:val="00C613B4"/>
    <w:rsid w:val="00C61940"/>
    <w:rsid w:val="00C61CA7"/>
    <w:rsid w:val="00C6217E"/>
    <w:rsid w:val="00C626F6"/>
    <w:rsid w:val="00C63613"/>
    <w:rsid w:val="00C63737"/>
    <w:rsid w:val="00C63EC8"/>
    <w:rsid w:val="00C64543"/>
    <w:rsid w:val="00C64DD9"/>
    <w:rsid w:val="00C65568"/>
    <w:rsid w:val="00C65770"/>
    <w:rsid w:val="00C663D2"/>
    <w:rsid w:val="00C66646"/>
    <w:rsid w:val="00C719F1"/>
    <w:rsid w:val="00C7211B"/>
    <w:rsid w:val="00C729BF"/>
    <w:rsid w:val="00C7381C"/>
    <w:rsid w:val="00C75711"/>
    <w:rsid w:val="00C75F34"/>
    <w:rsid w:val="00C765C2"/>
    <w:rsid w:val="00C770AC"/>
    <w:rsid w:val="00C77696"/>
    <w:rsid w:val="00C8077E"/>
    <w:rsid w:val="00C8130F"/>
    <w:rsid w:val="00C81B1C"/>
    <w:rsid w:val="00C81D36"/>
    <w:rsid w:val="00C81F76"/>
    <w:rsid w:val="00C824CC"/>
    <w:rsid w:val="00C82ED9"/>
    <w:rsid w:val="00C82F72"/>
    <w:rsid w:val="00C84475"/>
    <w:rsid w:val="00C8470B"/>
    <w:rsid w:val="00C849FC"/>
    <w:rsid w:val="00C855A2"/>
    <w:rsid w:val="00C85AFA"/>
    <w:rsid w:val="00C85C39"/>
    <w:rsid w:val="00C86121"/>
    <w:rsid w:val="00C86D66"/>
    <w:rsid w:val="00C87463"/>
    <w:rsid w:val="00C87C2C"/>
    <w:rsid w:val="00C87CBB"/>
    <w:rsid w:val="00C9032D"/>
    <w:rsid w:val="00C904C0"/>
    <w:rsid w:val="00C90A29"/>
    <w:rsid w:val="00C9127A"/>
    <w:rsid w:val="00C9156A"/>
    <w:rsid w:val="00C92249"/>
    <w:rsid w:val="00C926CB"/>
    <w:rsid w:val="00C936FD"/>
    <w:rsid w:val="00C94ADD"/>
    <w:rsid w:val="00C94BEB"/>
    <w:rsid w:val="00C95742"/>
    <w:rsid w:val="00C96C44"/>
    <w:rsid w:val="00C975B9"/>
    <w:rsid w:val="00CA072C"/>
    <w:rsid w:val="00CA0AB1"/>
    <w:rsid w:val="00CA10C4"/>
    <w:rsid w:val="00CA146B"/>
    <w:rsid w:val="00CA1C6C"/>
    <w:rsid w:val="00CA1E8B"/>
    <w:rsid w:val="00CA29CB"/>
    <w:rsid w:val="00CA49E0"/>
    <w:rsid w:val="00CA4C1F"/>
    <w:rsid w:val="00CA4E14"/>
    <w:rsid w:val="00CA4E74"/>
    <w:rsid w:val="00CA7791"/>
    <w:rsid w:val="00CA7B84"/>
    <w:rsid w:val="00CB0EAA"/>
    <w:rsid w:val="00CB1594"/>
    <w:rsid w:val="00CB1734"/>
    <w:rsid w:val="00CB1DB5"/>
    <w:rsid w:val="00CB260F"/>
    <w:rsid w:val="00CB2AF7"/>
    <w:rsid w:val="00CB396F"/>
    <w:rsid w:val="00CB3DC3"/>
    <w:rsid w:val="00CB3FC2"/>
    <w:rsid w:val="00CB4307"/>
    <w:rsid w:val="00CB4B23"/>
    <w:rsid w:val="00CB51C1"/>
    <w:rsid w:val="00CB55D9"/>
    <w:rsid w:val="00CB5710"/>
    <w:rsid w:val="00CB6572"/>
    <w:rsid w:val="00CB68DA"/>
    <w:rsid w:val="00CB7FDD"/>
    <w:rsid w:val="00CC0399"/>
    <w:rsid w:val="00CC049B"/>
    <w:rsid w:val="00CC08DA"/>
    <w:rsid w:val="00CC0AF4"/>
    <w:rsid w:val="00CC1238"/>
    <w:rsid w:val="00CC133E"/>
    <w:rsid w:val="00CC13A9"/>
    <w:rsid w:val="00CC1BFD"/>
    <w:rsid w:val="00CC20B3"/>
    <w:rsid w:val="00CC355D"/>
    <w:rsid w:val="00CC59C0"/>
    <w:rsid w:val="00CC6862"/>
    <w:rsid w:val="00CC69DC"/>
    <w:rsid w:val="00CC7E9E"/>
    <w:rsid w:val="00CD0A35"/>
    <w:rsid w:val="00CD0C25"/>
    <w:rsid w:val="00CD0EC6"/>
    <w:rsid w:val="00CD1708"/>
    <w:rsid w:val="00CD170F"/>
    <w:rsid w:val="00CD1CD3"/>
    <w:rsid w:val="00CD3B6B"/>
    <w:rsid w:val="00CD4448"/>
    <w:rsid w:val="00CD4A69"/>
    <w:rsid w:val="00CD4BAF"/>
    <w:rsid w:val="00CD5DF4"/>
    <w:rsid w:val="00CD6AF1"/>
    <w:rsid w:val="00CD7190"/>
    <w:rsid w:val="00CD7CC8"/>
    <w:rsid w:val="00CE02A4"/>
    <w:rsid w:val="00CE056F"/>
    <w:rsid w:val="00CE0CC4"/>
    <w:rsid w:val="00CE33CE"/>
    <w:rsid w:val="00CE34AF"/>
    <w:rsid w:val="00CE3861"/>
    <w:rsid w:val="00CE3AAC"/>
    <w:rsid w:val="00CE5194"/>
    <w:rsid w:val="00CE525D"/>
    <w:rsid w:val="00CE63EB"/>
    <w:rsid w:val="00CF0969"/>
    <w:rsid w:val="00CF0FED"/>
    <w:rsid w:val="00CF1C1B"/>
    <w:rsid w:val="00CF1E8A"/>
    <w:rsid w:val="00CF2DDB"/>
    <w:rsid w:val="00CF300C"/>
    <w:rsid w:val="00CF360F"/>
    <w:rsid w:val="00CF39CC"/>
    <w:rsid w:val="00CF3DB7"/>
    <w:rsid w:val="00CF41B1"/>
    <w:rsid w:val="00CF6791"/>
    <w:rsid w:val="00CF6ADF"/>
    <w:rsid w:val="00CF6B34"/>
    <w:rsid w:val="00CF6DBB"/>
    <w:rsid w:val="00CF7AD8"/>
    <w:rsid w:val="00D0046F"/>
    <w:rsid w:val="00D006CD"/>
    <w:rsid w:val="00D00B66"/>
    <w:rsid w:val="00D00C40"/>
    <w:rsid w:val="00D00CAD"/>
    <w:rsid w:val="00D0499D"/>
    <w:rsid w:val="00D04D6D"/>
    <w:rsid w:val="00D0527D"/>
    <w:rsid w:val="00D065F3"/>
    <w:rsid w:val="00D06790"/>
    <w:rsid w:val="00D069E2"/>
    <w:rsid w:val="00D06AAF"/>
    <w:rsid w:val="00D06C81"/>
    <w:rsid w:val="00D06EB2"/>
    <w:rsid w:val="00D07856"/>
    <w:rsid w:val="00D079DB"/>
    <w:rsid w:val="00D07D62"/>
    <w:rsid w:val="00D1027C"/>
    <w:rsid w:val="00D103C8"/>
    <w:rsid w:val="00D11C4A"/>
    <w:rsid w:val="00D1331E"/>
    <w:rsid w:val="00D1344C"/>
    <w:rsid w:val="00D13DC1"/>
    <w:rsid w:val="00D1457A"/>
    <w:rsid w:val="00D149C1"/>
    <w:rsid w:val="00D150BE"/>
    <w:rsid w:val="00D153B1"/>
    <w:rsid w:val="00D16E4C"/>
    <w:rsid w:val="00D1746C"/>
    <w:rsid w:val="00D17E3C"/>
    <w:rsid w:val="00D20320"/>
    <w:rsid w:val="00D2054E"/>
    <w:rsid w:val="00D205A9"/>
    <w:rsid w:val="00D2062C"/>
    <w:rsid w:val="00D2187F"/>
    <w:rsid w:val="00D21B9B"/>
    <w:rsid w:val="00D228CD"/>
    <w:rsid w:val="00D23210"/>
    <w:rsid w:val="00D2375E"/>
    <w:rsid w:val="00D241A6"/>
    <w:rsid w:val="00D2438F"/>
    <w:rsid w:val="00D248D6"/>
    <w:rsid w:val="00D25233"/>
    <w:rsid w:val="00D252D2"/>
    <w:rsid w:val="00D258E8"/>
    <w:rsid w:val="00D26215"/>
    <w:rsid w:val="00D26527"/>
    <w:rsid w:val="00D308F0"/>
    <w:rsid w:val="00D30D6D"/>
    <w:rsid w:val="00D315FC"/>
    <w:rsid w:val="00D32773"/>
    <w:rsid w:val="00D33D7E"/>
    <w:rsid w:val="00D345AE"/>
    <w:rsid w:val="00D347C4"/>
    <w:rsid w:val="00D34A50"/>
    <w:rsid w:val="00D36175"/>
    <w:rsid w:val="00D37008"/>
    <w:rsid w:val="00D37009"/>
    <w:rsid w:val="00D4070B"/>
    <w:rsid w:val="00D4104A"/>
    <w:rsid w:val="00D41500"/>
    <w:rsid w:val="00D42A5E"/>
    <w:rsid w:val="00D42E72"/>
    <w:rsid w:val="00D43439"/>
    <w:rsid w:val="00D43455"/>
    <w:rsid w:val="00D43B65"/>
    <w:rsid w:val="00D43EC8"/>
    <w:rsid w:val="00D441F2"/>
    <w:rsid w:val="00D44AA0"/>
    <w:rsid w:val="00D4524D"/>
    <w:rsid w:val="00D455E7"/>
    <w:rsid w:val="00D456CA"/>
    <w:rsid w:val="00D46387"/>
    <w:rsid w:val="00D472B1"/>
    <w:rsid w:val="00D47BC7"/>
    <w:rsid w:val="00D47BEB"/>
    <w:rsid w:val="00D501E6"/>
    <w:rsid w:val="00D50260"/>
    <w:rsid w:val="00D508BE"/>
    <w:rsid w:val="00D51CD9"/>
    <w:rsid w:val="00D52033"/>
    <w:rsid w:val="00D525A7"/>
    <w:rsid w:val="00D528B1"/>
    <w:rsid w:val="00D52EBD"/>
    <w:rsid w:val="00D52F06"/>
    <w:rsid w:val="00D53A03"/>
    <w:rsid w:val="00D54004"/>
    <w:rsid w:val="00D5524B"/>
    <w:rsid w:val="00D55605"/>
    <w:rsid w:val="00D55765"/>
    <w:rsid w:val="00D55900"/>
    <w:rsid w:val="00D55DF3"/>
    <w:rsid w:val="00D60B7E"/>
    <w:rsid w:val="00D60FF6"/>
    <w:rsid w:val="00D61284"/>
    <w:rsid w:val="00D61561"/>
    <w:rsid w:val="00D616D9"/>
    <w:rsid w:val="00D62428"/>
    <w:rsid w:val="00D62770"/>
    <w:rsid w:val="00D62F4A"/>
    <w:rsid w:val="00D634E5"/>
    <w:rsid w:val="00D63ED7"/>
    <w:rsid w:val="00D6445D"/>
    <w:rsid w:val="00D65828"/>
    <w:rsid w:val="00D65F9C"/>
    <w:rsid w:val="00D664BE"/>
    <w:rsid w:val="00D66D54"/>
    <w:rsid w:val="00D67852"/>
    <w:rsid w:val="00D70909"/>
    <w:rsid w:val="00D70CF4"/>
    <w:rsid w:val="00D713EE"/>
    <w:rsid w:val="00D71BAD"/>
    <w:rsid w:val="00D71D05"/>
    <w:rsid w:val="00D7547A"/>
    <w:rsid w:val="00D75553"/>
    <w:rsid w:val="00D759F3"/>
    <w:rsid w:val="00D75B55"/>
    <w:rsid w:val="00D75B78"/>
    <w:rsid w:val="00D7611E"/>
    <w:rsid w:val="00D76B63"/>
    <w:rsid w:val="00D770C2"/>
    <w:rsid w:val="00D77CAC"/>
    <w:rsid w:val="00D809AD"/>
    <w:rsid w:val="00D80DD5"/>
    <w:rsid w:val="00D81577"/>
    <w:rsid w:val="00D8169C"/>
    <w:rsid w:val="00D82956"/>
    <w:rsid w:val="00D84D92"/>
    <w:rsid w:val="00D85DA8"/>
    <w:rsid w:val="00D8636C"/>
    <w:rsid w:val="00D86430"/>
    <w:rsid w:val="00D87C9C"/>
    <w:rsid w:val="00D87D4B"/>
    <w:rsid w:val="00D87F77"/>
    <w:rsid w:val="00D909B7"/>
    <w:rsid w:val="00D90F8D"/>
    <w:rsid w:val="00D911B8"/>
    <w:rsid w:val="00D91268"/>
    <w:rsid w:val="00D91597"/>
    <w:rsid w:val="00D91ECF"/>
    <w:rsid w:val="00D932D0"/>
    <w:rsid w:val="00D95201"/>
    <w:rsid w:val="00D96343"/>
    <w:rsid w:val="00D9658B"/>
    <w:rsid w:val="00D97196"/>
    <w:rsid w:val="00D97F51"/>
    <w:rsid w:val="00DA0124"/>
    <w:rsid w:val="00DA0E4A"/>
    <w:rsid w:val="00DA1C5E"/>
    <w:rsid w:val="00DA20F1"/>
    <w:rsid w:val="00DA2133"/>
    <w:rsid w:val="00DA2C86"/>
    <w:rsid w:val="00DA350E"/>
    <w:rsid w:val="00DA3704"/>
    <w:rsid w:val="00DA4AB6"/>
    <w:rsid w:val="00DA562A"/>
    <w:rsid w:val="00DA6AAD"/>
    <w:rsid w:val="00DA6DB4"/>
    <w:rsid w:val="00DA6F42"/>
    <w:rsid w:val="00DB046D"/>
    <w:rsid w:val="00DB0A14"/>
    <w:rsid w:val="00DB3861"/>
    <w:rsid w:val="00DB39B9"/>
    <w:rsid w:val="00DB4307"/>
    <w:rsid w:val="00DB48C7"/>
    <w:rsid w:val="00DB53D7"/>
    <w:rsid w:val="00DB5F11"/>
    <w:rsid w:val="00DB5F5C"/>
    <w:rsid w:val="00DB7742"/>
    <w:rsid w:val="00DB7846"/>
    <w:rsid w:val="00DC047A"/>
    <w:rsid w:val="00DC067D"/>
    <w:rsid w:val="00DC1B2E"/>
    <w:rsid w:val="00DC1BA1"/>
    <w:rsid w:val="00DC1FD8"/>
    <w:rsid w:val="00DC228E"/>
    <w:rsid w:val="00DC3027"/>
    <w:rsid w:val="00DC3656"/>
    <w:rsid w:val="00DC3B79"/>
    <w:rsid w:val="00DC3C0B"/>
    <w:rsid w:val="00DC4AB6"/>
    <w:rsid w:val="00DC4D23"/>
    <w:rsid w:val="00DC4E0C"/>
    <w:rsid w:val="00DC4E91"/>
    <w:rsid w:val="00DC5AEC"/>
    <w:rsid w:val="00DC64A5"/>
    <w:rsid w:val="00DC7CAB"/>
    <w:rsid w:val="00DD13DE"/>
    <w:rsid w:val="00DD1C29"/>
    <w:rsid w:val="00DD3F01"/>
    <w:rsid w:val="00DD4EB6"/>
    <w:rsid w:val="00DD7439"/>
    <w:rsid w:val="00DD7D70"/>
    <w:rsid w:val="00DE0157"/>
    <w:rsid w:val="00DE038E"/>
    <w:rsid w:val="00DE08C0"/>
    <w:rsid w:val="00DE104C"/>
    <w:rsid w:val="00DE10B0"/>
    <w:rsid w:val="00DE18BC"/>
    <w:rsid w:val="00DE1EA3"/>
    <w:rsid w:val="00DE2377"/>
    <w:rsid w:val="00DE3155"/>
    <w:rsid w:val="00DE35EA"/>
    <w:rsid w:val="00DE3B9A"/>
    <w:rsid w:val="00DE3E0F"/>
    <w:rsid w:val="00DE6051"/>
    <w:rsid w:val="00DE685B"/>
    <w:rsid w:val="00DE6B30"/>
    <w:rsid w:val="00DE7806"/>
    <w:rsid w:val="00DE78D0"/>
    <w:rsid w:val="00DF058B"/>
    <w:rsid w:val="00DF065A"/>
    <w:rsid w:val="00DF11A8"/>
    <w:rsid w:val="00DF1AB0"/>
    <w:rsid w:val="00DF1C40"/>
    <w:rsid w:val="00DF28FE"/>
    <w:rsid w:val="00DF2982"/>
    <w:rsid w:val="00DF38FB"/>
    <w:rsid w:val="00DF3B34"/>
    <w:rsid w:val="00DF3E16"/>
    <w:rsid w:val="00DF486B"/>
    <w:rsid w:val="00DF4DCA"/>
    <w:rsid w:val="00DF572F"/>
    <w:rsid w:val="00DF5789"/>
    <w:rsid w:val="00DF5C25"/>
    <w:rsid w:val="00DF6A25"/>
    <w:rsid w:val="00DF7B3C"/>
    <w:rsid w:val="00E00123"/>
    <w:rsid w:val="00E0024B"/>
    <w:rsid w:val="00E00337"/>
    <w:rsid w:val="00E00A0C"/>
    <w:rsid w:val="00E02D17"/>
    <w:rsid w:val="00E03557"/>
    <w:rsid w:val="00E0377D"/>
    <w:rsid w:val="00E046EB"/>
    <w:rsid w:val="00E05141"/>
    <w:rsid w:val="00E0549A"/>
    <w:rsid w:val="00E05ED5"/>
    <w:rsid w:val="00E07288"/>
    <w:rsid w:val="00E07A76"/>
    <w:rsid w:val="00E12E60"/>
    <w:rsid w:val="00E13CC1"/>
    <w:rsid w:val="00E14485"/>
    <w:rsid w:val="00E15741"/>
    <w:rsid w:val="00E16825"/>
    <w:rsid w:val="00E16BBB"/>
    <w:rsid w:val="00E16BC0"/>
    <w:rsid w:val="00E16FB4"/>
    <w:rsid w:val="00E17832"/>
    <w:rsid w:val="00E1788B"/>
    <w:rsid w:val="00E21C86"/>
    <w:rsid w:val="00E221FE"/>
    <w:rsid w:val="00E2222E"/>
    <w:rsid w:val="00E236C4"/>
    <w:rsid w:val="00E2598C"/>
    <w:rsid w:val="00E25B40"/>
    <w:rsid w:val="00E25BCC"/>
    <w:rsid w:val="00E25EDF"/>
    <w:rsid w:val="00E278DC"/>
    <w:rsid w:val="00E27E94"/>
    <w:rsid w:val="00E30535"/>
    <w:rsid w:val="00E3085C"/>
    <w:rsid w:val="00E3123B"/>
    <w:rsid w:val="00E32F0E"/>
    <w:rsid w:val="00E344CC"/>
    <w:rsid w:val="00E3469D"/>
    <w:rsid w:val="00E36DC1"/>
    <w:rsid w:val="00E36E88"/>
    <w:rsid w:val="00E37237"/>
    <w:rsid w:val="00E375BB"/>
    <w:rsid w:val="00E410BA"/>
    <w:rsid w:val="00E412D7"/>
    <w:rsid w:val="00E41B92"/>
    <w:rsid w:val="00E422AC"/>
    <w:rsid w:val="00E43671"/>
    <w:rsid w:val="00E459E8"/>
    <w:rsid w:val="00E478B4"/>
    <w:rsid w:val="00E47A5F"/>
    <w:rsid w:val="00E50A2E"/>
    <w:rsid w:val="00E5118B"/>
    <w:rsid w:val="00E51705"/>
    <w:rsid w:val="00E52446"/>
    <w:rsid w:val="00E56363"/>
    <w:rsid w:val="00E565AC"/>
    <w:rsid w:val="00E569A8"/>
    <w:rsid w:val="00E57BC0"/>
    <w:rsid w:val="00E57D56"/>
    <w:rsid w:val="00E57E33"/>
    <w:rsid w:val="00E609D2"/>
    <w:rsid w:val="00E60D65"/>
    <w:rsid w:val="00E60F13"/>
    <w:rsid w:val="00E61426"/>
    <w:rsid w:val="00E61793"/>
    <w:rsid w:val="00E62411"/>
    <w:rsid w:val="00E631E4"/>
    <w:rsid w:val="00E6349C"/>
    <w:rsid w:val="00E635A1"/>
    <w:rsid w:val="00E644AC"/>
    <w:rsid w:val="00E650B8"/>
    <w:rsid w:val="00E65370"/>
    <w:rsid w:val="00E65C91"/>
    <w:rsid w:val="00E662EB"/>
    <w:rsid w:val="00E66ACC"/>
    <w:rsid w:val="00E7068D"/>
    <w:rsid w:val="00E71320"/>
    <w:rsid w:val="00E71978"/>
    <w:rsid w:val="00E71FE3"/>
    <w:rsid w:val="00E7226A"/>
    <w:rsid w:val="00E72457"/>
    <w:rsid w:val="00E726C1"/>
    <w:rsid w:val="00E72763"/>
    <w:rsid w:val="00E72BF8"/>
    <w:rsid w:val="00E72E01"/>
    <w:rsid w:val="00E7303A"/>
    <w:rsid w:val="00E73A40"/>
    <w:rsid w:val="00E73B89"/>
    <w:rsid w:val="00E74212"/>
    <w:rsid w:val="00E74A8B"/>
    <w:rsid w:val="00E74D9C"/>
    <w:rsid w:val="00E75452"/>
    <w:rsid w:val="00E77849"/>
    <w:rsid w:val="00E77A56"/>
    <w:rsid w:val="00E77DE0"/>
    <w:rsid w:val="00E820AE"/>
    <w:rsid w:val="00E8266F"/>
    <w:rsid w:val="00E82873"/>
    <w:rsid w:val="00E83E76"/>
    <w:rsid w:val="00E847B0"/>
    <w:rsid w:val="00E85488"/>
    <w:rsid w:val="00E855B6"/>
    <w:rsid w:val="00E85967"/>
    <w:rsid w:val="00E85F7F"/>
    <w:rsid w:val="00E86ADF"/>
    <w:rsid w:val="00E86C5F"/>
    <w:rsid w:val="00E87676"/>
    <w:rsid w:val="00E879DD"/>
    <w:rsid w:val="00E87E23"/>
    <w:rsid w:val="00E90C70"/>
    <w:rsid w:val="00E90D5E"/>
    <w:rsid w:val="00E90D68"/>
    <w:rsid w:val="00E911EE"/>
    <w:rsid w:val="00E91230"/>
    <w:rsid w:val="00E914E1"/>
    <w:rsid w:val="00E9276F"/>
    <w:rsid w:val="00E92C69"/>
    <w:rsid w:val="00E9345B"/>
    <w:rsid w:val="00E93671"/>
    <w:rsid w:val="00E9382C"/>
    <w:rsid w:val="00E94D74"/>
    <w:rsid w:val="00E96C22"/>
    <w:rsid w:val="00E97DDA"/>
    <w:rsid w:val="00EA03E3"/>
    <w:rsid w:val="00EA0CB8"/>
    <w:rsid w:val="00EA1CA3"/>
    <w:rsid w:val="00EA1DB2"/>
    <w:rsid w:val="00EA28A1"/>
    <w:rsid w:val="00EA3087"/>
    <w:rsid w:val="00EA31F8"/>
    <w:rsid w:val="00EA4F70"/>
    <w:rsid w:val="00EA6700"/>
    <w:rsid w:val="00EA6887"/>
    <w:rsid w:val="00EA6B85"/>
    <w:rsid w:val="00EA7F1A"/>
    <w:rsid w:val="00EB089F"/>
    <w:rsid w:val="00EB119C"/>
    <w:rsid w:val="00EB11BB"/>
    <w:rsid w:val="00EB205C"/>
    <w:rsid w:val="00EB21F2"/>
    <w:rsid w:val="00EB278C"/>
    <w:rsid w:val="00EB2DE6"/>
    <w:rsid w:val="00EB2ED6"/>
    <w:rsid w:val="00EB2F32"/>
    <w:rsid w:val="00EB3C28"/>
    <w:rsid w:val="00EB43E1"/>
    <w:rsid w:val="00EB48D7"/>
    <w:rsid w:val="00EB55FE"/>
    <w:rsid w:val="00EB564C"/>
    <w:rsid w:val="00EB598B"/>
    <w:rsid w:val="00EB5F24"/>
    <w:rsid w:val="00EB6B7F"/>
    <w:rsid w:val="00EB6ED6"/>
    <w:rsid w:val="00EB74D2"/>
    <w:rsid w:val="00EC22A9"/>
    <w:rsid w:val="00EC2DD7"/>
    <w:rsid w:val="00EC3214"/>
    <w:rsid w:val="00EC3E4A"/>
    <w:rsid w:val="00EC408C"/>
    <w:rsid w:val="00EC4A0A"/>
    <w:rsid w:val="00EC4C86"/>
    <w:rsid w:val="00EC547E"/>
    <w:rsid w:val="00EC641F"/>
    <w:rsid w:val="00EC64C7"/>
    <w:rsid w:val="00EC689B"/>
    <w:rsid w:val="00EC7170"/>
    <w:rsid w:val="00ED1134"/>
    <w:rsid w:val="00ED1647"/>
    <w:rsid w:val="00ED272D"/>
    <w:rsid w:val="00ED27F1"/>
    <w:rsid w:val="00ED2C88"/>
    <w:rsid w:val="00ED3408"/>
    <w:rsid w:val="00ED4C18"/>
    <w:rsid w:val="00ED55EE"/>
    <w:rsid w:val="00ED5966"/>
    <w:rsid w:val="00ED5B88"/>
    <w:rsid w:val="00ED5E4C"/>
    <w:rsid w:val="00ED5E90"/>
    <w:rsid w:val="00ED6031"/>
    <w:rsid w:val="00ED6115"/>
    <w:rsid w:val="00ED6A54"/>
    <w:rsid w:val="00ED6D2E"/>
    <w:rsid w:val="00ED76C3"/>
    <w:rsid w:val="00ED7F4A"/>
    <w:rsid w:val="00EE0317"/>
    <w:rsid w:val="00EE0DE3"/>
    <w:rsid w:val="00EE14D6"/>
    <w:rsid w:val="00EE1953"/>
    <w:rsid w:val="00EE24FA"/>
    <w:rsid w:val="00EE2934"/>
    <w:rsid w:val="00EE2D3E"/>
    <w:rsid w:val="00EE2F97"/>
    <w:rsid w:val="00EE3D37"/>
    <w:rsid w:val="00EE4F2C"/>
    <w:rsid w:val="00EE520A"/>
    <w:rsid w:val="00EE5240"/>
    <w:rsid w:val="00EE524A"/>
    <w:rsid w:val="00EE5320"/>
    <w:rsid w:val="00EE55B4"/>
    <w:rsid w:val="00EE56E5"/>
    <w:rsid w:val="00EE59DB"/>
    <w:rsid w:val="00EE5C84"/>
    <w:rsid w:val="00EE6C37"/>
    <w:rsid w:val="00EE6FA7"/>
    <w:rsid w:val="00EE7601"/>
    <w:rsid w:val="00EF164B"/>
    <w:rsid w:val="00EF1E80"/>
    <w:rsid w:val="00EF21EE"/>
    <w:rsid w:val="00EF5294"/>
    <w:rsid w:val="00EF555B"/>
    <w:rsid w:val="00EF5582"/>
    <w:rsid w:val="00EF617D"/>
    <w:rsid w:val="00EF7E96"/>
    <w:rsid w:val="00F00993"/>
    <w:rsid w:val="00F00A75"/>
    <w:rsid w:val="00F01343"/>
    <w:rsid w:val="00F02ACD"/>
    <w:rsid w:val="00F02D8E"/>
    <w:rsid w:val="00F03122"/>
    <w:rsid w:val="00F03708"/>
    <w:rsid w:val="00F03992"/>
    <w:rsid w:val="00F03AF4"/>
    <w:rsid w:val="00F03B42"/>
    <w:rsid w:val="00F03C8E"/>
    <w:rsid w:val="00F03E76"/>
    <w:rsid w:val="00F03F6B"/>
    <w:rsid w:val="00F05EE3"/>
    <w:rsid w:val="00F06AE0"/>
    <w:rsid w:val="00F06ED3"/>
    <w:rsid w:val="00F10960"/>
    <w:rsid w:val="00F11717"/>
    <w:rsid w:val="00F1192C"/>
    <w:rsid w:val="00F11D3F"/>
    <w:rsid w:val="00F12171"/>
    <w:rsid w:val="00F124D2"/>
    <w:rsid w:val="00F13E0D"/>
    <w:rsid w:val="00F14B53"/>
    <w:rsid w:val="00F1519F"/>
    <w:rsid w:val="00F158AB"/>
    <w:rsid w:val="00F158D2"/>
    <w:rsid w:val="00F1603D"/>
    <w:rsid w:val="00F16884"/>
    <w:rsid w:val="00F17C14"/>
    <w:rsid w:val="00F17F99"/>
    <w:rsid w:val="00F208E4"/>
    <w:rsid w:val="00F20FDB"/>
    <w:rsid w:val="00F2241E"/>
    <w:rsid w:val="00F22995"/>
    <w:rsid w:val="00F25227"/>
    <w:rsid w:val="00F254BB"/>
    <w:rsid w:val="00F2552F"/>
    <w:rsid w:val="00F25835"/>
    <w:rsid w:val="00F25984"/>
    <w:rsid w:val="00F30883"/>
    <w:rsid w:val="00F3135B"/>
    <w:rsid w:val="00F32090"/>
    <w:rsid w:val="00F32942"/>
    <w:rsid w:val="00F32DAD"/>
    <w:rsid w:val="00F3385D"/>
    <w:rsid w:val="00F33E5C"/>
    <w:rsid w:val="00F34815"/>
    <w:rsid w:val="00F34CAA"/>
    <w:rsid w:val="00F34E89"/>
    <w:rsid w:val="00F358B2"/>
    <w:rsid w:val="00F35F3F"/>
    <w:rsid w:val="00F35FBE"/>
    <w:rsid w:val="00F360A6"/>
    <w:rsid w:val="00F36528"/>
    <w:rsid w:val="00F36D11"/>
    <w:rsid w:val="00F37102"/>
    <w:rsid w:val="00F371E0"/>
    <w:rsid w:val="00F3792D"/>
    <w:rsid w:val="00F409F0"/>
    <w:rsid w:val="00F41C87"/>
    <w:rsid w:val="00F4326B"/>
    <w:rsid w:val="00F43C19"/>
    <w:rsid w:val="00F44C17"/>
    <w:rsid w:val="00F453B8"/>
    <w:rsid w:val="00F45A4C"/>
    <w:rsid w:val="00F45A99"/>
    <w:rsid w:val="00F45BBD"/>
    <w:rsid w:val="00F4640B"/>
    <w:rsid w:val="00F465F7"/>
    <w:rsid w:val="00F46EB3"/>
    <w:rsid w:val="00F46F2D"/>
    <w:rsid w:val="00F477AF"/>
    <w:rsid w:val="00F47816"/>
    <w:rsid w:val="00F508B1"/>
    <w:rsid w:val="00F51850"/>
    <w:rsid w:val="00F54608"/>
    <w:rsid w:val="00F54CA0"/>
    <w:rsid w:val="00F54FA3"/>
    <w:rsid w:val="00F553D2"/>
    <w:rsid w:val="00F55E8C"/>
    <w:rsid w:val="00F561E2"/>
    <w:rsid w:val="00F572E6"/>
    <w:rsid w:val="00F603CA"/>
    <w:rsid w:val="00F6092A"/>
    <w:rsid w:val="00F620FD"/>
    <w:rsid w:val="00F62236"/>
    <w:rsid w:val="00F62F91"/>
    <w:rsid w:val="00F64349"/>
    <w:rsid w:val="00F64F4D"/>
    <w:rsid w:val="00F65002"/>
    <w:rsid w:val="00F652A2"/>
    <w:rsid w:val="00F652BD"/>
    <w:rsid w:val="00F6622F"/>
    <w:rsid w:val="00F6656C"/>
    <w:rsid w:val="00F66C60"/>
    <w:rsid w:val="00F67441"/>
    <w:rsid w:val="00F676FD"/>
    <w:rsid w:val="00F67BF4"/>
    <w:rsid w:val="00F704EC"/>
    <w:rsid w:val="00F71092"/>
    <w:rsid w:val="00F71E08"/>
    <w:rsid w:val="00F729E1"/>
    <w:rsid w:val="00F72AB8"/>
    <w:rsid w:val="00F72E4C"/>
    <w:rsid w:val="00F7319D"/>
    <w:rsid w:val="00F734CF"/>
    <w:rsid w:val="00F7376B"/>
    <w:rsid w:val="00F738F3"/>
    <w:rsid w:val="00F73FB9"/>
    <w:rsid w:val="00F742A6"/>
    <w:rsid w:val="00F770D9"/>
    <w:rsid w:val="00F772A0"/>
    <w:rsid w:val="00F80367"/>
    <w:rsid w:val="00F8041B"/>
    <w:rsid w:val="00F809D2"/>
    <w:rsid w:val="00F80BE4"/>
    <w:rsid w:val="00F81757"/>
    <w:rsid w:val="00F83B76"/>
    <w:rsid w:val="00F84283"/>
    <w:rsid w:val="00F8447B"/>
    <w:rsid w:val="00F845EF"/>
    <w:rsid w:val="00F85EF5"/>
    <w:rsid w:val="00F86A08"/>
    <w:rsid w:val="00F86BBF"/>
    <w:rsid w:val="00F8712C"/>
    <w:rsid w:val="00F87375"/>
    <w:rsid w:val="00F90057"/>
    <w:rsid w:val="00F90556"/>
    <w:rsid w:val="00F909E1"/>
    <w:rsid w:val="00F9103B"/>
    <w:rsid w:val="00F92A30"/>
    <w:rsid w:val="00F93003"/>
    <w:rsid w:val="00F935A6"/>
    <w:rsid w:val="00F938EF"/>
    <w:rsid w:val="00F93B7D"/>
    <w:rsid w:val="00F9435A"/>
    <w:rsid w:val="00F94799"/>
    <w:rsid w:val="00F95BEB"/>
    <w:rsid w:val="00F95D75"/>
    <w:rsid w:val="00F9609D"/>
    <w:rsid w:val="00F97986"/>
    <w:rsid w:val="00FA2629"/>
    <w:rsid w:val="00FA2B12"/>
    <w:rsid w:val="00FA3449"/>
    <w:rsid w:val="00FA363C"/>
    <w:rsid w:val="00FA368D"/>
    <w:rsid w:val="00FA7AC1"/>
    <w:rsid w:val="00FB0B0E"/>
    <w:rsid w:val="00FB0DF6"/>
    <w:rsid w:val="00FB1C8D"/>
    <w:rsid w:val="00FB1D21"/>
    <w:rsid w:val="00FB219D"/>
    <w:rsid w:val="00FB23AB"/>
    <w:rsid w:val="00FB2764"/>
    <w:rsid w:val="00FB308E"/>
    <w:rsid w:val="00FB3496"/>
    <w:rsid w:val="00FB5549"/>
    <w:rsid w:val="00FB5ACE"/>
    <w:rsid w:val="00FB7348"/>
    <w:rsid w:val="00FB7FE5"/>
    <w:rsid w:val="00FC0122"/>
    <w:rsid w:val="00FC041E"/>
    <w:rsid w:val="00FC0BF7"/>
    <w:rsid w:val="00FC170F"/>
    <w:rsid w:val="00FC171E"/>
    <w:rsid w:val="00FC18DA"/>
    <w:rsid w:val="00FC1BA9"/>
    <w:rsid w:val="00FC1C2C"/>
    <w:rsid w:val="00FC2B65"/>
    <w:rsid w:val="00FC2D93"/>
    <w:rsid w:val="00FC2DFE"/>
    <w:rsid w:val="00FC32E9"/>
    <w:rsid w:val="00FC337F"/>
    <w:rsid w:val="00FC3A88"/>
    <w:rsid w:val="00FC5430"/>
    <w:rsid w:val="00FC6084"/>
    <w:rsid w:val="00FC6D8E"/>
    <w:rsid w:val="00FC7412"/>
    <w:rsid w:val="00FC763F"/>
    <w:rsid w:val="00FC7F51"/>
    <w:rsid w:val="00FD03D9"/>
    <w:rsid w:val="00FD141A"/>
    <w:rsid w:val="00FD1CE6"/>
    <w:rsid w:val="00FD3050"/>
    <w:rsid w:val="00FD3913"/>
    <w:rsid w:val="00FD413B"/>
    <w:rsid w:val="00FD4F9E"/>
    <w:rsid w:val="00FD5734"/>
    <w:rsid w:val="00FD62B9"/>
    <w:rsid w:val="00FD6AD1"/>
    <w:rsid w:val="00FD7A68"/>
    <w:rsid w:val="00FE0078"/>
    <w:rsid w:val="00FE050A"/>
    <w:rsid w:val="00FE14D9"/>
    <w:rsid w:val="00FE17D4"/>
    <w:rsid w:val="00FE1B39"/>
    <w:rsid w:val="00FE1B8F"/>
    <w:rsid w:val="00FE1D4C"/>
    <w:rsid w:val="00FE253C"/>
    <w:rsid w:val="00FE2822"/>
    <w:rsid w:val="00FE3926"/>
    <w:rsid w:val="00FE556F"/>
    <w:rsid w:val="00FE55C6"/>
    <w:rsid w:val="00FE6AB0"/>
    <w:rsid w:val="00FE7F06"/>
    <w:rsid w:val="00FF0B24"/>
    <w:rsid w:val="00FF0D54"/>
    <w:rsid w:val="00FF1989"/>
    <w:rsid w:val="00FF1C9D"/>
    <w:rsid w:val="00FF2112"/>
    <w:rsid w:val="00FF3FBD"/>
    <w:rsid w:val="00FF4211"/>
    <w:rsid w:val="00FF4589"/>
    <w:rsid w:val="00FF54B3"/>
    <w:rsid w:val="00FF56E7"/>
    <w:rsid w:val="00FF5A28"/>
    <w:rsid w:val="00FF5E18"/>
    <w:rsid w:val="00FF5ED9"/>
    <w:rsid w:val="00FF6223"/>
    <w:rsid w:val="00FF63C6"/>
    <w:rsid w:val="01004B17"/>
    <w:rsid w:val="011B2758"/>
    <w:rsid w:val="01AE58BE"/>
    <w:rsid w:val="01B0519D"/>
    <w:rsid w:val="01CC594C"/>
    <w:rsid w:val="01F72154"/>
    <w:rsid w:val="027158AD"/>
    <w:rsid w:val="0294567B"/>
    <w:rsid w:val="02D70B45"/>
    <w:rsid w:val="02EB0229"/>
    <w:rsid w:val="035E7A7C"/>
    <w:rsid w:val="03825CE2"/>
    <w:rsid w:val="03B2732A"/>
    <w:rsid w:val="0401431B"/>
    <w:rsid w:val="043F690A"/>
    <w:rsid w:val="04A07687"/>
    <w:rsid w:val="04A1275C"/>
    <w:rsid w:val="04C74472"/>
    <w:rsid w:val="04C76F7E"/>
    <w:rsid w:val="04EB4935"/>
    <w:rsid w:val="05105D0B"/>
    <w:rsid w:val="05B27C31"/>
    <w:rsid w:val="05C32AE2"/>
    <w:rsid w:val="05D01137"/>
    <w:rsid w:val="06511085"/>
    <w:rsid w:val="069C3E0B"/>
    <w:rsid w:val="06D0460B"/>
    <w:rsid w:val="0739060F"/>
    <w:rsid w:val="0739115E"/>
    <w:rsid w:val="076437A0"/>
    <w:rsid w:val="0768392B"/>
    <w:rsid w:val="07824C4E"/>
    <w:rsid w:val="07905B79"/>
    <w:rsid w:val="079A46E0"/>
    <w:rsid w:val="07A201F8"/>
    <w:rsid w:val="07B23B11"/>
    <w:rsid w:val="07E90856"/>
    <w:rsid w:val="07F32C9A"/>
    <w:rsid w:val="08074AB9"/>
    <w:rsid w:val="08DF5D1A"/>
    <w:rsid w:val="08E418FB"/>
    <w:rsid w:val="093729A5"/>
    <w:rsid w:val="095F07A6"/>
    <w:rsid w:val="09714B73"/>
    <w:rsid w:val="09955BE9"/>
    <w:rsid w:val="09AD3C21"/>
    <w:rsid w:val="09B47066"/>
    <w:rsid w:val="09D05A0A"/>
    <w:rsid w:val="09F664CA"/>
    <w:rsid w:val="09F77449"/>
    <w:rsid w:val="09FB4B1C"/>
    <w:rsid w:val="0A803673"/>
    <w:rsid w:val="0A9D541B"/>
    <w:rsid w:val="0AB57EAC"/>
    <w:rsid w:val="0B2C6FB9"/>
    <w:rsid w:val="0B6C4E8C"/>
    <w:rsid w:val="0B816DD2"/>
    <w:rsid w:val="0B9D0398"/>
    <w:rsid w:val="0C2C2FD8"/>
    <w:rsid w:val="0C345713"/>
    <w:rsid w:val="0C3735B9"/>
    <w:rsid w:val="0C455FE8"/>
    <w:rsid w:val="0CA85E7B"/>
    <w:rsid w:val="0CB24DA2"/>
    <w:rsid w:val="0CD37A74"/>
    <w:rsid w:val="0D0F54E3"/>
    <w:rsid w:val="0D57205E"/>
    <w:rsid w:val="0D813840"/>
    <w:rsid w:val="0D8B4B8F"/>
    <w:rsid w:val="0DA14D3B"/>
    <w:rsid w:val="0DDC0C68"/>
    <w:rsid w:val="0E091D54"/>
    <w:rsid w:val="0E461DE2"/>
    <w:rsid w:val="0E556A54"/>
    <w:rsid w:val="0EA02AEE"/>
    <w:rsid w:val="0EC05D9E"/>
    <w:rsid w:val="0F013415"/>
    <w:rsid w:val="0F0A1A80"/>
    <w:rsid w:val="0F1E7BE2"/>
    <w:rsid w:val="0F1F3FF5"/>
    <w:rsid w:val="0F510954"/>
    <w:rsid w:val="0F6173B9"/>
    <w:rsid w:val="0F7854ED"/>
    <w:rsid w:val="0F851684"/>
    <w:rsid w:val="0FAD72D9"/>
    <w:rsid w:val="0FB92892"/>
    <w:rsid w:val="0FEE7D56"/>
    <w:rsid w:val="0FF6007F"/>
    <w:rsid w:val="100A707E"/>
    <w:rsid w:val="102C3E47"/>
    <w:rsid w:val="103D66D7"/>
    <w:rsid w:val="107632C2"/>
    <w:rsid w:val="107B7E6C"/>
    <w:rsid w:val="107C4F9F"/>
    <w:rsid w:val="108729D6"/>
    <w:rsid w:val="10926CBF"/>
    <w:rsid w:val="10FA1819"/>
    <w:rsid w:val="11205531"/>
    <w:rsid w:val="115A776E"/>
    <w:rsid w:val="117A6534"/>
    <w:rsid w:val="11D3157B"/>
    <w:rsid w:val="120C7B49"/>
    <w:rsid w:val="121054DE"/>
    <w:rsid w:val="12243BE8"/>
    <w:rsid w:val="123D5278"/>
    <w:rsid w:val="12447EFE"/>
    <w:rsid w:val="12702EEC"/>
    <w:rsid w:val="129D6B7A"/>
    <w:rsid w:val="12A53B09"/>
    <w:rsid w:val="12A55A80"/>
    <w:rsid w:val="12B07BF1"/>
    <w:rsid w:val="12C027BC"/>
    <w:rsid w:val="12CF6B75"/>
    <w:rsid w:val="12F91C90"/>
    <w:rsid w:val="13414679"/>
    <w:rsid w:val="13431A55"/>
    <w:rsid w:val="13454D15"/>
    <w:rsid w:val="13EC19CC"/>
    <w:rsid w:val="142B5D95"/>
    <w:rsid w:val="145B5736"/>
    <w:rsid w:val="14763E32"/>
    <w:rsid w:val="147E1FFD"/>
    <w:rsid w:val="14927587"/>
    <w:rsid w:val="14CE324A"/>
    <w:rsid w:val="14F063E4"/>
    <w:rsid w:val="15570F05"/>
    <w:rsid w:val="158279AC"/>
    <w:rsid w:val="160208C8"/>
    <w:rsid w:val="164C052D"/>
    <w:rsid w:val="164E1804"/>
    <w:rsid w:val="165F34E9"/>
    <w:rsid w:val="16FA79AC"/>
    <w:rsid w:val="17086D5C"/>
    <w:rsid w:val="176E45AE"/>
    <w:rsid w:val="177B46B1"/>
    <w:rsid w:val="17875285"/>
    <w:rsid w:val="17BD54F5"/>
    <w:rsid w:val="17D55739"/>
    <w:rsid w:val="17FA77CE"/>
    <w:rsid w:val="180401C2"/>
    <w:rsid w:val="180D41C1"/>
    <w:rsid w:val="188F0A37"/>
    <w:rsid w:val="18BC2459"/>
    <w:rsid w:val="18E92DD9"/>
    <w:rsid w:val="195F1C20"/>
    <w:rsid w:val="19C41931"/>
    <w:rsid w:val="19FF30B1"/>
    <w:rsid w:val="1A2651DA"/>
    <w:rsid w:val="1A320118"/>
    <w:rsid w:val="1A484F51"/>
    <w:rsid w:val="1A62718D"/>
    <w:rsid w:val="1A9365D3"/>
    <w:rsid w:val="1A9B4337"/>
    <w:rsid w:val="1AFE1048"/>
    <w:rsid w:val="1B366371"/>
    <w:rsid w:val="1B78232D"/>
    <w:rsid w:val="1C0160BE"/>
    <w:rsid w:val="1C2204EC"/>
    <w:rsid w:val="1C260799"/>
    <w:rsid w:val="1C262AB6"/>
    <w:rsid w:val="1C2B15D6"/>
    <w:rsid w:val="1C2D4021"/>
    <w:rsid w:val="1C2D63C8"/>
    <w:rsid w:val="1C30047C"/>
    <w:rsid w:val="1C3A72DF"/>
    <w:rsid w:val="1C3F19A6"/>
    <w:rsid w:val="1C442EEA"/>
    <w:rsid w:val="1C456864"/>
    <w:rsid w:val="1C8B2599"/>
    <w:rsid w:val="1CB378AD"/>
    <w:rsid w:val="1CD05792"/>
    <w:rsid w:val="1CF5299A"/>
    <w:rsid w:val="1CFB58E3"/>
    <w:rsid w:val="1D08083D"/>
    <w:rsid w:val="1D27266A"/>
    <w:rsid w:val="1D3657D1"/>
    <w:rsid w:val="1DB913DE"/>
    <w:rsid w:val="1DD00D13"/>
    <w:rsid w:val="1DEF6B3C"/>
    <w:rsid w:val="1E014D1E"/>
    <w:rsid w:val="1E240015"/>
    <w:rsid w:val="1E24053A"/>
    <w:rsid w:val="1E7F0316"/>
    <w:rsid w:val="1EE90E32"/>
    <w:rsid w:val="1EF00961"/>
    <w:rsid w:val="1F1C69CE"/>
    <w:rsid w:val="1F27076F"/>
    <w:rsid w:val="1F48607E"/>
    <w:rsid w:val="1F6B16B7"/>
    <w:rsid w:val="1F940A29"/>
    <w:rsid w:val="1FA11320"/>
    <w:rsid w:val="1FA1333D"/>
    <w:rsid w:val="201D0FB7"/>
    <w:rsid w:val="20246E9B"/>
    <w:rsid w:val="203B0B46"/>
    <w:rsid w:val="20522560"/>
    <w:rsid w:val="209E4948"/>
    <w:rsid w:val="20A06974"/>
    <w:rsid w:val="20BC756A"/>
    <w:rsid w:val="20C63B38"/>
    <w:rsid w:val="20C63ED6"/>
    <w:rsid w:val="20CF7C7B"/>
    <w:rsid w:val="20EE5E1E"/>
    <w:rsid w:val="21465560"/>
    <w:rsid w:val="215F28D0"/>
    <w:rsid w:val="21BC3CAE"/>
    <w:rsid w:val="21DB7BCB"/>
    <w:rsid w:val="220446C3"/>
    <w:rsid w:val="22200897"/>
    <w:rsid w:val="223F79AF"/>
    <w:rsid w:val="224169EB"/>
    <w:rsid w:val="22680BD7"/>
    <w:rsid w:val="228F3432"/>
    <w:rsid w:val="229C2F51"/>
    <w:rsid w:val="22AB69AD"/>
    <w:rsid w:val="22B4175C"/>
    <w:rsid w:val="22C90C40"/>
    <w:rsid w:val="22EB4B94"/>
    <w:rsid w:val="22EE3750"/>
    <w:rsid w:val="233B1751"/>
    <w:rsid w:val="23725FF9"/>
    <w:rsid w:val="23CB1D77"/>
    <w:rsid w:val="23D73180"/>
    <w:rsid w:val="241E04B1"/>
    <w:rsid w:val="242148FE"/>
    <w:rsid w:val="2427215D"/>
    <w:rsid w:val="24720C50"/>
    <w:rsid w:val="24782804"/>
    <w:rsid w:val="24D43D04"/>
    <w:rsid w:val="24F60344"/>
    <w:rsid w:val="24F91486"/>
    <w:rsid w:val="250833F7"/>
    <w:rsid w:val="252B7C6F"/>
    <w:rsid w:val="253E20A0"/>
    <w:rsid w:val="25AB335F"/>
    <w:rsid w:val="260B02FD"/>
    <w:rsid w:val="266F6A12"/>
    <w:rsid w:val="266F6A3E"/>
    <w:rsid w:val="26744357"/>
    <w:rsid w:val="26A23476"/>
    <w:rsid w:val="26C320BD"/>
    <w:rsid w:val="26C43D8C"/>
    <w:rsid w:val="26E15ED1"/>
    <w:rsid w:val="27346454"/>
    <w:rsid w:val="274A1C9D"/>
    <w:rsid w:val="27505709"/>
    <w:rsid w:val="27A416F1"/>
    <w:rsid w:val="27B8220E"/>
    <w:rsid w:val="27C16C0F"/>
    <w:rsid w:val="27FE2D0F"/>
    <w:rsid w:val="2801748F"/>
    <w:rsid w:val="2819503F"/>
    <w:rsid w:val="284A48CD"/>
    <w:rsid w:val="28565C69"/>
    <w:rsid w:val="28713F25"/>
    <w:rsid w:val="28757F9C"/>
    <w:rsid w:val="2888204B"/>
    <w:rsid w:val="28A47234"/>
    <w:rsid w:val="28B67857"/>
    <w:rsid w:val="28BE266F"/>
    <w:rsid w:val="28CD4E2B"/>
    <w:rsid w:val="28E5081C"/>
    <w:rsid w:val="29481083"/>
    <w:rsid w:val="2949113D"/>
    <w:rsid w:val="294B7492"/>
    <w:rsid w:val="29914A6C"/>
    <w:rsid w:val="29A07102"/>
    <w:rsid w:val="29C01187"/>
    <w:rsid w:val="29FB72C9"/>
    <w:rsid w:val="2A1C3F89"/>
    <w:rsid w:val="2A317980"/>
    <w:rsid w:val="2A4B6238"/>
    <w:rsid w:val="2A601989"/>
    <w:rsid w:val="2AB65BDE"/>
    <w:rsid w:val="2AD25FAD"/>
    <w:rsid w:val="2ADB5108"/>
    <w:rsid w:val="2B163191"/>
    <w:rsid w:val="2B4765B5"/>
    <w:rsid w:val="2B802DCD"/>
    <w:rsid w:val="2BA749E7"/>
    <w:rsid w:val="2BD30986"/>
    <w:rsid w:val="2BE43286"/>
    <w:rsid w:val="2C2F02FF"/>
    <w:rsid w:val="2C8F44BA"/>
    <w:rsid w:val="2CA956D2"/>
    <w:rsid w:val="2CF46EC1"/>
    <w:rsid w:val="2D146453"/>
    <w:rsid w:val="2D415AD3"/>
    <w:rsid w:val="2D6618FB"/>
    <w:rsid w:val="2D782608"/>
    <w:rsid w:val="2D8250DC"/>
    <w:rsid w:val="2DB77E3A"/>
    <w:rsid w:val="2DDA6BC1"/>
    <w:rsid w:val="2E3534A3"/>
    <w:rsid w:val="2E3D158A"/>
    <w:rsid w:val="2E4A6365"/>
    <w:rsid w:val="2E6005BD"/>
    <w:rsid w:val="2E90474E"/>
    <w:rsid w:val="2ED807B7"/>
    <w:rsid w:val="2F0A0F17"/>
    <w:rsid w:val="2F2904E3"/>
    <w:rsid w:val="2F2C2940"/>
    <w:rsid w:val="2F3203F0"/>
    <w:rsid w:val="2F745EA1"/>
    <w:rsid w:val="2F9144BA"/>
    <w:rsid w:val="2FCB155B"/>
    <w:rsid w:val="2FCE2B1E"/>
    <w:rsid w:val="30010262"/>
    <w:rsid w:val="301B1E81"/>
    <w:rsid w:val="30205A8C"/>
    <w:rsid w:val="30227C51"/>
    <w:rsid w:val="30604D97"/>
    <w:rsid w:val="307C7625"/>
    <w:rsid w:val="30C81535"/>
    <w:rsid w:val="30D938F2"/>
    <w:rsid w:val="30DB40A3"/>
    <w:rsid w:val="30F852EE"/>
    <w:rsid w:val="30FC76BD"/>
    <w:rsid w:val="31672072"/>
    <w:rsid w:val="31E100FE"/>
    <w:rsid w:val="321C680C"/>
    <w:rsid w:val="321D6C57"/>
    <w:rsid w:val="324713AA"/>
    <w:rsid w:val="32610331"/>
    <w:rsid w:val="32667444"/>
    <w:rsid w:val="326C14CE"/>
    <w:rsid w:val="3273740A"/>
    <w:rsid w:val="327C6116"/>
    <w:rsid w:val="32840D50"/>
    <w:rsid w:val="328F4451"/>
    <w:rsid w:val="32BA4272"/>
    <w:rsid w:val="32DE131B"/>
    <w:rsid w:val="32E16361"/>
    <w:rsid w:val="32F2571A"/>
    <w:rsid w:val="32F779CF"/>
    <w:rsid w:val="332F301F"/>
    <w:rsid w:val="33697C16"/>
    <w:rsid w:val="33805DB3"/>
    <w:rsid w:val="33DE250A"/>
    <w:rsid w:val="33F51CAB"/>
    <w:rsid w:val="34247A56"/>
    <w:rsid w:val="344C1B29"/>
    <w:rsid w:val="34764853"/>
    <w:rsid w:val="348001AA"/>
    <w:rsid w:val="34856F72"/>
    <w:rsid w:val="348F2423"/>
    <w:rsid w:val="34A5508E"/>
    <w:rsid w:val="34D745FE"/>
    <w:rsid w:val="3548049F"/>
    <w:rsid w:val="354D0A45"/>
    <w:rsid w:val="355B36DF"/>
    <w:rsid w:val="358844B8"/>
    <w:rsid w:val="35B01609"/>
    <w:rsid w:val="35CF4B9A"/>
    <w:rsid w:val="35D972FB"/>
    <w:rsid w:val="35E139DB"/>
    <w:rsid w:val="36277EC7"/>
    <w:rsid w:val="363A105E"/>
    <w:rsid w:val="366D6106"/>
    <w:rsid w:val="36993D91"/>
    <w:rsid w:val="36EA5C76"/>
    <w:rsid w:val="372E05DC"/>
    <w:rsid w:val="373B5C35"/>
    <w:rsid w:val="375F2B0D"/>
    <w:rsid w:val="37607F99"/>
    <w:rsid w:val="37977F2A"/>
    <w:rsid w:val="37B36F74"/>
    <w:rsid w:val="37B53DE2"/>
    <w:rsid w:val="37DE5541"/>
    <w:rsid w:val="37E724E0"/>
    <w:rsid w:val="37F03F89"/>
    <w:rsid w:val="37FC6A94"/>
    <w:rsid w:val="3808400C"/>
    <w:rsid w:val="38105DCA"/>
    <w:rsid w:val="38231A46"/>
    <w:rsid w:val="38BC53E0"/>
    <w:rsid w:val="38D0385E"/>
    <w:rsid w:val="38D15A79"/>
    <w:rsid w:val="38D82B2D"/>
    <w:rsid w:val="38F136FA"/>
    <w:rsid w:val="39254307"/>
    <w:rsid w:val="3952677C"/>
    <w:rsid w:val="39634F30"/>
    <w:rsid w:val="39A555EC"/>
    <w:rsid w:val="39AE1C7A"/>
    <w:rsid w:val="39B043B1"/>
    <w:rsid w:val="39B94915"/>
    <w:rsid w:val="39BB29D8"/>
    <w:rsid w:val="39D26362"/>
    <w:rsid w:val="39D27B73"/>
    <w:rsid w:val="39D6466C"/>
    <w:rsid w:val="39EE6CE9"/>
    <w:rsid w:val="39F72EF5"/>
    <w:rsid w:val="3A361370"/>
    <w:rsid w:val="3A6C4330"/>
    <w:rsid w:val="3A881CA1"/>
    <w:rsid w:val="3AE43E05"/>
    <w:rsid w:val="3AE90778"/>
    <w:rsid w:val="3B1D2AF9"/>
    <w:rsid w:val="3B1F1732"/>
    <w:rsid w:val="3B3210E0"/>
    <w:rsid w:val="3B3E5A9B"/>
    <w:rsid w:val="3B3E692E"/>
    <w:rsid w:val="3B3F4889"/>
    <w:rsid w:val="3B70378C"/>
    <w:rsid w:val="3B83263A"/>
    <w:rsid w:val="3BB5218A"/>
    <w:rsid w:val="3BB554EA"/>
    <w:rsid w:val="3BFA4960"/>
    <w:rsid w:val="3C214986"/>
    <w:rsid w:val="3C28223E"/>
    <w:rsid w:val="3C3E727C"/>
    <w:rsid w:val="3C635DE8"/>
    <w:rsid w:val="3D0B586B"/>
    <w:rsid w:val="3D0E0934"/>
    <w:rsid w:val="3D733284"/>
    <w:rsid w:val="3D856B95"/>
    <w:rsid w:val="3D920F32"/>
    <w:rsid w:val="3DAE14D9"/>
    <w:rsid w:val="3DB0777F"/>
    <w:rsid w:val="3DC47E57"/>
    <w:rsid w:val="3DD34313"/>
    <w:rsid w:val="3DF22BCF"/>
    <w:rsid w:val="3E237EDF"/>
    <w:rsid w:val="3E467D71"/>
    <w:rsid w:val="3F0B5D0D"/>
    <w:rsid w:val="3F1A317D"/>
    <w:rsid w:val="3F307365"/>
    <w:rsid w:val="3F4D7445"/>
    <w:rsid w:val="3F523432"/>
    <w:rsid w:val="3F564AA6"/>
    <w:rsid w:val="3F7A625B"/>
    <w:rsid w:val="3FBD04F3"/>
    <w:rsid w:val="3FEA5811"/>
    <w:rsid w:val="4016047B"/>
    <w:rsid w:val="40372CF0"/>
    <w:rsid w:val="40966ADB"/>
    <w:rsid w:val="409F05CA"/>
    <w:rsid w:val="40A607E4"/>
    <w:rsid w:val="40E27D8A"/>
    <w:rsid w:val="4131783E"/>
    <w:rsid w:val="41585298"/>
    <w:rsid w:val="418A4482"/>
    <w:rsid w:val="41981649"/>
    <w:rsid w:val="41B20062"/>
    <w:rsid w:val="41B608F4"/>
    <w:rsid w:val="41BB4CA6"/>
    <w:rsid w:val="41CB338C"/>
    <w:rsid w:val="41D578CC"/>
    <w:rsid w:val="420A3D91"/>
    <w:rsid w:val="422C3F44"/>
    <w:rsid w:val="42547CC7"/>
    <w:rsid w:val="427669C5"/>
    <w:rsid w:val="428078C5"/>
    <w:rsid w:val="42BA7A1E"/>
    <w:rsid w:val="42BB3F02"/>
    <w:rsid w:val="42D7070D"/>
    <w:rsid w:val="42E62CC0"/>
    <w:rsid w:val="42F937DA"/>
    <w:rsid w:val="42FF715B"/>
    <w:rsid w:val="430D69F2"/>
    <w:rsid w:val="431D14D5"/>
    <w:rsid w:val="435B1E84"/>
    <w:rsid w:val="43887B73"/>
    <w:rsid w:val="43974F8C"/>
    <w:rsid w:val="43A322F9"/>
    <w:rsid w:val="43F85BC9"/>
    <w:rsid w:val="44323820"/>
    <w:rsid w:val="44431468"/>
    <w:rsid w:val="44743A48"/>
    <w:rsid w:val="44A140E5"/>
    <w:rsid w:val="44A22FFC"/>
    <w:rsid w:val="44B410CD"/>
    <w:rsid w:val="44C61C5F"/>
    <w:rsid w:val="44D80402"/>
    <w:rsid w:val="44EE44FD"/>
    <w:rsid w:val="44F2013F"/>
    <w:rsid w:val="44FB37E2"/>
    <w:rsid w:val="45010F55"/>
    <w:rsid w:val="450E4059"/>
    <w:rsid w:val="452F6D1B"/>
    <w:rsid w:val="45912099"/>
    <w:rsid w:val="46251057"/>
    <w:rsid w:val="463D542B"/>
    <w:rsid w:val="46422703"/>
    <w:rsid w:val="46580C74"/>
    <w:rsid w:val="46942ADF"/>
    <w:rsid w:val="46EA1D80"/>
    <w:rsid w:val="46F62E04"/>
    <w:rsid w:val="47434ACC"/>
    <w:rsid w:val="47593518"/>
    <w:rsid w:val="47905EA3"/>
    <w:rsid w:val="47A83C9E"/>
    <w:rsid w:val="47F105EF"/>
    <w:rsid w:val="48236C57"/>
    <w:rsid w:val="482F160B"/>
    <w:rsid w:val="48427378"/>
    <w:rsid w:val="485E01D5"/>
    <w:rsid w:val="48624A0A"/>
    <w:rsid w:val="486B017B"/>
    <w:rsid w:val="486F2E36"/>
    <w:rsid w:val="487A7CFF"/>
    <w:rsid w:val="48950150"/>
    <w:rsid w:val="489C75F8"/>
    <w:rsid w:val="49011905"/>
    <w:rsid w:val="491027FE"/>
    <w:rsid w:val="491262AD"/>
    <w:rsid w:val="496B2BA7"/>
    <w:rsid w:val="49727BFA"/>
    <w:rsid w:val="497E1F26"/>
    <w:rsid w:val="49B7159A"/>
    <w:rsid w:val="49B940EB"/>
    <w:rsid w:val="4A082CC5"/>
    <w:rsid w:val="4A182DB8"/>
    <w:rsid w:val="4A3C1346"/>
    <w:rsid w:val="4A9E7817"/>
    <w:rsid w:val="4AC10AEE"/>
    <w:rsid w:val="4ACC462B"/>
    <w:rsid w:val="4AFA2AF5"/>
    <w:rsid w:val="4B064B70"/>
    <w:rsid w:val="4B721080"/>
    <w:rsid w:val="4B854EF0"/>
    <w:rsid w:val="4B913C5C"/>
    <w:rsid w:val="4B993DBD"/>
    <w:rsid w:val="4BF11E8C"/>
    <w:rsid w:val="4BF16144"/>
    <w:rsid w:val="4BF362FC"/>
    <w:rsid w:val="4C01614C"/>
    <w:rsid w:val="4C4A364C"/>
    <w:rsid w:val="4C6C74A8"/>
    <w:rsid w:val="4CBA68C7"/>
    <w:rsid w:val="4CC52A9B"/>
    <w:rsid w:val="4CDF667A"/>
    <w:rsid w:val="4CFB5A3F"/>
    <w:rsid w:val="4D355723"/>
    <w:rsid w:val="4D3F005B"/>
    <w:rsid w:val="4D5A33AE"/>
    <w:rsid w:val="4D6A2E90"/>
    <w:rsid w:val="4D715890"/>
    <w:rsid w:val="4DB9797E"/>
    <w:rsid w:val="4DCE3588"/>
    <w:rsid w:val="4DF602E3"/>
    <w:rsid w:val="4E072703"/>
    <w:rsid w:val="4E150DB7"/>
    <w:rsid w:val="4E18289D"/>
    <w:rsid w:val="4E293505"/>
    <w:rsid w:val="4E3657C7"/>
    <w:rsid w:val="4E701BDA"/>
    <w:rsid w:val="4E971A75"/>
    <w:rsid w:val="4EBE1D19"/>
    <w:rsid w:val="4F31132A"/>
    <w:rsid w:val="4F512A65"/>
    <w:rsid w:val="4F6064C2"/>
    <w:rsid w:val="4F877C70"/>
    <w:rsid w:val="4FD9168F"/>
    <w:rsid w:val="4FFD4D8F"/>
    <w:rsid w:val="50251986"/>
    <w:rsid w:val="503A1578"/>
    <w:rsid w:val="50483B63"/>
    <w:rsid w:val="50563469"/>
    <w:rsid w:val="50653B3A"/>
    <w:rsid w:val="50BE2050"/>
    <w:rsid w:val="50DB2B43"/>
    <w:rsid w:val="50FA5240"/>
    <w:rsid w:val="512A6736"/>
    <w:rsid w:val="5135280A"/>
    <w:rsid w:val="516213A2"/>
    <w:rsid w:val="51F6547F"/>
    <w:rsid w:val="52054FC2"/>
    <w:rsid w:val="521B6918"/>
    <w:rsid w:val="5301378B"/>
    <w:rsid w:val="53201708"/>
    <w:rsid w:val="53381525"/>
    <w:rsid w:val="534704FD"/>
    <w:rsid w:val="53A00F51"/>
    <w:rsid w:val="53BD753E"/>
    <w:rsid w:val="54286F6A"/>
    <w:rsid w:val="549E0424"/>
    <w:rsid w:val="54AC65F7"/>
    <w:rsid w:val="54BF0881"/>
    <w:rsid w:val="54D17263"/>
    <w:rsid w:val="54EA6A64"/>
    <w:rsid w:val="555B10BB"/>
    <w:rsid w:val="55882C85"/>
    <w:rsid w:val="55B45C9A"/>
    <w:rsid w:val="55B60097"/>
    <w:rsid w:val="55F728BD"/>
    <w:rsid w:val="561D360C"/>
    <w:rsid w:val="56400288"/>
    <w:rsid w:val="56433E7E"/>
    <w:rsid w:val="565D349F"/>
    <w:rsid w:val="56752CBB"/>
    <w:rsid w:val="567F2E00"/>
    <w:rsid w:val="57031328"/>
    <w:rsid w:val="57776E08"/>
    <w:rsid w:val="579649D0"/>
    <w:rsid w:val="57A71D19"/>
    <w:rsid w:val="57C12CCE"/>
    <w:rsid w:val="583071FF"/>
    <w:rsid w:val="583B14F2"/>
    <w:rsid w:val="584B07F8"/>
    <w:rsid w:val="58951505"/>
    <w:rsid w:val="58B05A66"/>
    <w:rsid w:val="58CB22CF"/>
    <w:rsid w:val="58E323B3"/>
    <w:rsid w:val="58F507E8"/>
    <w:rsid w:val="58FC2D0C"/>
    <w:rsid w:val="590304E4"/>
    <w:rsid w:val="590F64FB"/>
    <w:rsid w:val="592D6B40"/>
    <w:rsid w:val="5947709D"/>
    <w:rsid w:val="596A2B0E"/>
    <w:rsid w:val="599B2C1C"/>
    <w:rsid w:val="59A4447B"/>
    <w:rsid w:val="59D87D3E"/>
    <w:rsid w:val="5A034776"/>
    <w:rsid w:val="5A093488"/>
    <w:rsid w:val="5A0C164B"/>
    <w:rsid w:val="5A2B6050"/>
    <w:rsid w:val="5A473770"/>
    <w:rsid w:val="5A5937A5"/>
    <w:rsid w:val="5A72238C"/>
    <w:rsid w:val="5A7B52F8"/>
    <w:rsid w:val="5B0768FB"/>
    <w:rsid w:val="5B0E4822"/>
    <w:rsid w:val="5B1C5B82"/>
    <w:rsid w:val="5B2B2F7A"/>
    <w:rsid w:val="5B3E0395"/>
    <w:rsid w:val="5B6833AA"/>
    <w:rsid w:val="5B9E2575"/>
    <w:rsid w:val="5BB20B52"/>
    <w:rsid w:val="5BB67544"/>
    <w:rsid w:val="5BBB4CE5"/>
    <w:rsid w:val="5BE86F88"/>
    <w:rsid w:val="5C073B6C"/>
    <w:rsid w:val="5C2414D7"/>
    <w:rsid w:val="5C2439F4"/>
    <w:rsid w:val="5C521167"/>
    <w:rsid w:val="5C54091E"/>
    <w:rsid w:val="5C62031D"/>
    <w:rsid w:val="5C6928EA"/>
    <w:rsid w:val="5C8C22A9"/>
    <w:rsid w:val="5CA74394"/>
    <w:rsid w:val="5CB46674"/>
    <w:rsid w:val="5CC53EDB"/>
    <w:rsid w:val="5CD20B23"/>
    <w:rsid w:val="5CE31544"/>
    <w:rsid w:val="5CEE128E"/>
    <w:rsid w:val="5D0154A3"/>
    <w:rsid w:val="5D09401F"/>
    <w:rsid w:val="5D1B0B7C"/>
    <w:rsid w:val="5D5C79F7"/>
    <w:rsid w:val="5D6D37EB"/>
    <w:rsid w:val="5D9061C4"/>
    <w:rsid w:val="5DC53CAB"/>
    <w:rsid w:val="5DCA6BC2"/>
    <w:rsid w:val="5E04409D"/>
    <w:rsid w:val="5E2C0BC5"/>
    <w:rsid w:val="5E4E3DD7"/>
    <w:rsid w:val="5E5065A3"/>
    <w:rsid w:val="5E7642AC"/>
    <w:rsid w:val="5E794F68"/>
    <w:rsid w:val="5E7D10DF"/>
    <w:rsid w:val="5EC9382C"/>
    <w:rsid w:val="5ED00F9C"/>
    <w:rsid w:val="5F507FC8"/>
    <w:rsid w:val="5F575FED"/>
    <w:rsid w:val="5F6825D4"/>
    <w:rsid w:val="5F974599"/>
    <w:rsid w:val="5F9D070C"/>
    <w:rsid w:val="5FA32FEF"/>
    <w:rsid w:val="5FA86F17"/>
    <w:rsid w:val="5FAE34E1"/>
    <w:rsid w:val="5FD73ABF"/>
    <w:rsid w:val="5FDE65C2"/>
    <w:rsid w:val="60017C71"/>
    <w:rsid w:val="60067A0C"/>
    <w:rsid w:val="602E5E39"/>
    <w:rsid w:val="60DB449F"/>
    <w:rsid w:val="60EE1EB9"/>
    <w:rsid w:val="613E42A5"/>
    <w:rsid w:val="615F4C2A"/>
    <w:rsid w:val="616C336E"/>
    <w:rsid w:val="62871FE5"/>
    <w:rsid w:val="628C5B45"/>
    <w:rsid w:val="628D0345"/>
    <w:rsid w:val="62C15021"/>
    <w:rsid w:val="62C64F46"/>
    <w:rsid w:val="62DD038C"/>
    <w:rsid w:val="633A71F2"/>
    <w:rsid w:val="633E2C54"/>
    <w:rsid w:val="634C5CE4"/>
    <w:rsid w:val="637447B7"/>
    <w:rsid w:val="63773515"/>
    <w:rsid w:val="637F327B"/>
    <w:rsid w:val="63D248D8"/>
    <w:rsid w:val="63E237AE"/>
    <w:rsid w:val="63F231D6"/>
    <w:rsid w:val="64155273"/>
    <w:rsid w:val="64857E3C"/>
    <w:rsid w:val="64BA6553"/>
    <w:rsid w:val="64D507B9"/>
    <w:rsid w:val="64DD69FD"/>
    <w:rsid w:val="64F6522A"/>
    <w:rsid w:val="65610C42"/>
    <w:rsid w:val="65792EEA"/>
    <w:rsid w:val="658204E4"/>
    <w:rsid w:val="65AC0C42"/>
    <w:rsid w:val="65F941C4"/>
    <w:rsid w:val="662F716B"/>
    <w:rsid w:val="663658FB"/>
    <w:rsid w:val="66787230"/>
    <w:rsid w:val="669568F2"/>
    <w:rsid w:val="66A143F5"/>
    <w:rsid w:val="66B52D0D"/>
    <w:rsid w:val="66B67D69"/>
    <w:rsid w:val="66B75178"/>
    <w:rsid w:val="66BE66AD"/>
    <w:rsid w:val="66CA31BB"/>
    <w:rsid w:val="66D166AB"/>
    <w:rsid w:val="66E70884"/>
    <w:rsid w:val="670D5976"/>
    <w:rsid w:val="671D08EA"/>
    <w:rsid w:val="675D2029"/>
    <w:rsid w:val="677C716E"/>
    <w:rsid w:val="678D12A1"/>
    <w:rsid w:val="67D4246B"/>
    <w:rsid w:val="681222AD"/>
    <w:rsid w:val="681B0801"/>
    <w:rsid w:val="683B2246"/>
    <w:rsid w:val="68611346"/>
    <w:rsid w:val="68620E73"/>
    <w:rsid w:val="68717CEB"/>
    <w:rsid w:val="687930A0"/>
    <w:rsid w:val="6881193C"/>
    <w:rsid w:val="689331E1"/>
    <w:rsid w:val="68A630D5"/>
    <w:rsid w:val="68B179A5"/>
    <w:rsid w:val="68B60C52"/>
    <w:rsid w:val="68F72208"/>
    <w:rsid w:val="690C74FF"/>
    <w:rsid w:val="69115621"/>
    <w:rsid w:val="6934400C"/>
    <w:rsid w:val="698744DD"/>
    <w:rsid w:val="69963299"/>
    <w:rsid w:val="69C0204D"/>
    <w:rsid w:val="69C37E34"/>
    <w:rsid w:val="6A8619B7"/>
    <w:rsid w:val="6A8B2907"/>
    <w:rsid w:val="6A972A2E"/>
    <w:rsid w:val="6A9C6C1F"/>
    <w:rsid w:val="6AB26E9D"/>
    <w:rsid w:val="6ABB2738"/>
    <w:rsid w:val="6AE02202"/>
    <w:rsid w:val="6B2A7B86"/>
    <w:rsid w:val="6B4177AE"/>
    <w:rsid w:val="6B4C6ACB"/>
    <w:rsid w:val="6B5029DA"/>
    <w:rsid w:val="6B527FF0"/>
    <w:rsid w:val="6B6D4C2A"/>
    <w:rsid w:val="6B865BF7"/>
    <w:rsid w:val="6B970A22"/>
    <w:rsid w:val="6BA106D6"/>
    <w:rsid w:val="6BC45A4E"/>
    <w:rsid w:val="6C4953DF"/>
    <w:rsid w:val="6C4E37C8"/>
    <w:rsid w:val="6C665869"/>
    <w:rsid w:val="6C806EB3"/>
    <w:rsid w:val="6CD143E8"/>
    <w:rsid w:val="6D1D0D81"/>
    <w:rsid w:val="6D247FDC"/>
    <w:rsid w:val="6D322AF2"/>
    <w:rsid w:val="6D402B34"/>
    <w:rsid w:val="6D570301"/>
    <w:rsid w:val="6D8466EE"/>
    <w:rsid w:val="6DEC5178"/>
    <w:rsid w:val="6E0B51C2"/>
    <w:rsid w:val="6E12036F"/>
    <w:rsid w:val="6E1B3485"/>
    <w:rsid w:val="6E6C294E"/>
    <w:rsid w:val="6E864D74"/>
    <w:rsid w:val="6EB230B2"/>
    <w:rsid w:val="6EDE0662"/>
    <w:rsid w:val="6EE55BD6"/>
    <w:rsid w:val="6EF12A34"/>
    <w:rsid w:val="6F0C3DC9"/>
    <w:rsid w:val="6F1A4D88"/>
    <w:rsid w:val="6F5225F9"/>
    <w:rsid w:val="6F9235CB"/>
    <w:rsid w:val="6FA13E60"/>
    <w:rsid w:val="6FD11DB2"/>
    <w:rsid w:val="6FE300C9"/>
    <w:rsid w:val="700F3887"/>
    <w:rsid w:val="705A63F4"/>
    <w:rsid w:val="707C5545"/>
    <w:rsid w:val="70835076"/>
    <w:rsid w:val="708C5DA7"/>
    <w:rsid w:val="70911C0B"/>
    <w:rsid w:val="70C274BA"/>
    <w:rsid w:val="70E913AC"/>
    <w:rsid w:val="70EE3599"/>
    <w:rsid w:val="710D74D1"/>
    <w:rsid w:val="712F09CB"/>
    <w:rsid w:val="71517AA4"/>
    <w:rsid w:val="71583DF4"/>
    <w:rsid w:val="717B5640"/>
    <w:rsid w:val="71D4723B"/>
    <w:rsid w:val="72287810"/>
    <w:rsid w:val="72683E09"/>
    <w:rsid w:val="726938D2"/>
    <w:rsid w:val="726C44C3"/>
    <w:rsid w:val="72794C3F"/>
    <w:rsid w:val="729E78AC"/>
    <w:rsid w:val="72C4689B"/>
    <w:rsid w:val="72D0298E"/>
    <w:rsid w:val="72E12A3F"/>
    <w:rsid w:val="72ED138A"/>
    <w:rsid w:val="730936F9"/>
    <w:rsid w:val="7319492B"/>
    <w:rsid w:val="731F39B6"/>
    <w:rsid w:val="732B65A9"/>
    <w:rsid w:val="732C5085"/>
    <w:rsid w:val="735C0BB4"/>
    <w:rsid w:val="73644256"/>
    <w:rsid w:val="737B27BE"/>
    <w:rsid w:val="738B4454"/>
    <w:rsid w:val="738E2839"/>
    <w:rsid w:val="73BA640A"/>
    <w:rsid w:val="73E224D0"/>
    <w:rsid w:val="73E515E0"/>
    <w:rsid w:val="742C4535"/>
    <w:rsid w:val="743035BD"/>
    <w:rsid w:val="744407E2"/>
    <w:rsid w:val="745367FD"/>
    <w:rsid w:val="74947726"/>
    <w:rsid w:val="749950D3"/>
    <w:rsid w:val="750E4BC7"/>
    <w:rsid w:val="75135C36"/>
    <w:rsid w:val="752E488B"/>
    <w:rsid w:val="7539418E"/>
    <w:rsid w:val="7551016F"/>
    <w:rsid w:val="758C575A"/>
    <w:rsid w:val="758E1EBE"/>
    <w:rsid w:val="759C3AB9"/>
    <w:rsid w:val="761D781E"/>
    <w:rsid w:val="766021D6"/>
    <w:rsid w:val="76843D26"/>
    <w:rsid w:val="769F43C5"/>
    <w:rsid w:val="772A4FCE"/>
    <w:rsid w:val="773F40E2"/>
    <w:rsid w:val="774764FA"/>
    <w:rsid w:val="775A0369"/>
    <w:rsid w:val="779C610A"/>
    <w:rsid w:val="77A66616"/>
    <w:rsid w:val="77AF26DB"/>
    <w:rsid w:val="77B53007"/>
    <w:rsid w:val="78B91328"/>
    <w:rsid w:val="79222C6D"/>
    <w:rsid w:val="794504F5"/>
    <w:rsid w:val="79605EBE"/>
    <w:rsid w:val="79933A3D"/>
    <w:rsid w:val="79CB35CB"/>
    <w:rsid w:val="79FB32C1"/>
    <w:rsid w:val="7A0F42A2"/>
    <w:rsid w:val="7A5F0A10"/>
    <w:rsid w:val="7A8414FF"/>
    <w:rsid w:val="7A926E61"/>
    <w:rsid w:val="7ACF5D63"/>
    <w:rsid w:val="7AD57E94"/>
    <w:rsid w:val="7ADD4A70"/>
    <w:rsid w:val="7B287910"/>
    <w:rsid w:val="7B426234"/>
    <w:rsid w:val="7B652288"/>
    <w:rsid w:val="7B91367D"/>
    <w:rsid w:val="7B991044"/>
    <w:rsid w:val="7B9C38D3"/>
    <w:rsid w:val="7BE54AD4"/>
    <w:rsid w:val="7C15340F"/>
    <w:rsid w:val="7C352849"/>
    <w:rsid w:val="7C3A0190"/>
    <w:rsid w:val="7CB87E67"/>
    <w:rsid w:val="7CD36589"/>
    <w:rsid w:val="7CF47AAA"/>
    <w:rsid w:val="7D097126"/>
    <w:rsid w:val="7D0E676B"/>
    <w:rsid w:val="7D3A7F22"/>
    <w:rsid w:val="7D3D45A6"/>
    <w:rsid w:val="7D7C7A9E"/>
    <w:rsid w:val="7D923126"/>
    <w:rsid w:val="7D9461BE"/>
    <w:rsid w:val="7DB43A96"/>
    <w:rsid w:val="7DBD3C83"/>
    <w:rsid w:val="7DC4287B"/>
    <w:rsid w:val="7DE05161"/>
    <w:rsid w:val="7E210E31"/>
    <w:rsid w:val="7E302A90"/>
    <w:rsid w:val="7E6A70A1"/>
    <w:rsid w:val="7E731EA1"/>
    <w:rsid w:val="7E9822FB"/>
    <w:rsid w:val="7EA86905"/>
    <w:rsid w:val="7EC14760"/>
    <w:rsid w:val="7EE247DC"/>
    <w:rsid w:val="7EFE6FD3"/>
    <w:rsid w:val="7F110B29"/>
    <w:rsid w:val="7F155B3B"/>
    <w:rsid w:val="7F425D4C"/>
    <w:rsid w:val="7F5D7E43"/>
    <w:rsid w:val="7F5F271C"/>
    <w:rsid w:val="7FB6605C"/>
    <w:rsid w:val="7FC65CDF"/>
    <w:rsid w:val="7FF25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name="index heading"/>
    <w:lsdException w:qFormat="1" w:unhideWhenUsed="0" w:uiPriority="0" w:semiHidden="0" w:name="caption"/>
    <w:lsdException w:uiPriority="0" w:name="table of figures"/>
    <w:lsdException w:uiPriority="0" w:name="envelope address"/>
    <w:lsdException w:qFormat="1" w:uiPriority="99"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qFormat="1"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qFormat="1" w:uiPriority="99" w:semiHidden="0" w:name="Salutation"/>
    <w:lsdException w:uiPriority="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8"/>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360" w:lineRule="auto"/>
      <w:ind w:firstLine="540" w:firstLineChars="168"/>
      <w:outlineLvl w:val="1"/>
    </w:pPr>
    <w:rPr>
      <w:rFonts w:ascii="Arial" w:hAnsi="Arial" w:eastAsia="黑体"/>
      <w:b/>
      <w:bCs/>
      <w:sz w:val="32"/>
      <w:szCs w:val="32"/>
    </w:rPr>
  </w:style>
  <w:style w:type="paragraph" w:styleId="5">
    <w:name w:val="heading 3"/>
    <w:basedOn w:val="1"/>
    <w:next w:val="6"/>
    <w:link w:val="124"/>
    <w:qFormat/>
    <w:uiPriority w:val="0"/>
    <w:pPr>
      <w:keepNext/>
      <w:keepLines/>
      <w:spacing w:before="260" w:after="260" w:line="416" w:lineRule="auto"/>
      <w:outlineLvl w:val="2"/>
    </w:pPr>
    <w:rPr>
      <w:b/>
      <w:bCs/>
      <w:sz w:val="32"/>
      <w:szCs w:val="32"/>
    </w:rPr>
  </w:style>
  <w:style w:type="paragraph" w:styleId="2">
    <w:name w:val="heading 4"/>
    <w:basedOn w:val="1"/>
    <w:next w:val="1"/>
    <w:link w:val="113"/>
    <w:qFormat/>
    <w:uiPriority w:val="0"/>
    <w:pPr>
      <w:keepNext/>
      <w:keepLines/>
      <w:spacing w:before="280" w:after="290" w:line="376" w:lineRule="auto"/>
      <w:outlineLvl w:val="3"/>
    </w:pPr>
    <w:rPr>
      <w:rFonts w:ascii="Arial" w:hAnsi="Arial" w:eastAsia="黑体"/>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100"/>
    <w:qFormat/>
    <w:uiPriority w:val="0"/>
    <w:pPr>
      <w:spacing w:line="440" w:lineRule="exact"/>
      <w:ind w:firstLine="652"/>
    </w:pPr>
    <w:rPr>
      <w:spacing w:val="20"/>
      <w:sz w:val="24"/>
      <w:szCs w:val="20"/>
    </w:rPr>
  </w:style>
  <w:style w:type="paragraph" w:styleId="7">
    <w:name w:val="Note Heading"/>
    <w:basedOn w:val="1"/>
    <w:next w:val="1"/>
    <w:qFormat/>
    <w:uiPriority w:val="0"/>
    <w:pPr>
      <w:jc w:val="center"/>
    </w:pPr>
    <w:rPr>
      <w:szCs w:val="20"/>
    </w:rPr>
  </w:style>
  <w:style w:type="paragraph" w:styleId="8">
    <w:name w:val="caption"/>
    <w:basedOn w:val="1"/>
    <w:next w:val="1"/>
    <w:qFormat/>
    <w:uiPriority w:val="0"/>
    <w:rPr>
      <w:rFonts w:ascii="Arial" w:hAnsi="Arial" w:eastAsia="黑体" w:cs="Arial"/>
      <w:sz w:val="20"/>
      <w:szCs w:val="20"/>
    </w:rPr>
  </w:style>
  <w:style w:type="paragraph" w:styleId="9">
    <w:name w:val="Document Map"/>
    <w:basedOn w:val="1"/>
    <w:qFormat/>
    <w:uiPriority w:val="0"/>
    <w:rPr>
      <w:rFonts w:ascii="宋体"/>
      <w:sz w:val="18"/>
      <w:szCs w:val="18"/>
    </w:rPr>
  </w:style>
  <w:style w:type="paragraph" w:styleId="10">
    <w:name w:val="annotation text"/>
    <w:basedOn w:val="1"/>
    <w:link w:val="107"/>
    <w:qFormat/>
    <w:uiPriority w:val="0"/>
    <w:pPr>
      <w:jc w:val="left"/>
    </w:pPr>
  </w:style>
  <w:style w:type="paragraph" w:styleId="11">
    <w:name w:val="Salutation"/>
    <w:basedOn w:val="1"/>
    <w:next w:val="1"/>
    <w:link w:val="146"/>
    <w:unhideWhenUsed/>
    <w:qFormat/>
    <w:uiPriority w:val="99"/>
  </w:style>
  <w:style w:type="paragraph" w:styleId="12">
    <w:name w:val="Body Text"/>
    <w:basedOn w:val="1"/>
    <w:next w:val="11"/>
    <w:qFormat/>
    <w:uiPriority w:val="0"/>
    <w:rPr>
      <w:rFonts w:eastAsia="仿宋_GB2312"/>
      <w:sz w:val="30"/>
      <w:szCs w:val="20"/>
    </w:rPr>
  </w:style>
  <w:style w:type="paragraph" w:styleId="13">
    <w:name w:val="Body Text Indent"/>
    <w:basedOn w:val="1"/>
    <w:next w:val="14"/>
    <w:link w:val="111"/>
    <w:qFormat/>
    <w:uiPriority w:val="0"/>
    <w:pPr>
      <w:spacing w:after="120"/>
      <w:ind w:left="420" w:leftChars="200"/>
    </w:pPr>
  </w:style>
  <w:style w:type="paragraph" w:styleId="14">
    <w:name w:val="envelope return"/>
    <w:basedOn w:val="1"/>
    <w:unhideWhenUsed/>
    <w:qFormat/>
    <w:uiPriority w:val="99"/>
    <w:pPr>
      <w:snapToGrid w:val="0"/>
    </w:pPr>
    <w:rPr>
      <w:rFonts w:ascii="Arial" w:hAnsi="Arial"/>
    </w:rPr>
  </w:style>
  <w:style w:type="paragraph" w:styleId="15">
    <w:name w:val="List 2"/>
    <w:basedOn w:val="1"/>
    <w:qFormat/>
    <w:uiPriority w:val="0"/>
    <w:pPr>
      <w:ind w:left="100" w:leftChars="200" w:hanging="200" w:hangingChars="200"/>
    </w:pPr>
  </w:style>
  <w:style w:type="paragraph" w:styleId="16">
    <w:name w:val="Block Text"/>
    <w:basedOn w:val="1"/>
    <w:qFormat/>
    <w:uiPriority w:val="0"/>
    <w:pPr>
      <w:spacing w:after="120"/>
      <w:ind w:left="1440" w:leftChars="700" w:right="1440" w:rightChars="700"/>
    </w:pPr>
    <w:rPr>
      <w:sz w:val="21"/>
    </w:rPr>
  </w:style>
  <w:style w:type="paragraph" w:styleId="17">
    <w:name w:val="Plain Text"/>
    <w:basedOn w:val="1"/>
    <w:next w:val="11"/>
    <w:link w:val="104"/>
    <w:qFormat/>
    <w:uiPriority w:val="0"/>
    <w:rPr>
      <w:rFonts w:ascii="宋体" w:hAnsi="Courier New"/>
      <w:sz w:val="21"/>
      <w:szCs w:val="21"/>
    </w:rPr>
  </w:style>
  <w:style w:type="paragraph" w:styleId="18">
    <w:name w:val="List Bullet 5"/>
    <w:basedOn w:val="1"/>
    <w:qFormat/>
    <w:uiPriority w:val="0"/>
    <w:pPr>
      <w:widowControl/>
      <w:spacing w:line="360" w:lineRule="auto"/>
      <w:ind w:firstLine="480"/>
      <w:jc w:val="left"/>
    </w:pPr>
    <w:rPr>
      <w:kern w:val="0"/>
      <w:sz w:val="24"/>
    </w:rPr>
  </w:style>
  <w:style w:type="paragraph" w:styleId="19">
    <w:name w:val="Body Text Indent 2"/>
    <w:basedOn w:val="1"/>
    <w:next w:val="20"/>
    <w:qFormat/>
    <w:uiPriority w:val="0"/>
    <w:pPr>
      <w:spacing w:after="120" w:line="480" w:lineRule="auto"/>
      <w:ind w:left="420" w:leftChars="200"/>
    </w:pPr>
  </w:style>
  <w:style w:type="paragraph" w:styleId="20">
    <w:name w:val="Body Text First Indent 2"/>
    <w:basedOn w:val="13"/>
    <w:next w:val="1"/>
    <w:qFormat/>
    <w:uiPriority w:val="0"/>
    <w:pPr>
      <w:spacing w:after="120" w:afterLines="0" w:line="240" w:lineRule="auto"/>
      <w:ind w:left="420" w:leftChars="200" w:firstLine="420" w:firstLineChars="200"/>
    </w:pPr>
    <w:rPr>
      <w:sz w:val="21"/>
      <w:szCs w:val="24"/>
    </w:rPr>
  </w:style>
  <w:style w:type="paragraph" w:styleId="21">
    <w:name w:val="Balloon Text"/>
    <w:basedOn w:val="1"/>
    <w:link w:val="139"/>
    <w:qFormat/>
    <w:uiPriority w:val="0"/>
    <w:rPr>
      <w:sz w:val="18"/>
      <w:szCs w:val="18"/>
    </w:rPr>
  </w:style>
  <w:style w:type="paragraph" w:styleId="22">
    <w:name w:val="footer"/>
    <w:basedOn w:val="1"/>
    <w:link w:val="117"/>
    <w:qFormat/>
    <w:uiPriority w:val="0"/>
    <w:pPr>
      <w:tabs>
        <w:tab w:val="center" w:pos="4153"/>
        <w:tab w:val="right" w:pos="8306"/>
      </w:tabs>
      <w:snapToGrid w:val="0"/>
      <w:jc w:val="left"/>
    </w:pPr>
    <w:rPr>
      <w:sz w:val="18"/>
      <w:szCs w:val="18"/>
    </w:rPr>
  </w:style>
  <w:style w:type="paragraph" w:styleId="23">
    <w:name w:val="header"/>
    <w:basedOn w:val="1"/>
    <w:link w:val="120"/>
    <w:qFormat/>
    <w:uiPriority w:val="99"/>
    <w:pPr>
      <w:pBdr>
        <w:bottom w:val="single" w:color="auto" w:sz="6" w:space="1"/>
      </w:pBdr>
      <w:tabs>
        <w:tab w:val="center" w:pos="4153"/>
        <w:tab w:val="right" w:pos="8306"/>
      </w:tabs>
      <w:snapToGrid w:val="0"/>
      <w:jc w:val="center"/>
    </w:pPr>
    <w:rPr>
      <w:sz w:val="18"/>
      <w:szCs w:val="18"/>
    </w:rPr>
  </w:style>
  <w:style w:type="paragraph" w:styleId="24">
    <w:name w:val="index heading"/>
    <w:basedOn w:val="1"/>
    <w:next w:val="25"/>
    <w:semiHidden/>
    <w:qFormat/>
    <w:uiPriority w:val="0"/>
    <w:rPr>
      <w:rFonts w:ascii="Arial" w:hAnsi="Arial" w:cs="Arial"/>
      <w:b/>
      <w:bCs/>
    </w:rPr>
  </w:style>
  <w:style w:type="paragraph" w:styleId="25">
    <w:name w:val="index 1"/>
    <w:basedOn w:val="1"/>
    <w:next w:val="1"/>
    <w:qFormat/>
    <w:uiPriority w:val="0"/>
    <w:pPr>
      <w:tabs>
        <w:tab w:val="left" w:pos="932"/>
        <w:tab w:val="center" w:pos="4535"/>
      </w:tabs>
      <w:spacing w:line="400" w:lineRule="exact"/>
      <w:jc w:val="center"/>
    </w:pPr>
    <w:rPr>
      <w:rFonts w:ascii="宋体" w:hAnsi="宋体"/>
      <w:bCs/>
      <w:sz w:val="24"/>
    </w:rPr>
  </w:style>
  <w:style w:type="paragraph" w:styleId="26">
    <w:name w:val="List"/>
    <w:basedOn w:val="1"/>
    <w:qFormat/>
    <w:uiPriority w:val="0"/>
    <w:pPr>
      <w:spacing w:line="360" w:lineRule="auto"/>
      <w:jc w:val="center"/>
    </w:pPr>
    <w:rPr>
      <w:rFonts w:eastAsia="黑体"/>
      <w:sz w:val="24"/>
      <w:szCs w:val="20"/>
    </w:rPr>
  </w:style>
  <w:style w:type="paragraph" w:styleId="27">
    <w:name w:val="Body Text Indent 3"/>
    <w:basedOn w:val="1"/>
    <w:qFormat/>
    <w:uiPriority w:val="0"/>
    <w:pPr>
      <w:spacing w:after="120"/>
      <w:ind w:left="420" w:leftChars="200"/>
    </w:pPr>
    <w:rPr>
      <w:sz w:val="16"/>
      <w:szCs w:val="16"/>
    </w:rPr>
  </w:style>
  <w:style w:type="paragraph" w:styleId="28">
    <w:name w:val="Body Text 2"/>
    <w:basedOn w:val="1"/>
    <w:qFormat/>
    <w:uiPriority w:val="0"/>
    <w:pPr>
      <w:spacing w:after="120" w:line="480" w:lineRule="auto"/>
    </w:pPr>
  </w:style>
  <w:style w:type="paragraph" w:styleId="29">
    <w:name w:val="Normal (Web)"/>
    <w:basedOn w:val="1"/>
    <w:link w:val="108"/>
    <w:qFormat/>
    <w:uiPriority w:val="0"/>
    <w:pPr>
      <w:widowControl/>
      <w:spacing w:before="100" w:beforeAutospacing="1" w:after="100" w:afterAutospacing="1"/>
      <w:jc w:val="left"/>
    </w:pPr>
    <w:rPr>
      <w:rFonts w:ascii="宋体" w:hAnsi="宋体" w:cs="宋体"/>
      <w:kern w:val="0"/>
      <w:sz w:val="24"/>
    </w:rPr>
  </w:style>
  <w:style w:type="paragraph" w:styleId="30">
    <w:name w:val="annotation subject"/>
    <w:basedOn w:val="10"/>
    <w:next w:val="10"/>
    <w:qFormat/>
    <w:uiPriority w:val="0"/>
    <w:rPr>
      <w:b/>
      <w:bCs/>
    </w:rPr>
  </w:style>
  <w:style w:type="paragraph" w:styleId="31">
    <w:name w:val="Body Text First Indent"/>
    <w:basedOn w:val="12"/>
    <w:qFormat/>
    <w:uiPriority w:val="0"/>
    <w:pPr>
      <w:spacing w:after="120"/>
      <w:ind w:firstLine="420" w:firstLineChars="100"/>
    </w:pPr>
    <w:rPr>
      <w:sz w:val="21"/>
    </w:rPr>
  </w:style>
  <w:style w:type="table" w:styleId="33">
    <w:name w:val="Table Grid"/>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rPr>
  </w:style>
  <w:style w:type="character" w:styleId="36">
    <w:name w:val="page number"/>
    <w:basedOn w:val="34"/>
    <w:qFormat/>
    <w:uiPriority w:val="0"/>
  </w:style>
  <w:style w:type="character" w:styleId="37">
    <w:name w:val="Emphasis"/>
    <w:basedOn w:val="34"/>
    <w:qFormat/>
    <w:uiPriority w:val="0"/>
    <w:rPr>
      <w:i/>
      <w:iCs/>
    </w:rPr>
  </w:style>
  <w:style w:type="character" w:styleId="38">
    <w:name w:val="Hyperlink"/>
    <w:basedOn w:val="34"/>
    <w:qFormat/>
    <w:uiPriority w:val="0"/>
    <w:rPr>
      <w:color w:val="136EC2"/>
      <w:u w:val="single"/>
    </w:rPr>
  </w:style>
  <w:style w:type="character" w:styleId="39">
    <w:name w:val="annotation reference"/>
    <w:basedOn w:val="34"/>
    <w:qFormat/>
    <w:uiPriority w:val="0"/>
    <w:rPr>
      <w:sz w:val="21"/>
      <w:szCs w:val="21"/>
    </w:rPr>
  </w:style>
  <w:style w:type="paragraph" w:customStyle="1" w:styleId="40">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1">
    <w:name w:val="正文(首行缩进)"/>
    <w:basedOn w:val="1"/>
    <w:link w:val="135"/>
    <w:qFormat/>
    <w:uiPriority w:val="0"/>
    <w:pPr>
      <w:adjustRightInd w:val="0"/>
      <w:snapToGrid w:val="0"/>
      <w:spacing w:line="360" w:lineRule="auto"/>
      <w:ind w:firstLine="200" w:firstLineChars="200"/>
    </w:pPr>
    <w:rPr>
      <w:snapToGrid w:val="0"/>
      <w:sz w:val="24"/>
    </w:rPr>
  </w:style>
  <w:style w:type="paragraph" w:customStyle="1" w:styleId="42">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43">
    <w:name w:val="表格标题"/>
    <w:basedOn w:val="8"/>
    <w:qFormat/>
    <w:uiPriority w:val="0"/>
    <w:pPr>
      <w:keepNext/>
      <w:spacing w:line="440" w:lineRule="exact"/>
      <w:jc w:val="center"/>
    </w:pPr>
    <w:rPr>
      <w:rFonts w:ascii="Times New Roman" w:hAnsi="宋体" w:eastAsia="Times New Roman" w:cs="Times New Roman"/>
      <w:sz w:val="24"/>
      <w:szCs w:val="21"/>
    </w:rPr>
  </w:style>
  <w:style w:type="paragraph" w:customStyle="1" w:styleId="44">
    <w:name w:val="样式 列表 2 + 华文仿宋 居中"/>
    <w:basedOn w:val="15"/>
    <w:qFormat/>
    <w:uiPriority w:val="0"/>
    <w:pPr>
      <w:spacing w:line="240" w:lineRule="exact"/>
      <w:ind w:left="0" w:leftChars="0" w:firstLine="0" w:firstLineChars="0"/>
      <w:jc w:val="center"/>
    </w:pPr>
    <w:rPr>
      <w:sz w:val="21"/>
      <w:szCs w:val="21"/>
    </w:rPr>
  </w:style>
  <w:style w:type="paragraph" w:customStyle="1" w:styleId="45">
    <w:name w:val="正文首行缩进＋湿地"/>
    <w:basedOn w:val="1"/>
    <w:qFormat/>
    <w:uiPriority w:val="0"/>
    <w:pPr>
      <w:spacing w:line="440" w:lineRule="exact"/>
      <w:ind w:firstLine="540" w:firstLineChars="225"/>
    </w:pPr>
    <w:rPr>
      <w:rFonts w:ascii="仿宋_GB2312" w:hAnsi="宋体" w:eastAsia="仿宋_GB2312"/>
      <w:kern w:val="0"/>
      <w:szCs w:val="20"/>
    </w:rPr>
  </w:style>
  <w:style w:type="paragraph" w:customStyle="1" w:styleId="46">
    <w:name w:val="正文111111"/>
    <w:basedOn w:val="6"/>
    <w:qFormat/>
    <w:uiPriority w:val="0"/>
    <w:pPr>
      <w:spacing w:line="360" w:lineRule="auto"/>
      <w:ind w:firstLine="200" w:firstLineChars="200"/>
    </w:pPr>
    <w:rPr>
      <w:sz w:val="21"/>
      <w:szCs w:val="24"/>
    </w:rPr>
  </w:style>
  <w:style w:type="paragraph" w:customStyle="1" w:styleId="47">
    <w:name w:val="2 Char"/>
    <w:basedOn w:val="1"/>
    <w:qFormat/>
    <w:uiPriority w:val="0"/>
    <w:pPr>
      <w:spacing w:line="360" w:lineRule="auto"/>
      <w:ind w:firstLine="200" w:firstLineChars="200"/>
    </w:pPr>
    <w:rPr>
      <w:rFonts w:ascii="宋体" w:hAnsi="宋体" w:cs="宋体"/>
      <w:sz w:val="24"/>
    </w:rPr>
  </w:style>
  <w:style w:type="paragraph" w:customStyle="1" w:styleId="48">
    <w:name w:val="纯文本1"/>
    <w:basedOn w:val="1"/>
    <w:qFormat/>
    <w:uiPriority w:val="0"/>
    <w:rPr>
      <w:rFonts w:hint="eastAsia" w:ascii="宋体" w:hAnsi="Courier New"/>
      <w:sz w:val="21"/>
    </w:rPr>
  </w:style>
  <w:style w:type="paragraph" w:customStyle="1" w:styleId="49">
    <w:name w:val="A正文"/>
    <w:basedOn w:val="1"/>
    <w:link w:val="121"/>
    <w:qFormat/>
    <w:uiPriority w:val="0"/>
    <w:pPr>
      <w:adjustRightInd w:val="0"/>
      <w:snapToGrid w:val="0"/>
      <w:spacing w:line="360" w:lineRule="auto"/>
      <w:ind w:firstLine="480" w:firstLineChars="200"/>
    </w:pPr>
    <w:rPr>
      <w:kern w:val="0"/>
      <w:sz w:val="24"/>
    </w:rPr>
  </w:style>
  <w:style w:type="paragraph" w:customStyle="1" w:styleId="50">
    <w:name w:val="表格正文"/>
    <w:basedOn w:val="1"/>
    <w:link w:val="99"/>
    <w:qFormat/>
    <w:uiPriority w:val="0"/>
    <w:pPr>
      <w:jc w:val="center"/>
    </w:pPr>
    <w:rPr>
      <w:rFonts w:ascii="仿宋_GB2312" w:eastAsia="仿宋_GB2312"/>
      <w:sz w:val="21"/>
    </w:rPr>
  </w:style>
  <w:style w:type="paragraph" w:customStyle="1" w:styleId="51">
    <w:name w:val="pic-info"/>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Char Char Char1 Char"/>
    <w:basedOn w:val="1"/>
    <w:qFormat/>
    <w:uiPriority w:val="0"/>
    <w:rPr>
      <w:sz w:val="21"/>
    </w:rPr>
  </w:style>
  <w:style w:type="paragraph" w:customStyle="1" w:styleId="53">
    <w:name w:val="表文字"/>
    <w:basedOn w:val="1"/>
    <w:qFormat/>
    <w:uiPriority w:val="0"/>
    <w:pPr>
      <w:overflowPunct w:val="0"/>
      <w:autoSpaceDE w:val="0"/>
      <w:autoSpaceDN w:val="0"/>
      <w:adjustRightInd w:val="0"/>
      <w:spacing w:line="240" w:lineRule="atLeast"/>
      <w:jc w:val="center"/>
      <w:textAlignment w:val="baseline"/>
    </w:pPr>
    <w:rPr>
      <w:kern w:val="0"/>
      <w:sz w:val="24"/>
      <w:szCs w:val="20"/>
    </w:rPr>
  </w:style>
  <w:style w:type="paragraph" w:customStyle="1" w:styleId="54">
    <w:name w:val="_Style 8"/>
    <w:basedOn w:val="1"/>
    <w:qFormat/>
    <w:uiPriority w:val="0"/>
    <w:pPr>
      <w:spacing w:before="156" w:beforeLines="50" w:after="156" w:afterLines="50"/>
      <w:ind w:firstLine="200" w:firstLineChars="200"/>
    </w:pPr>
    <w:rPr>
      <w:rFonts w:ascii="仿宋_GB2312" w:hAnsi="宋体" w:eastAsia="仿宋_GB2312"/>
      <w:szCs w:val="20"/>
    </w:rPr>
  </w:style>
  <w:style w:type="paragraph" w:customStyle="1" w:styleId="55">
    <w:name w:val="表格"/>
    <w:basedOn w:val="1"/>
    <w:next w:val="56"/>
    <w:link w:val="129"/>
    <w:qFormat/>
    <w:uiPriority w:val="0"/>
    <w:pPr>
      <w:spacing w:line="540" w:lineRule="exact"/>
    </w:pPr>
    <w:rPr>
      <w:sz w:val="24"/>
    </w:rPr>
  </w:style>
  <w:style w:type="paragraph" w:customStyle="1" w:styleId="56">
    <w:name w:val="表格内部"/>
    <w:basedOn w:val="1"/>
    <w:qFormat/>
    <w:uiPriority w:val="0"/>
    <w:pPr>
      <w:spacing w:line="240" w:lineRule="auto"/>
      <w:ind w:firstLine="0" w:firstLineChars="0"/>
      <w:jc w:val="center"/>
    </w:pPr>
    <w:rPr>
      <w:rFonts w:ascii="Times New Roman" w:hAnsi="Times New Roman" w:eastAsia="宋体"/>
      <w:kern w:val="0"/>
      <w:sz w:val="21"/>
      <w:szCs w:val="18"/>
    </w:rPr>
  </w:style>
  <w:style w:type="paragraph" w:customStyle="1" w:styleId="57">
    <w:name w:val="正文2"/>
    <w:qFormat/>
    <w:uiPriority w:val="0"/>
    <w:rPr>
      <w:rFonts w:ascii="Calibri" w:hAnsi="Calibri" w:eastAsia="宋体" w:cs="宋体"/>
      <w:sz w:val="28"/>
      <w:lang w:val="en-US" w:eastAsia="zh-CN" w:bidi="ar-SA"/>
    </w:rPr>
  </w:style>
  <w:style w:type="paragraph" w:customStyle="1" w:styleId="58">
    <w:name w:val="样式1"/>
    <w:basedOn w:val="1"/>
    <w:qFormat/>
    <w:uiPriority w:val="0"/>
    <w:pPr>
      <w:snapToGrid w:val="0"/>
      <w:jc w:val="center"/>
    </w:pPr>
    <w:rPr>
      <w:rFonts w:ascii="宋体"/>
      <w:sz w:val="21"/>
      <w:szCs w:val="20"/>
    </w:rPr>
  </w:style>
  <w:style w:type="paragraph" w:customStyle="1" w:styleId="59">
    <w:name w:val="正文 03"/>
    <w:basedOn w:val="1"/>
    <w:qFormat/>
    <w:uiPriority w:val="0"/>
    <w:pPr>
      <w:autoSpaceDE w:val="0"/>
      <w:autoSpaceDN w:val="0"/>
      <w:adjustRightInd w:val="0"/>
      <w:textAlignment w:val="baseline"/>
    </w:pPr>
    <w:rPr>
      <w:rFonts w:eastAsia="楷体_GB2312"/>
      <w:kern w:val="0"/>
      <w:sz w:val="24"/>
      <w:szCs w:val="20"/>
    </w:rPr>
  </w:style>
  <w:style w:type="paragraph" w:customStyle="1" w:styleId="60">
    <w:name w:val="Char Char1 Char"/>
    <w:basedOn w:val="1"/>
    <w:qFormat/>
    <w:uiPriority w:val="0"/>
    <w:pPr>
      <w:adjustRightInd w:val="0"/>
      <w:spacing w:line="360" w:lineRule="auto"/>
    </w:pPr>
    <w:rPr>
      <w:kern w:val="0"/>
      <w:sz w:val="24"/>
      <w:szCs w:val="20"/>
    </w:rPr>
  </w:style>
  <w:style w:type="paragraph" w:customStyle="1" w:styleId="61">
    <w:name w:val="p0"/>
    <w:basedOn w:val="1"/>
    <w:qFormat/>
    <w:uiPriority w:val="0"/>
    <w:pPr>
      <w:widowControl/>
      <w:snapToGrid w:val="0"/>
      <w:spacing w:line="312" w:lineRule="atLeast"/>
    </w:pPr>
    <w:rPr>
      <w:kern w:val="0"/>
      <w:sz w:val="21"/>
      <w:szCs w:val="21"/>
    </w:rPr>
  </w:style>
  <w:style w:type="paragraph" w:customStyle="1" w:styleId="62">
    <w:name w:val="表格式"/>
    <w:basedOn w:val="26"/>
    <w:qFormat/>
    <w:uiPriority w:val="0"/>
    <w:pPr>
      <w:spacing w:line="400" w:lineRule="exact"/>
    </w:pPr>
    <w:rPr>
      <w:rFonts w:ascii="宋体" w:eastAsia="宋体"/>
      <w:sz w:val="21"/>
    </w:rPr>
  </w:style>
  <w:style w:type="paragraph" w:customStyle="1" w:styleId="63">
    <w:name w:val="表格内容自定"/>
    <w:basedOn w:val="1"/>
    <w:qFormat/>
    <w:uiPriority w:val="0"/>
    <w:pPr>
      <w:spacing w:line="280" w:lineRule="exact"/>
      <w:jc w:val="center"/>
    </w:pPr>
    <w:rPr>
      <w:kern w:val="0"/>
      <w:sz w:val="18"/>
      <w:szCs w:val="21"/>
    </w:rPr>
  </w:style>
  <w:style w:type="paragraph" w:customStyle="1" w:styleId="64">
    <w:name w:val="Char Char Char Char Char Char Char Char Char Char Char Char Char Char Char Char Char Char Char Char Char Char Char Char Char"/>
    <w:basedOn w:val="1"/>
    <w:qFormat/>
    <w:uiPriority w:val="0"/>
    <w:rPr>
      <w:sz w:val="21"/>
    </w:rPr>
  </w:style>
  <w:style w:type="paragraph" w:customStyle="1" w:styleId="65">
    <w:name w:val="默认段落字体 Para Char Char Char Char Char Char Char Char Char Char Char Char Char"/>
    <w:basedOn w:val="1"/>
    <w:qFormat/>
    <w:uiPriority w:val="0"/>
    <w:pPr>
      <w:spacing w:line="360" w:lineRule="auto"/>
      <w:ind w:firstLine="200" w:firstLineChars="200"/>
    </w:pPr>
    <w:rPr>
      <w:spacing w:val="10"/>
      <w:sz w:val="24"/>
    </w:rPr>
  </w:style>
  <w:style w:type="paragraph" w:customStyle="1" w:styleId="66">
    <w:name w:val="标题 31"/>
    <w:basedOn w:val="1"/>
    <w:next w:val="1"/>
    <w:qFormat/>
    <w:uiPriority w:val="0"/>
    <w:pPr>
      <w:keepNext/>
      <w:keepLines/>
      <w:tabs>
        <w:tab w:val="left" w:pos="1620"/>
      </w:tabs>
      <w:spacing w:before="156" w:beforeLines="50" w:line="460" w:lineRule="exact"/>
      <w:ind w:firstLine="573"/>
      <w:outlineLvl w:val="2"/>
    </w:pPr>
    <w:rPr>
      <w:rFonts w:ascii="ºÚÌå" w:hAnsi="宋体" w:cs="ºÚÌå"/>
      <w:b/>
      <w:bCs/>
      <w:spacing w:val="-8"/>
      <w:kern w:val="0"/>
      <w:sz w:val="30"/>
    </w:rPr>
  </w:style>
  <w:style w:type="paragraph" w:customStyle="1" w:styleId="67">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68">
    <w:name w:val="Char Char Char Char Char Char Char"/>
    <w:basedOn w:val="1"/>
    <w:qFormat/>
    <w:uiPriority w:val="0"/>
    <w:pPr>
      <w:adjustRightInd w:val="0"/>
      <w:spacing w:line="360" w:lineRule="auto"/>
    </w:pPr>
    <w:rPr>
      <w:sz w:val="21"/>
      <w:szCs w:val="20"/>
    </w:rPr>
  </w:style>
  <w:style w:type="paragraph" w:customStyle="1" w:styleId="69">
    <w:name w:val="A标准格式"/>
    <w:basedOn w:val="1"/>
    <w:link w:val="109"/>
    <w:qFormat/>
    <w:uiPriority w:val="0"/>
    <w:pPr>
      <w:spacing w:line="440" w:lineRule="exact"/>
      <w:ind w:firstLine="480" w:firstLineChars="200"/>
    </w:pPr>
    <w:rPr>
      <w:sz w:val="24"/>
    </w:rPr>
  </w:style>
  <w:style w:type="paragraph" w:customStyle="1" w:styleId="70">
    <w:name w:val="表格文字2"/>
    <w:basedOn w:val="17"/>
    <w:qFormat/>
    <w:uiPriority w:val="0"/>
    <w:pPr>
      <w:adjustRightInd w:val="0"/>
      <w:spacing w:before="60"/>
      <w:jc w:val="center"/>
      <w:textAlignment w:val="baseline"/>
    </w:pPr>
    <w:rPr>
      <w:rFonts w:hAnsi="Times New Roman"/>
      <w:kern w:val="0"/>
      <w:sz w:val="24"/>
      <w:szCs w:val="20"/>
    </w:rPr>
  </w:style>
  <w:style w:type="paragraph" w:customStyle="1" w:styleId="71">
    <w:name w:val="表格文字"/>
    <w:basedOn w:val="1"/>
    <w:link w:val="106"/>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72">
    <w:name w:val="Char1"/>
    <w:basedOn w:val="1"/>
    <w:qFormat/>
    <w:uiPriority w:val="0"/>
    <w:rPr>
      <w:rFonts w:ascii="宋体" w:hAnsi="宋体" w:eastAsia="Times New Roman" w:cs="宋体"/>
      <w:bCs/>
      <w:sz w:val="18"/>
      <w:szCs w:val="18"/>
    </w:rPr>
  </w:style>
  <w:style w:type="paragraph" w:customStyle="1" w:styleId="73">
    <w:name w:val="xl36"/>
    <w:basedOn w:val="1"/>
    <w:qFormat/>
    <w:uiPriority w:val="0"/>
    <w:pPr>
      <w:widowControl/>
      <w:spacing w:before="100" w:beforeAutospacing="1" w:after="100" w:afterAutospacing="1"/>
      <w:jc w:val="center"/>
    </w:pPr>
    <w:rPr>
      <w:rFonts w:ascii="楷体_GB2312" w:hAnsi="Arial Unicode MS" w:eastAsia="楷体_GB2312"/>
      <w:b/>
      <w:bCs/>
      <w:kern w:val="0"/>
      <w:szCs w:val="28"/>
    </w:rPr>
  </w:style>
  <w:style w:type="paragraph" w:customStyle="1" w:styleId="7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75">
    <w:name w:val="表格 32"/>
    <w:basedOn w:val="1"/>
    <w:qFormat/>
    <w:uiPriority w:val="0"/>
    <w:pPr>
      <w:autoSpaceDE w:val="0"/>
      <w:autoSpaceDN w:val="0"/>
      <w:adjustRightInd w:val="0"/>
      <w:spacing w:line="240" w:lineRule="atLeast"/>
      <w:jc w:val="center"/>
    </w:pPr>
    <w:rPr>
      <w:kern w:val="0"/>
      <w:sz w:val="24"/>
    </w:rPr>
  </w:style>
  <w:style w:type="paragraph" w:customStyle="1" w:styleId="76">
    <w:name w:val="默认段落字体 Para Char Char Char Char"/>
    <w:basedOn w:val="1"/>
    <w:qFormat/>
    <w:uiPriority w:val="0"/>
    <w:pPr>
      <w:widowControl/>
      <w:jc w:val="left"/>
    </w:pPr>
    <w:rPr>
      <w:rFonts w:cs="宋体"/>
      <w:kern w:val="0"/>
      <w:sz w:val="21"/>
    </w:rPr>
  </w:style>
  <w:style w:type="paragraph" w:customStyle="1" w:styleId="77">
    <w:name w:val="表内容"/>
    <w:basedOn w:val="1"/>
    <w:next w:val="1"/>
    <w:qFormat/>
    <w:uiPriority w:val="0"/>
    <w:pPr>
      <w:spacing w:line="320" w:lineRule="exact"/>
      <w:jc w:val="center"/>
    </w:pPr>
    <w:rPr>
      <w:sz w:val="21"/>
      <w:szCs w:val="20"/>
    </w:rPr>
  </w:style>
  <w:style w:type="paragraph" w:customStyle="1" w:styleId="78">
    <w:name w:val="表内文字"/>
    <w:basedOn w:val="1"/>
    <w:link w:val="101"/>
    <w:qFormat/>
    <w:uiPriority w:val="0"/>
    <w:pPr>
      <w:spacing w:line="600" w:lineRule="exact"/>
      <w:jc w:val="center"/>
    </w:pPr>
    <w:rPr>
      <w:sz w:val="24"/>
    </w:rPr>
  </w:style>
  <w:style w:type="paragraph" w:customStyle="1" w:styleId="79">
    <w:name w:val="标题 21"/>
    <w:basedOn w:val="1"/>
    <w:qFormat/>
    <w:uiPriority w:val="1"/>
    <w:pPr>
      <w:spacing w:before="26"/>
      <w:ind w:left="721"/>
      <w:jc w:val="left"/>
      <w:outlineLvl w:val="2"/>
    </w:pPr>
    <w:rPr>
      <w:rFonts w:ascii="宋体" w:hAnsi="宋体"/>
      <w:b/>
      <w:bCs/>
      <w:kern w:val="0"/>
      <w:sz w:val="24"/>
      <w:lang w:eastAsia="en-US"/>
    </w:rPr>
  </w:style>
  <w:style w:type="paragraph" w:customStyle="1" w:styleId="80">
    <w:name w:val="Char Char1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81">
    <w:name w:val="字元 字元"/>
    <w:basedOn w:val="1"/>
    <w:qFormat/>
    <w:uiPriority w:val="0"/>
    <w:rPr>
      <w:sz w:val="21"/>
    </w:rPr>
  </w:style>
  <w:style w:type="paragraph" w:customStyle="1" w:styleId="82">
    <w:name w:val="正文001"/>
    <w:basedOn w:val="1"/>
    <w:qFormat/>
    <w:uiPriority w:val="0"/>
    <w:pPr>
      <w:spacing w:before="60" w:line="420" w:lineRule="exact"/>
      <w:ind w:firstLine="482"/>
    </w:pPr>
    <w:rPr>
      <w:sz w:val="24"/>
    </w:rPr>
  </w:style>
  <w:style w:type="paragraph" w:customStyle="1" w:styleId="83">
    <w:name w:val="1表格"/>
    <w:basedOn w:val="1"/>
    <w:qFormat/>
    <w:uiPriority w:val="0"/>
    <w:pPr>
      <w:snapToGrid w:val="0"/>
      <w:spacing w:line="160" w:lineRule="atLeast"/>
      <w:jc w:val="center"/>
    </w:pPr>
    <w:rPr>
      <w:rFonts w:eastAsia="仿宋_GB2312"/>
      <w:sz w:val="21"/>
      <w:szCs w:val="20"/>
    </w:rPr>
  </w:style>
  <w:style w:type="paragraph" w:customStyle="1" w:styleId="84">
    <w:name w:val="表头"/>
    <w:basedOn w:val="1"/>
    <w:next w:val="1"/>
    <w:link w:val="128"/>
    <w:qFormat/>
    <w:uiPriority w:val="0"/>
    <w:pPr>
      <w:spacing w:line="420" w:lineRule="exact"/>
      <w:jc w:val="center"/>
    </w:pPr>
    <w:rPr>
      <w:rFonts w:hAnsi="宋体"/>
      <w:b/>
      <w:color w:val="000000"/>
      <w:position w:val="2"/>
      <w:sz w:val="24"/>
    </w:rPr>
  </w:style>
  <w:style w:type="paragraph" w:customStyle="1" w:styleId="85">
    <w:name w:val="正文（首行缩进） Char"/>
    <w:basedOn w:val="1"/>
    <w:link w:val="118"/>
    <w:qFormat/>
    <w:uiPriority w:val="0"/>
    <w:pPr>
      <w:widowControl/>
      <w:overflowPunct w:val="0"/>
      <w:topLinePunct/>
      <w:autoSpaceDE w:val="0"/>
      <w:autoSpaceDN w:val="0"/>
      <w:adjustRightInd w:val="0"/>
      <w:snapToGrid w:val="0"/>
      <w:spacing w:line="360" w:lineRule="auto"/>
      <w:ind w:firstLine="480" w:firstLineChars="200"/>
    </w:pPr>
    <w:rPr>
      <w:kern w:val="0"/>
      <w:sz w:val="24"/>
      <w:szCs w:val="20"/>
    </w:rPr>
  </w:style>
  <w:style w:type="paragraph" w:customStyle="1" w:styleId="86">
    <w:name w:val="Table Paragraph"/>
    <w:basedOn w:val="1"/>
    <w:qFormat/>
    <w:uiPriority w:val="1"/>
    <w:pPr>
      <w:jc w:val="left"/>
    </w:pPr>
    <w:rPr>
      <w:kern w:val="0"/>
      <w:sz w:val="22"/>
      <w:szCs w:val="22"/>
      <w:lang w:eastAsia="en-US"/>
    </w:rPr>
  </w:style>
  <w:style w:type="paragraph" w:customStyle="1" w:styleId="87">
    <w:name w:val="新正文"/>
    <w:basedOn w:val="1"/>
    <w:qFormat/>
    <w:uiPriority w:val="0"/>
    <w:pPr>
      <w:spacing w:line="480" w:lineRule="exact"/>
      <w:ind w:firstLine="567"/>
    </w:pPr>
    <w:rPr>
      <w:rFonts w:ascii="仿宋_GB2312" w:eastAsia="仿宋_GB2312"/>
      <w:bCs/>
      <w:kern w:val="0"/>
      <w:szCs w:val="20"/>
    </w:rPr>
  </w:style>
  <w:style w:type="paragraph" w:customStyle="1" w:styleId="88">
    <w:name w:val="正文文本－5号字"/>
    <w:basedOn w:val="12"/>
    <w:qFormat/>
    <w:uiPriority w:val="0"/>
    <w:pPr>
      <w:spacing w:before="78" w:line="480" w:lineRule="exact"/>
      <w:ind w:firstLine="480" w:firstLineChars="200"/>
    </w:pPr>
  </w:style>
  <w:style w:type="paragraph" w:customStyle="1" w:styleId="89">
    <w:name w:val="样式35"/>
    <w:basedOn w:val="1"/>
    <w:qFormat/>
    <w:uiPriority w:val="0"/>
    <w:pPr>
      <w:adjustRightInd w:val="0"/>
      <w:spacing w:line="312" w:lineRule="auto"/>
      <w:ind w:firstLine="567"/>
    </w:pPr>
    <w:rPr>
      <w:rFonts w:ascii="宋体"/>
      <w:kern w:val="0"/>
      <w:szCs w:val="20"/>
    </w:rPr>
  </w:style>
  <w:style w:type="paragraph" w:customStyle="1" w:styleId="90">
    <w:name w:val="正文首行缩进2个字"/>
    <w:basedOn w:val="1"/>
    <w:semiHidden/>
    <w:qFormat/>
    <w:uiPriority w:val="0"/>
    <w:pPr>
      <w:spacing w:line="480" w:lineRule="exact"/>
      <w:ind w:firstLine="1440" w:firstLineChars="200"/>
    </w:pPr>
    <w:rPr>
      <w:spacing w:val="3"/>
      <w:kern w:val="0"/>
      <w:szCs w:val="20"/>
    </w:rPr>
  </w:style>
  <w:style w:type="paragraph" w:customStyle="1" w:styleId="91">
    <w:name w:val="1正文"/>
    <w:basedOn w:val="1"/>
    <w:qFormat/>
    <w:uiPriority w:val="0"/>
    <w:pPr>
      <w:widowControl/>
      <w:spacing w:line="360" w:lineRule="auto"/>
      <w:ind w:firstLine="200" w:firstLineChars="200"/>
    </w:pPr>
    <w:rPr>
      <w:kern w:val="0"/>
      <w:sz w:val="24"/>
      <w:szCs w:val="20"/>
      <w:lang w:val="en-GB"/>
    </w:rPr>
  </w:style>
  <w:style w:type="paragraph" w:customStyle="1" w:styleId="92">
    <w:name w:val="1正文段落"/>
    <w:basedOn w:val="1"/>
    <w:link w:val="132"/>
    <w:qFormat/>
    <w:uiPriority w:val="0"/>
    <w:pPr>
      <w:snapToGrid w:val="0"/>
      <w:spacing w:line="360" w:lineRule="auto"/>
      <w:ind w:firstLine="480" w:firstLineChars="200"/>
      <w:jc w:val="left"/>
    </w:pPr>
    <w:rPr>
      <w:rFonts w:ascii="宋体" w:hAnsi="宋体"/>
      <w:snapToGrid w:val="0"/>
      <w:kern w:val="0"/>
      <w:sz w:val="24"/>
      <w:szCs w:val="20"/>
    </w:rPr>
  </w:style>
  <w:style w:type="paragraph" w:customStyle="1" w:styleId="93">
    <w:name w:val="Char2"/>
    <w:basedOn w:val="1"/>
    <w:semiHidden/>
    <w:qFormat/>
    <w:uiPriority w:val="0"/>
    <w:pPr>
      <w:ind w:firstLine="200" w:firstLineChars="200"/>
    </w:pPr>
    <w:rPr>
      <w:rFonts w:ascii="宋体" w:hAnsi="宋体" w:cs="宋体"/>
      <w:sz w:val="21"/>
    </w:rPr>
  </w:style>
  <w:style w:type="paragraph" w:customStyle="1" w:styleId="94">
    <w:name w:val="zxz5"/>
    <w:next w:val="1"/>
    <w:qFormat/>
    <w:uiPriority w:val="0"/>
    <w:pPr>
      <w:tabs>
        <w:tab w:val="left" w:pos="0"/>
      </w:tabs>
      <w:jc w:val="center"/>
    </w:pPr>
    <w:rPr>
      <w:rFonts w:ascii="Calibri" w:hAnsi="Calibri" w:eastAsia="宋体" w:cs="Times New Roman"/>
      <w:lang w:val="en-US" w:eastAsia="zh-CN" w:bidi="ar-SA"/>
    </w:rPr>
  </w:style>
  <w:style w:type="paragraph" w:customStyle="1" w:styleId="95">
    <w:name w:val="我的表格"/>
    <w:qFormat/>
    <w:uiPriority w:val="0"/>
    <w:pPr>
      <w:adjustRightInd w:val="0"/>
      <w:snapToGrid w:val="0"/>
      <w:spacing w:line="300" w:lineRule="exact"/>
      <w:jc w:val="center"/>
    </w:pPr>
    <w:rPr>
      <w:rFonts w:ascii="Calibri" w:hAnsi="Calibri" w:eastAsia="宋体" w:cs="Times New Roman"/>
      <w:spacing w:val="4"/>
      <w:sz w:val="21"/>
      <w:szCs w:val="24"/>
      <w:lang w:val="en-US" w:eastAsia="zh-CN" w:bidi="ar-SA"/>
    </w:rPr>
  </w:style>
  <w:style w:type="paragraph" w:customStyle="1" w:styleId="96">
    <w:name w:val="Char Char Char Char1"/>
    <w:basedOn w:val="1"/>
    <w:qFormat/>
    <w:uiPriority w:val="0"/>
    <w:rPr>
      <w:sz w:val="24"/>
    </w:rPr>
  </w:style>
  <w:style w:type="paragraph" w:customStyle="1" w:styleId="97">
    <w:name w:val="表内文字小五号字"/>
    <w:basedOn w:val="1"/>
    <w:qFormat/>
    <w:uiPriority w:val="0"/>
    <w:pPr>
      <w:adjustRightInd w:val="0"/>
      <w:spacing w:line="360" w:lineRule="atLeast"/>
      <w:jc w:val="center"/>
      <w:textAlignment w:val="baseline"/>
    </w:pPr>
    <w:rPr>
      <w:kern w:val="0"/>
      <w:sz w:val="18"/>
    </w:rPr>
  </w:style>
  <w:style w:type="paragraph" w:customStyle="1" w:styleId="98">
    <w:name w:val="WPS Plain"/>
    <w:qFormat/>
    <w:uiPriority w:val="0"/>
    <w:rPr>
      <w:rFonts w:ascii="Calibri" w:hAnsi="Calibri" w:eastAsia="宋体" w:cs="Times New Roman"/>
      <w:sz w:val="24"/>
      <w:szCs w:val="24"/>
      <w:lang w:val="en-US" w:eastAsia="zh-CN" w:bidi="ar-SA"/>
    </w:rPr>
  </w:style>
  <w:style w:type="character" w:customStyle="1" w:styleId="99">
    <w:name w:val="表格正文 Char"/>
    <w:basedOn w:val="34"/>
    <w:link w:val="50"/>
    <w:qFormat/>
    <w:uiPriority w:val="0"/>
    <w:rPr>
      <w:rFonts w:ascii="仿宋_GB2312" w:eastAsia="仿宋_GB2312"/>
      <w:kern w:val="2"/>
      <w:sz w:val="21"/>
      <w:szCs w:val="24"/>
      <w:lang w:val="en-US" w:eastAsia="zh-CN" w:bidi="ar-SA"/>
    </w:rPr>
  </w:style>
  <w:style w:type="character" w:customStyle="1" w:styleId="100">
    <w:name w:val="正文缩进 Char"/>
    <w:link w:val="6"/>
    <w:qFormat/>
    <w:uiPriority w:val="0"/>
    <w:rPr>
      <w:rFonts w:eastAsia="宋体"/>
      <w:spacing w:val="20"/>
      <w:kern w:val="2"/>
      <w:sz w:val="24"/>
      <w:lang w:val="en-US" w:eastAsia="zh-CN" w:bidi="ar-SA"/>
    </w:rPr>
  </w:style>
  <w:style w:type="character" w:customStyle="1" w:styleId="101">
    <w:name w:val="表内文字 Char Char"/>
    <w:basedOn w:val="34"/>
    <w:link w:val="78"/>
    <w:qFormat/>
    <w:uiPriority w:val="0"/>
    <w:rPr>
      <w:rFonts w:eastAsia="宋体"/>
      <w:kern w:val="2"/>
      <w:sz w:val="24"/>
      <w:lang w:val="en-US" w:eastAsia="zh-CN" w:bidi="ar-SA"/>
    </w:rPr>
  </w:style>
  <w:style w:type="character" w:customStyle="1" w:styleId="102">
    <w:name w:val="普通文字 Char Char1"/>
    <w:basedOn w:val="34"/>
    <w:qFormat/>
    <w:uiPriority w:val="0"/>
    <w:rPr>
      <w:rFonts w:ascii="宋体" w:hAnsi="Courier New" w:eastAsia="宋体"/>
      <w:spacing w:val="-2"/>
      <w:kern w:val="28"/>
      <w:sz w:val="21"/>
      <w:lang w:val="en-US" w:eastAsia="zh-CN" w:bidi="ar-SA"/>
    </w:rPr>
  </w:style>
  <w:style w:type="character" w:customStyle="1" w:styleId="103">
    <w:name w:val="Char Char4"/>
    <w:basedOn w:val="34"/>
    <w:qFormat/>
    <w:uiPriority w:val="0"/>
    <w:rPr>
      <w:kern w:val="2"/>
      <w:sz w:val="28"/>
      <w:szCs w:val="24"/>
    </w:rPr>
  </w:style>
  <w:style w:type="character" w:customStyle="1" w:styleId="104">
    <w:name w:val="纯文本 Char"/>
    <w:basedOn w:val="34"/>
    <w:link w:val="17"/>
    <w:qFormat/>
    <w:uiPriority w:val="0"/>
    <w:rPr>
      <w:rFonts w:ascii="宋体" w:hAnsi="Courier New" w:eastAsia="宋体"/>
      <w:kern w:val="2"/>
      <w:sz w:val="21"/>
      <w:szCs w:val="21"/>
      <w:lang w:val="en-US" w:eastAsia="zh-CN" w:bidi="ar-SA"/>
    </w:rPr>
  </w:style>
  <w:style w:type="character" w:customStyle="1" w:styleId="105">
    <w:name w:val="表格文字 Char"/>
    <w:qFormat/>
    <w:uiPriority w:val="0"/>
    <w:rPr>
      <w:rFonts w:eastAsia="仿宋_GB2312"/>
      <w:sz w:val="24"/>
      <w:lang w:val="en-US" w:eastAsia="zh-CN" w:bidi="ar-SA"/>
    </w:rPr>
  </w:style>
  <w:style w:type="character" w:customStyle="1" w:styleId="106">
    <w:name w:val="表格文字 Char Char"/>
    <w:basedOn w:val="34"/>
    <w:link w:val="71"/>
    <w:qFormat/>
    <w:uiPriority w:val="0"/>
    <w:rPr>
      <w:rFonts w:eastAsia="仿宋_GB2312"/>
      <w:sz w:val="24"/>
      <w:lang w:val="en-US" w:eastAsia="zh-CN" w:bidi="ar-SA"/>
    </w:rPr>
  </w:style>
  <w:style w:type="character" w:customStyle="1" w:styleId="107">
    <w:name w:val="批注文字 Char"/>
    <w:basedOn w:val="34"/>
    <w:link w:val="10"/>
    <w:qFormat/>
    <w:uiPriority w:val="0"/>
    <w:rPr>
      <w:kern w:val="2"/>
      <w:sz w:val="28"/>
      <w:szCs w:val="24"/>
    </w:rPr>
  </w:style>
  <w:style w:type="character" w:customStyle="1" w:styleId="108">
    <w:name w:val="普通(网站) Char"/>
    <w:link w:val="29"/>
    <w:qFormat/>
    <w:locked/>
    <w:uiPriority w:val="0"/>
    <w:rPr>
      <w:rFonts w:ascii="宋体" w:hAnsi="宋体" w:eastAsia="宋体" w:cs="宋体"/>
      <w:sz w:val="24"/>
      <w:szCs w:val="24"/>
      <w:lang w:val="en-US" w:eastAsia="zh-CN" w:bidi="ar-SA"/>
    </w:rPr>
  </w:style>
  <w:style w:type="character" w:customStyle="1" w:styleId="109">
    <w:name w:val="A标准格式 Char Char"/>
    <w:basedOn w:val="34"/>
    <w:link w:val="69"/>
    <w:qFormat/>
    <w:uiPriority w:val="0"/>
    <w:rPr>
      <w:rFonts w:eastAsia="宋体"/>
      <w:kern w:val="2"/>
      <w:sz w:val="24"/>
      <w:szCs w:val="24"/>
      <w:lang w:val="en-US" w:eastAsia="zh-CN" w:bidi="ar-SA"/>
    </w:rPr>
  </w:style>
  <w:style w:type="character" w:customStyle="1" w:styleId="110">
    <w:name w:val="标题 3 Char Char Char"/>
    <w:basedOn w:val="34"/>
    <w:qFormat/>
    <w:uiPriority w:val="0"/>
    <w:rPr>
      <w:rFonts w:eastAsia="宋体"/>
      <w:b/>
      <w:bCs/>
      <w:kern w:val="2"/>
      <w:sz w:val="30"/>
      <w:szCs w:val="32"/>
      <w:lang w:val="en-US" w:eastAsia="zh-CN" w:bidi="ar-SA"/>
    </w:rPr>
  </w:style>
  <w:style w:type="character" w:customStyle="1" w:styleId="111">
    <w:name w:val="正文文本缩进 Char"/>
    <w:basedOn w:val="34"/>
    <w:link w:val="13"/>
    <w:qFormat/>
    <w:uiPriority w:val="0"/>
    <w:rPr>
      <w:rFonts w:eastAsia="宋体"/>
      <w:kern w:val="2"/>
      <w:sz w:val="28"/>
      <w:szCs w:val="24"/>
      <w:lang w:val="en-US" w:eastAsia="zh-CN" w:bidi="ar-SA"/>
    </w:rPr>
  </w:style>
  <w:style w:type="character" w:customStyle="1" w:styleId="112">
    <w:name w:val="正文（首行缩进两字） Char Char Char Char Char Char Char Char"/>
    <w:basedOn w:val="34"/>
    <w:qFormat/>
    <w:uiPriority w:val="0"/>
    <w:rPr>
      <w:rFonts w:eastAsia="华文中宋"/>
      <w:w w:val="90"/>
      <w:sz w:val="28"/>
      <w:lang w:val="en-US" w:eastAsia="zh-CN" w:bidi="ar-SA"/>
    </w:rPr>
  </w:style>
  <w:style w:type="character" w:customStyle="1" w:styleId="113">
    <w:name w:val="标题 4 Char"/>
    <w:link w:val="2"/>
    <w:qFormat/>
    <w:uiPriority w:val="0"/>
    <w:rPr>
      <w:rFonts w:ascii="Arial" w:hAnsi="Arial" w:eastAsia="黑体"/>
      <w:b/>
      <w:bCs/>
      <w:kern w:val="2"/>
      <w:sz w:val="28"/>
      <w:szCs w:val="28"/>
      <w:lang w:val="en-US" w:eastAsia="zh-CN" w:bidi="ar-SA"/>
    </w:rPr>
  </w:style>
  <w:style w:type="character" w:customStyle="1" w:styleId="114">
    <w:name w:val="Char Char8"/>
    <w:basedOn w:val="34"/>
    <w:qFormat/>
    <w:uiPriority w:val="0"/>
    <w:rPr>
      <w:rFonts w:eastAsia="宋体"/>
      <w:b/>
      <w:bCs/>
      <w:kern w:val="2"/>
      <w:sz w:val="32"/>
      <w:szCs w:val="32"/>
      <w:lang w:val="en-US" w:eastAsia="zh-CN" w:bidi="ar-SA"/>
    </w:rPr>
  </w:style>
  <w:style w:type="character" w:customStyle="1" w:styleId="115">
    <w:name w:val="font51"/>
    <w:qFormat/>
    <w:uiPriority w:val="0"/>
    <w:rPr>
      <w:rFonts w:hint="default" w:ascii="Times New Roman" w:hAnsi="Times New Roman" w:cs="Times New Roman"/>
      <w:color w:val="000000"/>
      <w:sz w:val="22"/>
      <w:szCs w:val="22"/>
      <w:u w:val="none"/>
    </w:rPr>
  </w:style>
  <w:style w:type="character" w:customStyle="1" w:styleId="116">
    <w:name w:val="Char Char10"/>
    <w:qFormat/>
    <w:uiPriority w:val="0"/>
    <w:rPr>
      <w:rFonts w:ascii="Times New Roman" w:hAnsi="Times New Roman" w:eastAsia="宋体" w:cs="Times New Roman"/>
      <w:sz w:val="28"/>
      <w:szCs w:val="24"/>
    </w:rPr>
  </w:style>
  <w:style w:type="character" w:customStyle="1" w:styleId="117">
    <w:name w:val="页脚 Char"/>
    <w:basedOn w:val="34"/>
    <w:link w:val="22"/>
    <w:qFormat/>
    <w:uiPriority w:val="0"/>
    <w:rPr>
      <w:rFonts w:eastAsia="宋体"/>
      <w:kern w:val="2"/>
      <w:sz w:val="18"/>
      <w:szCs w:val="18"/>
      <w:lang w:val="en-US" w:eastAsia="zh-CN" w:bidi="ar-SA"/>
    </w:rPr>
  </w:style>
  <w:style w:type="character" w:customStyle="1" w:styleId="118">
    <w:name w:val="正文（首行缩进） Char Char Char"/>
    <w:link w:val="85"/>
    <w:qFormat/>
    <w:locked/>
    <w:uiPriority w:val="0"/>
    <w:rPr>
      <w:sz w:val="24"/>
      <w:lang w:bidi="ar-SA"/>
    </w:rPr>
  </w:style>
  <w:style w:type="character" w:customStyle="1" w:styleId="119">
    <w:name w:val="t_tag"/>
    <w:basedOn w:val="34"/>
    <w:qFormat/>
    <w:uiPriority w:val="0"/>
  </w:style>
  <w:style w:type="character" w:customStyle="1" w:styleId="120">
    <w:name w:val="页眉 Char"/>
    <w:link w:val="23"/>
    <w:qFormat/>
    <w:uiPriority w:val="99"/>
    <w:rPr>
      <w:rFonts w:eastAsia="宋体"/>
      <w:kern w:val="2"/>
      <w:sz w:val="18"/>
      <w:szCs w:val="18"/>
      <w:lang w:val="en-US" w:eastAsia="zh-CN" w:bidi="ar-SA"/>
    </w:rPr>
  </w:style>
  <w:style w:type="character" w:customStyle="1" w:styleId="121">
    <w:name w:val="A正文 Char"/>
    <w:link w:val="49"/>
    <w:qFormat/>
    <w:uiPriority w:val="0"/>
    <w:rPr>
      <w:sz w:val="24"/>
      <w:szCs w:val="24"/>
    </w:rPr>
  </w:style>
  <w:style w:type="character" w:customStyle="1" w:styleId="122">
    <w:name w:val="正文（首行缩进两字） Char Char9"/>
    <w:qFormat/>
    <w:uiPriority w:val="0"/>
    <w:rPr>
      <w:rFonts w:eastAsia="宋体"/>
      <w:spacing w:val="20"/>
      <w:kern w:val="2"/>
      <w:sz w:val="24"/>
      <w:lang w:val="en-US" w:eastAsia="zh-CN" w:bidi="ar-SA"/>
    </w:rPr>
  </w:style>
  <w:style w:type="character" w:customStyle="1" w:styleId="123">
    <w:name w:val="孙普文字 Char2"/>
    <w:qFormat/>
    <w:uiPriority w:val="0"/>
    <w:rPr>
      <w:rFonts w:ascii="宋体" w:hAnsi="Courier New" w:eastAsia="宋体"/>
      <w:kern w:val="2"/>
      <w:sz w:val="21"/>
      <w:szCs w:val="21"/>
      <w:lang w:val="en-US" w:eastAsia="zh-CN" w:bidi="ar-SA"/>
    </w:rPr>
  </w:style>
  <w:style w:type="character" w:customStyle="1" w:styleId="124">
    <w:name w:val="标题 3 Char"/>
    <w:basedOn w:val="34"/>
    <w:link w:val="5"/>
    <w:qFormat/>
    <w:uiPriority w:val="0"/>
    <w:rPr>
      <w:rFonts w:eastAsia="宋体"/>
      <w:b/>
      <w:bCs/>
      <w:kern w:val="2"/>
      <w:sz w:val="32"/>
      <w:szCs w:val="32"/>
      <w:lang w:val="en-US" w:eastAsia="zh-CN" w:bidi="ar-SA"/>
    </w:rPr>
  </w:style>
  <w:style w:type="character" w:customStyle="1" w:styleId="125">
    <w:name w:val="font71"/>
    <w:qFormat/>
    <w:uiPriority w:val="0"/>
    <w:rPr>
      <w:rFonts w:hint="default" w:ascii="Times New Roman" w:hAnsi="Times New Roman" w:cs="Times New Roman"/>
      <w:color w:val="000000"/>
      <w:sz w:val="22"/>
      <w:szCs w:val="22"/>
      <w:u w:val="none"/>
      <w:vertAlign w:val="superscript"/>
    </w:rPr>
  </w:style>
  <w:style w:type="character" w:customStyle="1" w:styleId="126">
    <w:name w:val="font01"/>
    <w:qFormat/>
    <w:uiPriority w:val="0"/>
    <w:rPr>
      <w:rFonts w:hint="eastAsia" w:ascii="宋体" w:hAnsi="宋体" w:eastAsia="宋体" w:cs="宋体"/>
      <w:color w:val="000000"/>
      <w:sz w:val="22"/>
      <w:szCs w:val="22"/>
      <w:u w:val="none"/>
    </w:rPr>
  </w:style>
  <w:style w:type="character" w:customStyle="1" w:styleId="127">
    <w:name w:val="apple-style-span"/>
    <w:basedOn w:val="34"/>
    <w:qFormat/>
    <w:uiPriority w:val="0"/>
  </w:style>
  <w:style w:type="character" w:customStyle="1" w:styleId="128">
    <w:name w:val="表头 Char Char"/>
    <w:basedOn w:val="34"/>
    <w:link w:val="84"/>
    <w:qFormat/>
    <w:uiPriority w:val="0"/>
    <w:rPr>
      <w:rFonts w:hAnsi="宋体" w:eastAsia="宋体"/>
      <w:b/>
      <w:color w:val="000000"/>
      <w:kern w:val="2"/>
      <w:position w:val="2"/>
      <w:sz w:val="24"/>
      <w:szCs w:val="24"/>
      <w:lang w:val="en-US" w:eastAsia="zh-CN" w:bidi="ar-SA"/>
    </w:rPr>
  </w:style>
  <w:style w:type="character" w:customStyle="1" w:styleId="129">
    <w:name w:val="表格 Char Char"/>
    <w:basedOn w:val="34"/>
    <w:link w:val="55"/>
    <w:qFormat/>
    <w:uiPriority w:val="0"/>
    <w:rPr>
      <w:rFonts w:eastAsia="宋体"/>
      <w:kern w:val="2"/>
      <w:sz w:val="24"/>
      <w:lang w:val="en-US" w:eastAsia="zh-CN" w:bidi="ar-SA"/>
    </w:rPr>
  </w:style>
  <w:style w:type="character" w:customStyle="1" w:styleId="130">
    <w:name w:val="font11"/>
    <w:qFormat/>
    <w:uiPriority w:val="0"/>
    <w:rPr>
      <w:rFonts w:hint="default" w:ascii="Times New Roman" w:hAnsi="Times New Roman" w:cs="Times New Roman"/>
      <w:color w:val="000000"/>
      <w:sz w:val="22"/>
      <w:szCs w:val="22"/>
      <w:u w:val="none"/>
    </w:rPr>
  </w:style>
  <w:style w:type="character" w:customStyle="1" w:styleId="131">
    <w:name w:val="15"/>
    <w:qFormat/>
    <w:uiPriority w:val="0"/>
    <w:rPr>
      <w:rFonts w:hint="default" w:ascii="Times New Roman" w:hAnsi="Times New Roman" w:cs="Times New Roman"/>
      <w:sz w:val="21"/>
      <w:szCs w:val="21"/>
    </w:rPr>
  </w:style>
  <w:style w:type="character" w:customStyle="1" w:styleId="132">
    <w:name w:val="1正文段落 Char"/>
    <w:link w:val="92"/>
    <w:qFormat/>
    <w:locked/>
    <w:uiPriority w:val="0"/>
    <w:rPr>
      <w:rFonts w:ascii="宋体" w:hAnsi="宋体" w:eastAsia="宋体"/>
      <w:snapToGrid w:val="0"/>
      <w:sz w:val="24"/>
      <w:lang w:val="en-US" w:eastAsia="zh-CN" w:bidi="ar-SA"/>
    </w:rPr>
  </w:style>
  <w:style w:type="character" w:customStyle="1" w:styleId="133">
    <w:name w:val="text06"/>
    <w:basedOn w:val="34"/>
    <w:qFormat/>
    <w:uiPriority w:val="0"/>
  </w:style>
  <w:style w:type="character" w:customStyle="1" w:styleId="134">
    <w:name w:val="Char Char15"/>
    <w:basedOn w:val="34"/>
    <w:qFormat/>
    <w:uiPriority w:val="0"/>
    <w:rPr>
      <w:rFonts w:hint="eastAsia" w:ascii="宋体" w:hAnsi="宋体" w:eastAsia="宋体" w:cs="宋体"/>
      <w:kern w:val="2"/>
      <w:sz w:val="21"/>
      <w:szCs w:val="24"/>
      <w:lang w:val="en-US" w:eastAsia="zh-CN" w:bidi="ar"/>
    </w:rPr>
  </w:style>
  <w:style w:type="character" w:customStyle="1" w:styleId="135">
    <w:name w:val="正文(首行缩进) Char Char"/>
    <w:basedOn w:val="34"/>
    <w:link w:val="41"/>
    <w:qFormat/>
    <w:uiPriority w:val="0"/>
    <w:rPr>
      <w:rFonts w:eastAsia="宋体"/>
      <w:snapToGrid w:val="0"/>
      <w:sz w:val="24"/>
      <w:szCs w:val="24"/>
      <w:lang w:val="en-US" w:eastAsia="zh-CN" w:bidi="ar-SA"/>
    </w:rPr>
  </w:style>
  <w:style w:type="character" w:customStyle="1" w:styleId="136">
    <w:name w:val="Char Char6"/>
    <w:qFormat/>
    <w:uiPriority w:val="0"/>
    <w:rPr>
      <w:rFonts w:eastAsia="宋体"/>
      <w:b/>
      <w:bCs/>
      <w:kern w:val="2"/>
      <w:sz w:val="32"/>
      <w:szCs w:val="32"/>
      <w:lang w:val="en-US" w:eastAsia="zh-CN" w:bidi="ar-SA"/>
    </w:rPr>
  </w:style>
  <w:style w:type="character" w:customStyle="1" w:styleId="137">
    <w:name w:val="Char Char5"/>
    <w:basedOn w:val="34"/>
    <w:qFormat/>
    <w:locked/>
    <w:uiPriority w:val="0"/>
    <w:rPr>
      <w:rFonts w:eastAsia="宋体"/>
      <w:kern w:val="2"/>
      <w:sz w:val="28"/>
      <w:szCs w:val="24"/>
      <w:lang w:val="en-US" w:eastAsia="zh-CN" w:bidi="ar-SA"/>
    </w:rPr>
  </w:style>
  <w:style w:type="character" w:customStyle="1" w:styleId="138">
    <w:name w:val="ourfont11"/>
    <w:basedOn w:val="34"/>
    <w:qFormat/>
    <w:uiPriority w:val="0"/>
    <w:rPr>
      <w:sz w:val="20"/>
      <w:szCs w:val="20"/>
    </w:rPr>
  </w:style>
  <w:style w:type="character" w:customStyle="1" w:styleId="139">
    <w:name w:val="批注框文本 Char"/>
    <w:basedOn w:val="34"/>
    <w:link w:val="21"/>
    <w:qFormat/>
    <w:uiPriority w:val="0"/>
    <w:rPr>
      <w:kern w:val="2"/>
      <w:sz w:val="18"/>
      <w:szCs w:val="18"/>
    </w:rPr>
  </w:style>
  <w:style w:type="table" w:customStyle="1" w:styleId="140">
    <w:name w:val="左右无边表格"/>
    <w:basedOn w:val="32"/>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paragraph" w:styleId="141">
    <w:name w:val="List Paragraph"/>
    <w:basedOn w:val="1"/>
    <w:link w:val="158"/>
    <w:qFormat/>
    <w:uiPriority w:val="0"/>
    <w:pPr>
      <w:spacing w:before="1"/>
      <w:ind w:left="285" w:hanging="602"/>
    </w:pPr>
    <w:rPr>
      <w:rFonts w:ascii="宋体" w:hAnsi="宋体" w:cs="宋体"/>
      <w:lang w:val="zh-CN" w:bidi="zh-CN"/>
    </w:rPr>
  </w:style>
  <w:style w:type="paragraph" w:customStyle="1" w:styleId="142">
    <w:name w:val="列出段落1"/>
    <w:basedOn w:val="1"/>
    <w:qFormat/>
    <w:uiPriority w:val="34"/>
    <w:pPr>
      <w:ind w:firstLine="420" w:firstLineChars="200"/>
    </w:pPr>
  </w:style>
  <w:style w:type="table" w:customStyle="1" w:styleId="143">
    <w:name w:val="Table Normal"/>
    <w:semiHidden/>
    <w:unhideWhenUsed/>
    <w:qFormat/>
    <w:uiPriority w:val="2"/>
    <w:pPr>
      <w:widowControl w:val="0"/>
    </w:pPr>
    <w:rPr>
      <w:sz w:val="22"/>
      <w:szCs w:val="22"/>
      <w:lang w:eastAsia="en-US"/>
    </w:rPr>
    <w:tblPr>
      <w:tblCellMar>
        <w:top w:w="0" w:type="dxa"/>
        <w:left w:w="0" w:type="dxa"/>
        <w:bottom w:w="0" w:type="dxa"/>
        <w:right w:w="0" w:type="dxa"/>
      </w:tblCellMar>
    </w:tblPr>
  </w:style>
  <w:style w:type="paragraph" w:customStyle="1" w:styleId="144">
    <w:name w:val="表格 标题"/>
    <w:link w:val="145"/>
    <w:qFormat/>
    <w:uiPriority w:val="0"/>
    <w:pPr>
      <w:snapToGrid w:val="0"/>
      <w:spacing w:beforeLines="20" w:afterLines="20" w:line="500" w:lineRule="exact"/>
      <w:jc w:val="center"/>
    </w:pPr>
    <w:rPr>
      <w:rFonts w:ascii="Times New Roman" w:hAnsi="Times New Roman" w:eastAsia="宋体" w:cs="Times New Roman"/>
      <w:b/>
      <w:kern w:val="2"/>
      <w:sz w:val="24"/>
      <w:szCs w:val="24"/>
      <w:lang w:val="en-US" w:eastAsia="zh-CN" w:bidi="ar-SA"/>
    </w:rPr>
  </w:style>
  <w:style w:type="character" w:customStyle="1" w:styleId="145">
    <w:name w:val="表格 标题 Char"/>
    <w:link w:val="144"/>
    <w:qFormat/>
    <w:uiPriority w:val="0"/>
    <w:rPr>
      <w:rFonts w:ascii="Times New Roman" w:hAnsi="Times New Roman" w:eastAsia="宋体" w:cs="Times New Roman"/>
      <w:b/>
      <w:kern w:val="2"/>
      <w:sz w:val="24"/>
      <w:szCs w:val="24"/>
    </w:rPr>
  </w:style>
  <w:style w:type="character" w:customStyle="1" w:styleId="146">
    <w:name w:val="称呼 Char"/>
    <w:basedOn w:val="34"/>
    <w:link w:val="11"/>
    <w:qFormat/>
    <w:uiPriority w:val="99"/>
    <w:rPr>
      <w:rFonts w:ascii="Calibri" w:hAnsi="Calibri" w:eastAsia="宋体" w:cs="Times New Roman"/>
      <w:kern w:val="2"/>
      <w:sz w:val="28"/>
      <w:szCs w:val="24"/>
    </w:rPr>
  </w:style>
  <w:style w:type="paragraph" w:customStyle="1" w:styleId="147">
    <w:name w:val="正文文本缩进1"/>
    <w:basedOn w:val="1"/>
    <w:qFormat/>
    <w:uiPriority w:val="0"/>
    <w:pPr>
      <w:spacing w:after="120"/>
      <w:ind w:left="420" w:leftChars="200"/>
    </w:pPr>
    <w:rPr>
      <w:rFonts w:ascii="Times New Roman" w:hAnsi="Times New Roman"/>
      <w:sz w:val="21"/>
    </w:rPr>
  </w:style>
  <w:style w:type="paragraph" w:customStyle="1" w:styleId="148">
    <w:name w:val="表格 首行"/>
    <w:link w:val="149"/>
    <w:qFormat/>
    <w:uiPriority w:val="0"/>
    <w:pPr>
      <w:snapToGrid w:val="0"/>
      <w:jc w:val="center"/>
    </w:pPr>
    <w:rPr>
      <w:rFonts w:ascii="Times New Roman" w:hAnsi="Times New Roman" w:eastAsia="仿宋_GB2312" w:cs="Times New Roman"/>
      <w:b/>
      <w:kern w:val="2"/>
      <w:sz w:val="21"/>
      <w:szCs w:val="21"/>
      <w:lang w:val="en-US" w:eastAsia="zh-CN" w:bidi="ar-SA"/>
    </w:rPr>
  </w:style>
  <w:style w:type="character" w:customStyle="1" w:styleId="149">
    <w:name w:val="表格 首行 Char"/>
    <w:link w:val="148"/>
    <w:qFormat/>
    <w:uiPriority w:val="0"/>
    <w:rPr>
      <w:rFonts w:ascii="Times New Roman" w:hAnsi="Times New Roman" w:eastAsia="仿宋_GB2312" w:cs="Times New Roman"/>
      <w:b/>
      <w:kern w:val="2"/>
      <w:sz w:val="21"/>
      <w:szCs w:val="21"/>
    </w:rPr>
  </w:style>
  <w:style w:type="paragraph" w:customStyle="1" w:styleId="150">
    <w:name w:val="样式2"/>
    <w:basedOn w:val="1"/>
    <w:next w:val="17"/>
    <w:link w:val="151"/>
    <w:qFormat/>
    <w:uiPriority w:val="0"/>
    <w:pPr>
      <w:spacing w:line="440" w:lineRule="exact"/>
      <w:ind w:firstLine="480" w:firstLineChars="200"/>
    </w:pPr>
    <w:rPr>
      <w:rFonts w:ascii="Times New Roman" w:hAnsi="Times New Roman" w:cs="Arial Unicode MS"/>
      <w:sz w:val="24"/>
    </w:rPr>
  </w:style>
  <w:style w:type="character" w:customStyle="1" w:styleId="151">
    <w:name w:val="样式2 Char"/>
    <w:link w:val="150"/>
    <w:qFormat/>
    <w:uiPriority w:val="0"/>
    <w:rPr>
      <w:rFonts w:ascii="Times New Roman" w:hAnsi="Times New Roman" w:eastAsia="宋体" w:cs="Arial Unicode MS"/>
      <w:kern w:val="2"/>
      <w:sz w:val="24"/>
      <w:szCs w:val="24"/>
    </w:rPr>
  </w:style>
  <w:style w:type="paragraph" w:customStyle="1" w:styleId="152">
    <w:name w:val="行距1.5"/>
    <w:basedOn w:val="1"/>
    <w:qFormat/>
    <w:uiPriority w:val="0"/>
    <w:pPr>
      <w:spacing w:line="360" w:lineRule="auto"/>
      <w:ind w:firstLine="200" w:firstLineChars="200"/>
    </w:pPr>
    <w:rPr>
      <w:rFonts w:ascii="Times New Roman" w:hAnsi="Times New Roman"/>
      <w:sz w:val="24"/>
    </w:rPr>
  </w:style>
  <w:style w:type="character" w:customStyle="1" w:styleId="153">
    <w:name w:val="样式一"/>
    <w:qFormat/>
    <w:uiPriority w:val="0"/>
    <w:rPr>
      <w:rFonts w:eastAsia="宋体"/>
      <w:b/>
      <w:sz w:val="32"/>
    </w:rPr>
  </w:style>
  <w:style w:type="character" w:customStyle="1" w:styleId="154">
    <w:name w:val="表格 Char"/>
    <w:qFormat/>
    <w:uiPriority w:val="0"/>
    <w:rPr>
      <w:rFonts w:eastAsia="宋体"/>
      <w:kern w:val="2"/>
      <w:sz w:val="24"/>
      <w:szCs w:val="20"/>
      <w:lang w:val="en-US" w:eastAsia="zh-CN" w:bidi="ar-SA"/>
    </w:rPr>
  </w:style>
  <w:style w:type="character" w:customStyle="1" w:styleId="155">
    <w:name w:val="font31"/>
    <w:qFormat/>
    <w:uiPriority w:val="0"/>
    <w:rPr>
      <w:rFonts w:hint="eastAsia" w:ascii="宋体" w:hAnsi="宋体" w:eastAsia="宋体" w:cs="宋体"/>
      <w:color w:val="000000"/>
      <w:sz w:val="21"/>
      <w:szCs w:val="21"/>
      <w:u w:val="none"/>
    </w:rPr>
  </w:style>
  <w:style w:type="character" w:customStyle="1" w:styleId="156">
    <w:name w:val="font61"/>
    <w:qFormat/>
    <w:uiPriority w:val="0"/>
    <w:rPr>
      <w:rFonts w:hint="eastAsia" w:ascii="宋体" w:hAnsi="宋体" w:eastAsia="宋体" w:cs="宋体"/>
      <w:color w:val="000000"/>
      <w:sz w:val="22"/>
      <w:szCs w:val="22"/>
      <w:u w:val="none"/>
    </w:rPr>
  </w:style>
  <w:style w:type="character" w:customStyle="1" w:styleId="157">
    <w:name w:val="font101"/>
    <w:qFormat/>
    <w:uiPriority w:val="0"/>
    <w:rPr>
      <w:rFonts w:hint="default" w:ascii="Times New Roman" w:hAnsi="Times New Roman" w:cs="Times New Roman"/>
      <w:color w:val="000000"/>
      <w:sz w:val="21"/>
      <w:szCs w:val="21"/>
      <w:u w:val="none"/>
    </w:rPr>
  </w:style>
  <w:style w:type="character" w:customStyle="1" w:styleId="158">
    <w:name w:val="列出段落 Char"/>
    <w:link w:val="141"/>
    <w:qFormat/>
    <w:uiPriority w:val="0"/>
    <w:rPr>
      <w:rFonts w:ascii="宋体" w:hAnsi="宋体" w:eastAsia="宋体" w:cs="宋体"/>
      <w:kern w:val="2"/>
      <w:sz w:val="28"/>
      <w:szCs w:val="24"/>
      <w:lang w:val="zh-CN" w:bidi="zh-CN"/>
    </w:rPr>
  </w:style>
  <w:style w:type="paragraph" w:customStyle="1" w:styleId="159">
    <w:name w:val="11111111111"/>
    <w:basedOn w:val="1"/>
    <w:qFormat/>
    <w:uiPriority w:val="0"/>
    <w:pPr>
      <w:spacing w:line="480" w:lineRule="exact"/>
      <w:jc w:val="center"/>
    </w:pPr>
    <w:rPr>
      <w:b/>
      <w:sz w:val="21"/>
      <w:szCs w:val="20"/>
    </w:rPr>
  </w:style>
  <w:style w:type="paragraph" w:customStyle="1" w:styleId="160">
    <w:name w:val="1表格文字"/>
    <w:qFormat/>
    <w:uiPriority w:val="0"/>
    <w:pPr>
      <w:spacing w:line="360" w:lineRule="exact"/>
      <w:jc w:val="center"/>
    </w:pPr>
    <w:rPr>
      <w:rFonts w:ascii="Calibri" w:hAnsi="Calibri" w:eastAsia="宋体" w:cs="Times New Roman"/>
      <w:sz w:val="21"/>
      <w:szCs w:val="24"/>
      <w:lang w:val="en-US" w:eastAsia="zh-CN" w:bidi="en-US"/>
    </w:rPr>
  </w:style>
  <w:style w:type="paragraph" w:customStyle="1" w:styleId="161">
    <w:name w:val="æ­￡æ–‡ç¼©è¿›"/>
    <w:basedOn w:val="1"/>
    <w:unhideWhenUsed/>
    <w:qFormat/>
    <w:uiPriority w:val="0"/>
    <w:pPr>
      <w:spacing w:line="440" w:lineRule="exact"/>
      <w:ind w:firstLine="420"/>
    </w:pPr>
    <w:rPr>
      <w:rFonts w:hint="eastAsia" w:ascii="Times New Roman" w:hAnsi="Times New Roman"/>
      <w:sz w:val="24"/>
    </w:rPr>
  </w:style>
  <w:style w:type="character" w:customStyle="1" w:styleId="162">
    <w:name w:val="表格样式 Char"/>
    <w:link w:val="163"/>
    <w:qFormat/>
    <w:uiPriority w:val="0"/>
    <w:rPr>
      <w:rFonts w:ascii="宋体" w:hAnsi="宋体"/>
      <w:kern w:val="2"/>
      <w:sz w:val="21"/>
      <w:szCs w:val="21"/>
    </w:rPr>
  </w:style>
  <w:style w:type="paragraph" w:customStyle="1" w:styleId="163">
    <w:name w:val="表格样式"/>
    <w:basedOn w:val="1"/>
    <w:link w:val="162"/>
    <w:qFormat/>
    <w:uiPriority w:val="0"/>
    <w:pPr>
      <w:jc w:val="center"/>
    </w:pPr>
    <w:rPr>
      <w:rFonts w:ascii="宋体" w:hAnsi="宋体" w:eastAsiaTheme="minorEastAsia" w:cstheme="minorBidi"/>
      <w:sz w:val="21"/>
      <w:szCs w:val="21"/>
    </w:rPr>
  </w:style>
  <w:style w:type="paragraph" w:customStyle="1" w:styleId="164">
    <w:name w:val="表样式1"/>
    <w:basedOn w:val="1"/>
    <w:qFormat/>
    <w:uiPriority w:val="0"/>
    <w:pPr>
      <w:snapToGrid w:val="0"/>
      <w:jc w:val="center"/>
    </w:pPr>
    <w:rPr>
      <w:color w:val="000000"/>
      <w:sz w:val="21"/>
      <w:szCs w:val="21"/>
    </w:rPr>
  </w:style>
  <w:style w:type="character" w:customStyle="1" w:styleId="165">
    <w:name w:val="font21"/>
    <w:basedOn w:val="34"/>
    <w:qFormat/>
    <w:uiPriority w:val="0"/>
    <w:rPr>
      <w:rFonts w:hint="eastAsia" w:ascii="宋体" w:hAnsi="宋体" w:eastAsia="宋体" w:cs="宋体"/>
      <w:color w:val="000000"/>
      <w:sz w:val="24"/>
      <w:szCs w:val="24"/>
      <w:u w:val="none"/>
    </w:rPr>
  </w:style>
  <w:style w:type="paragraph" w:customStyle="1" w:styleId="166">
    <w:name w:val="样式 标题 2 + 自动设置"/>
    <w:basedOn w:val="4"/>
    <w:qFormat/>
    <w:uiPriority w:val="0"/>
    <w:pPr>
      <w:adjustRightInd w:val="0"/>
      <w:snapToGrid w:val="0"/>
      <w:spacing w:before="50" w:beforeLines="50" w:after="50" w:afterLines="50" w:line="240" w:lineRule="auto"/>
      <w:ind w:left="0"/>
    </w:pPr>
    <w:rPr>
      <w:rFonts w:ascii="Times New Roman" w:hAnsi="Times New Roman" w:eastAsia="黑体"/>
      <w:b w:val="0"/>
      <w:color w:val="auto"/>
      <w:sz w:val="28"/>
    </w:rPr>
  </w:style>
  <w:style w:type="paragraph" w:customStyle="1" w:styleId="167">
    <w:name w:val="正文首行缩进1"/>
    <w:basedOn w:val="12"/>
    <w:qFormat/>
    <w:uiPriority w:val="0"/>
    <w:pPr>
      <w:spacing w:after="120"/>
      <w:ind w:firstLine="420" w:firstLineChars="100"/>
    </w:pPr>
    <w:rPr>
      <w:sz w:val="21"/>
    </w:rPr>
  </w:style>
  <w:style w:type="paragraph" w:customStyle="1" w:styleId="168">
    <w:name w:val="表格内容"/>
    <w:qFormat/>
    <w:uiPriority w:val="0"/>
    <w:pPr>
      <w:numPr>
        <w:ilvl w:val="0"/>
        <w:numId w:val="0"/>
      </w:numPr>
      <w:spacing w:line="240" w:lineRule="auto"/>
      <w:jc w:val="center"/>
    </w:pPr>
    <w:rPr>
      <w:rFonts w:ascii="Times New Roman" w:hAnsi="Times New Roman" w:eastAsia="宋体" w:cs="Times New Roman"/>
      <w:sz w:val="21"/>
    </w:rPr>
  </w:style>
  <w:style w:type="paragraph" w:customStyle="1" w:styleId="169">
    <w:name w:val="表格名称"/>
    <w:basedOn w:val="1"/>
    <w:qFormat/>
    <w:uiPriority w:val="0"/>
    <w:pPr>
      <w:numPr>
        <w:ilvl w:val="0"/>
        <w:numId w:val="1"/>
      </w:numPr>
      <w:ind w:firstLineChars="0"/>
      <w:jc w:val="center"/>
    </w:pPr>
    <w:rPr>
      <w:rFonts w:ascii="Times New Roman" w:hAnsi="Times New Roman"/>
      <w:b/>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extobjs>
    <extobj name="ECB019B1-382A-4266-B25C-5B523AA43C14-1">
      <extobjdata type="ECB019B1-382A-4266-B25C-5B523AA43C14" data="ewogICAiRmlsZUlkIiA6ICIxMDUwNjk5NzI0ODQiLAogICAiR3JvdXBJZCIgOiAiNDY3MTYyMDY5IiwKICAgIkltYWdlIiA6ICJpVkJPUncwS0dnb0FBQUFOU1VoRVVnQUFBOVFBQUFJUENBWUFBQUNTV3BiY0FBQUFDWEJJV1hNQUFBc1RBQUFMRXdFQW1wd1lBQUFnQUVsRVFWUjRuT3pkZVh4Y2RiMy84ZmVaSkRPWkxmdWVibWxTdXFSSm13a2lJQWlDUDZqbGN1bGxFZlZhcGNxcW9vQ0FBbDVCdWFJWFJFRVE0Ym9BRHhXUldrQkJCUlZiTGlLTEpsM1NwR2xKMHFUTjNpYVpaREl6eVNTWjgvdWptVGhKMDIzYU5GMWV6OGVqRCtaOHY5L3pQWjl6YUdmbU05L3YrUjRK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"/>
    </extobj>
    <extobj name="ECB019B1-382A-4266-B25C-5B523AA43C14-2">
      <extobjdata type="ECB019B1-382A-4266-B25C-5B523AA43C14" data="ewogICAiRmlsZUlkIiA6ICI2Mzk4OTQ3NDYyOCIsCiAgICJHcm91cElkIiA6ICI3MzM1NjA3NCIsCiAgICJJbWFnZSIgOiAiaVZCT1J3MEtHZ29BQUFBTlNVaEVVZ0FBQXk4QUFBREpDQVlBQUFBcTJBMHlBQUFBQ1hCSVdYTUFBQXNUQUFBTEV3RUFtcHdZQUFBZ0FFbEVRVlI0bk8zZGVYelQ5ZjBIOE5jM2JaTW12UThvdmJnTGxLdmtHN2s4SnJycGp4MWVJQjQ0RkJXVnViRXhkWnNnZ2t6UktTcUlURUJGSjZJVHRNNERqM25NSXFJZ05JVkNvWlFDaGRJVGVyZEpjMzUrZjdTSmFadmVSeEw2ZWo0ZWZVQytWOTdwOTlOUFBwL3Y1d0t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TFJLzlQenV3ZkEzemszUG1BQUFBQUVsRlRrU3VRbUNDIiwKICAgIlR5cGUiIDogImZsb3ciCn0K"/>
    </extobj>
  </extobj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362604-3E85-4DC4-A7B4-4051CFFB74F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11134</Words>
  <Characters>63469</Characters>
  <Lines>1</Lines>
  <Paragraphs>1</Paragraphs>
  <TotalTime>9</TotalTime>
  <ScaleCrop>false</ScaleCrop>
  <LinksUpToDate>false</LinksUpToDate>
  <CharactersWithSpaces>74455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2020-08-26T16:20:00Z</dcterms:created>
  <dc:creator>chh</dc:creator>
  <cp:lastModifiedBy>Kecy</cp:lastModifiedBy>
  <cp:lastPrinted>2021-02-22T01:04:19Z</cp:lastPrinted>
  <dcterms:modified xsi:type="dcterms:W3CDTF">2021-02-22T03:35:19Z</dcterms:modified>
  <dc:title>建设项目基本情况</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