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center"/>
        <w:rPr>
          <w:rFonts w:ascii="宋体" w:hAnsi="宋体"/>
          <w:b/>
          <w:color w:val="000000"/>
          <w:sz w:val="72"/>
        </w:rPr>
      </w:pPr>
    </w:p>
    <w:p>
      <w:pPr>
        <w:spacing w:line="900" w:lineRule="exact"/>
        <w:jc w:val="center"/>
        <w:rPr>
          <w:rFonts w:ascii="宋体" w:hAnsi="宋体"/>
          <w:b/>
          <w:color w:val="000000"/>
          <w:sz w:val="72"/>
        </w:rPr>
      </w:pPr>
      <w:r>
        <w:rPr>
          <w:rFonts w:hint="eastAsia" w:ascii="宋体" w:hAnsi="宋体"/>
          <w:b/>
          <w:color w:val="000000"/>
          <w:sz w:val="72"/>
        </w:rPr>
        <w:t>建设项目环境影响报告表</w:t>
      </w: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ind w:left="1807" w:hanging="1807" w:hangingChars="500"/>
        <w:rPr>
          <w:rFonts w:ascii="宋体" w:hAnsi="宋体"/>
          <w:b/>
          <w:color w:val="000000"/>
          <w:sz w:val="36"/>
          <w:szCs w:val="36"/>
        </w:rPr>
      </w:pPr>
      <w:r>
        <w:rPr>
          <w:rFonts w:hint="eastAsia" w:ascii="宋体" w:hAnsi="宋体"/>
          <w:b/>
          <w:color w:val="000000"/>
          <w:sz w:val="36"/>
          <w:szCs w:val="36"/>
        </w:rPr>
        <w:t>项目名称：</w:t>
      </w:r>
      <w:r>
        <w:rPr>
          <w:rFonts w:hint="eastAsia" w:ascii="宋体" w:hAnsi="宋体"/>
          <w:b/>
          <w:color w:val="000000"/>
          <w:w w:val="90"/>
          <w:sz w:val="36"/>
          <w:szCs w:val="36"/>
          <w:u w:val="single"/>
        </w:rPr>
        <w:t xml:space="preserve">芜湖长江LNG内河接收（转运）站配套天然气外输管道高安-横山分输站段项目 </w:t>
      </w:r>
    </w:p>
    <w:p>
      <w:pPr>
        <w:jc w:val="center"/>
        <w:rPr>
          <w:rFonts w:ascii="宋体" w:hAnsi="宋体"/>
          <w:b/>
          <w:color w:val="000000"/>
          <w:sz w:val="36"/>
          <w:szCs w:val="36"/>
        </w:rPr>
      </w:pPr>
    </w:p>
    <w:p>
      <w:pPr>
        <w:rPr>
          <w:rFonts w:ascii="宋体" w:hAnsi="宋体"/>
          <w:b/>
          <w:color w:val="000000"/>
          <w:kern w:val="0"/>
          <w:sz w:val="36"/>
          <w:u w:val="single"/>
        </w:rPr>
      </w:pPr>
      <w:r>
        <w:rPr>
          <w:rFonts w:hint="eastAsia" w:ascii="宋体" w:hAnsi="宋体"/>
          <w:b/>
          <w:color w:val="000000"/>
          <w:sz w:val="36"/>
          <w:szCs w:val="36"/>
        </w:rPr>
        <w:t>建设单位：</w:t>
      </w:r>
      <w:r>
        <w:rPr>
          <w:rFonts w:hint="eastAsia" w:ascii="宋体" w:hAnsi="宋体"/>
          <w:b/>
          <w:color w:val="000000"/>
          <w:w w:val="90"/>
          <w:sz w:val="36"/>
          <w:szCs w:val="36"/>
          <w:u w:val="single"/>
        </w:rPr>
        <w:t xml:space="preserve">安徽长江液化天然气有限责任公司 </w:t>
      </w:r>
    </w:p>
    <w:p>
      <w:pPr>
        <w:ind w:firstLine="882" w:firstLineChars="245"/>
        <w:rPr>
          <w:rFonts w:ascii="宋体" w:hAnsi="宋体"/>
          <w:color w:val="000000"/>
          <w:sz w:val="36"/>
        </w:rPr>
      </w:pPr>
    </w:p>
    <w:p>
      <w:pPr>
        <w:ind w:firstLine="882" w:firstLineChars="245"/>
        <w:rPr>
          <w:rFonts w:ascii="宋体" w:hAnsi="宋体"/>
          <w:color w:val="000000"/>
          <w:sz w:val="36"/>
        </w:rPr>
      </w:pPr>
    </w:p>
    <w:p>
      <w:pPr>
        <w:ind w:firstLine="882" w:firstLineChars="245"/>
        <w:rPr>
          <w:rFonts w:ascii="宋体" w:hAnsi="宋体"/>
          <w:color w:val="000000"/>
          <w:sz w:val="36"/>
        </w:rPr>
      </w:pPr>
    </w:p>
    <w:p>
      <w:pPr>
        <w:rPr>
          <w:rFonts w:ascii="宋体" w:hAnsi="宋体"/>
          <w:color w:val="000000"/>
          <w:sz w:val="24"/>
        </w:rPr>
      </w:pPr>
    </w:p>
    <w:p>
      <w:pPr>
        <w:rPr>
          <w:rFonts w:ascii="宋体" w:hAnsi="宋体"/>
          <w:color w:val="000000"/>
          <w:sz w:val="24"/>
        </w:rPr>
      </w:pPr>
    </w:p>
    <w:p>
      <w:pPr>
        <w:jc w:val="center"/>
        <w:rPr>
          <w:rFonts w:ascii="宋体" w:hAnsi="宋体"/>
          <w:b/>
          <w:color w:val="000000"/>
          <w:sz w:val="30"/>
          <w:szCs w:val="30"/>
        </w:rPr>
      </w:pPr>
      <w:r>
        <w:rPr>
          <w:rFonts w:hint="eastAsia" w:ascii="宋体" w:hAnsi="宋体"/>
          <w:color w:val="000000"/>
          <w:sz w:val="36"/>
          <w:szCs w:val="36"/>
        </w:rPr>
        <w:t xml:space="preserve">  </w:t>
      </w:r>
      <w:r>
        <w:rPr>
          <w:rFonts w:hint="eastAsia" w:ascii="宋体" w:hAnsi="宋体"/>
          <w:b/>
          <w:color w:val="000000"/>
          <w:sz w:val="30"/>
          <w:szCs w:val="30"/>
        </w:rPr>
        <w:t>芜湖民宇环境科技有限公司</w:t>
      </w:r>
    </w:p>
    <w:p>
      <w:pPr>
        <w:jc w:val="center"/>
        <w:rPr>
          <w:rFonts w:ascii="宋体" w:hAnsi="宋体"/>
          <w:b/>
          <w:color w:val="000000"/>
          <w:sz w:val="30"/>
          <w:szCs w:val="30"/>
        </w:rPr>
      </w:pPr>
      <w:r>
        <w:rPr>
          <w:rFonts w:hint="eastAsia" w:ascii="宋体" w:hAnsi="宋体"/>
          <w:b/>
          <w:color w:val="000000"/>
          <w:sz w:val="30"/>
          <w:szCs w:val="30"/>
        </w:rPr>
        <w:t>编制日期：二〇二一年二月</w:t>
      </w:r>
    </w:p>
    <w:p>
      <w:pPr>
        <w:jc w:val="center"/>
        <w:rPr>
          <w:rFonts w:ascii="宋体" w:hAnsi="宋体"/>
          <w:color w:val="000000"/>
          <w:sz w:val="36"/>
          <w:szCs w:val="36"/>
        </w:rPr>
      </w:pPr>
    </w:p>
    <w:p>
      <w:pPr>
        <w:pStyle w:val="5"/>
        <w:ind w:firstLine="0" w:firstLineChars="0"/>
        <w:sectPr>
          <w:footerReference r:id="rId3" w:type="default"/>
          <w:pgSz w:w="11906" w:h="16838"/>
          <w:pgMar w:top="1440" w:right="1800" w:bottom="1558" w:left="1800" w:header="851" w:footer="992" w:gutter="0"/>
          <w:cols w:space="720" w:num="1"/>
          <w:docGrid w:type="lines" w:linePitch="312" w:charSpace="0"/>
        </w:sectPr>
      </w:pPr>
    </w:p>
    <w:p>
      <w:pPr>
        <w:pStyle w:val="5"/>
        <w:ind w:firstLine="0" w:firstLineChars="0"/>
      </w:pPr>
    </w:p>
    <w:p>
      <w:pPr>
        <w:pStyle w:val="5"/>
        <w:ind w:firstLine="0" w:firstLineChars="0"/>
      </w:pPr>
    </w:p>
    <w:p>
      <w:pPr>
        <w:pStyle w:val="5"/>
        <w:ind w:firstLine="0" w:firstLineChars="0"/>
      </w:pPr>
    </w:p>
    <w:p>
      <w:pPr>
        <w:pStyle w:val="5"/>
        <w:ind w:firstLine="0" w:firstLineChars="0"/>
      </w:pPr>
    </w:p>
    <w:p>
      <w:pPr>
        <w:jc w:val="center"/>
        <w:rPr>
          <w:rFonts w:ascii="宋体" w:hAnsi="宋体"/>
          <w:b/>
          <w:color w:val="000000"/>
          <w:sz w:val="32"/>
        </w:rPr>
      </w:pPr>
      <w:r>
        <w:rPr>
          <w:rFonts w:hint="eastAsia" w:ascii="宋体" w:hAnsi="宋体"/>
          <w:b/>
          <w:color w:val="000000"/>
          <w:sz w:val="32"/>
        </w:rPr>
        <w:t>《建设项目环境影响报告表》编制说明</w:t>
      </w:r>
    </w:p>
    <w:p>
      <w:pPr>
        <w:jc w:val="center"/>
        <w:rPr>
          <w:rFonts w:ascii="宋体" w:hAnsi="宋体"/>
          <w:b/>
          <w:color w:val="000000"/>
          <w:sz w:val="32"/>
        </w:rPr>
      </w:pPr>
    </w:p>
    <w:p>
      <w:pPr>
        <w:spacing w:line="660" w:lineRule="exact"/>
        <w:ind w:firstLine="482"/>
        <w:rPr>
          <w:rFonts w:ascii="宋体" w:hAnsi="宋体"/>
          <w:color w:val="000000"/>
          <w:sz w:val="24"/>
        </w:rPr>
      </w:pPr>
      <w:r>
        <w:rPr>
          <w:rFonts w:hint="eastAsia" w:ascii="宋体" w:hAnsi="宋体"/>
          <w:color w:val="000000"/>
          <w:sz w:val="24"/>
        </w:rPr>
        <w:t>《建设项目环境影响报告表》由具有从事环境影响评价工作资质的单位编制。</w:t>
      </w:r>
    </w:p>
    <w:p>
      <w:pPr>
        <w:numPr>
          <w:ilvl w:val="0"/>
          <w:numId w:val="1"/>
        </w:numPr>
        <w:spacing w:line="660" w:lineRule="exact"/>
        <w:rPr>
          <w:rFonts w:ascii="宋体" w:hAnsi="宋体"/>
          <w:color w:val="000000"/>
          <w:sz w:val="24"/>
        </w:rPr>
      </w:pPr>
      <w:r>
        <w:rPr>
          <w:rFonts w:hint="eastAsia" w:ascii="宋体" w:hAnsi="宋体"/>
          <w:color w:val="000000"/>
          <w:sz w:val="24"/>
        </w:rPr>
        <w:t>项目名称──指项目立项批复时的名称，应不超过30个字（两个英文字段作一个汉字）。</w:t>
      </w:r>
    </w:p>
    <w:p>
      <w:pPr>
        <w:numPr>
          <w:ilvl w:val="0"/>
          <w:numId w:val="1"/>
        </w:numPr>
        <w:spacing w:line="660" w:lineRule="exact"/>
        <w:rPr>
          <w:rFonts w:ascii="宋体" w:hAnsi="宋体"/>
          <w:color w:val="000000"/>
          <w:sz w:val="24"/>
        </w:rPr>
      </w:pPr>
      <w:r>
        <w:rPr>
          <w:rFonts w:hint="eastAsia" w:ascii="宋体" w:hAnsi="宋体"/>
          <w:color w:val="000000"/>
          <w:sz w:val="24"/>
        </w:rPr>
        <w:t>建设地点──指项目所在地详细地址，公路、铁路应填写起止地点。</w:t>
      </w:r>
    </w:p>
    <w:p>
      <w:pPr>
        <w:numPr>
          <w:ilvl w:val="0"/>
          <w:numId w:val="1"/>
        </w:numPr>
        <w:spacing w:line="660" w:lineRule="exact"/>
        <w:rPr>
          <w:rFonts w:ascii="宋体" w:hAnsi="宋体"/>
          <w:color w:val="000000"/>
          <w:sz w:val="24"/>
        </w:rPr>
      </w:pPr>
      <w:r>
        <w:rPr>
          <w:rFonts w:hint="eastAsia" w:ascii="宋体" w:hAnsi="宋体"/>
          <w:color w:val="000000"/>
          <w:sz w:val="24"/>
        </w:rPr>
        <w:t>行业类别──按国标填写。</w:t>
      </w:r>
    </w:p>
    <w:p>
      <w:pPr>
        <w:numPr>
          <w:ilvl w:val="0"/>
          <w:numId w:val="1"/>
        </w:numPr>
        <w:spacing w:line="660" w:lineRule="exact"/>
        <w:rPr>
          <w:rFonts w:ascii="宋体" w:hAnsi="宋体"/>
          <w:color w:val="000000"/>
          <w:sz w:val="24"/>
        </w:rPr>
      </w:pPr>
      <w:r>
        <w:rPr>
          <w:rFonts w:hint="eastAsia" w:ascii="宋体" w:hAnsi="宋体"/>
          <w:color w:val="000000"/>
          <w:sz w:val="24"/>
        </w:rPr>
        <w:t>总投资──指项目投资总额。</w:t>
      </w:r>
    </w:p>
    <w:p>
      <w:pPr>
        <w:numPr>
          <w:ilvl w:val="0"/>
          <w:numId w:val="1"/>
        </w:numPr>
        <w:spacing w:line="660" w:lineRule="exact"/>
        <w:rPr>
          <w:rFonts w:ascii="宋体" w:hAnsi="宋体"/>
          <w:color w:val="000000"/>
          <w:sz w:val="24"/>
        </w:rPr>
      </w:pPr>
      <w:r>
        <w:rPr>
          <w:rFonts w:hint="eastAsia" w:ascii="宋体" w:hAnsi="宋体"/>
          <w:color w:val="000000"/>
          <w:sz w:val="24"/>
        </w:rPr>
        <w:t>主要环境保护目标──指项目区周围一定范围内集中居民住宅区、学校、医院、保护文物、风景名胜区、水源地和生态敏感点等，应尽可能给出保护目标、性质、规模和距厂界距离等。</w:t>
      </w:r>
    </w:p>
    <w:p>
      <w:pPr>
        <w:numPr>
          <w:ilvl w:val="0"/>
          <w:numId w:val="1"/>
        </w:numPr>
        <w:spacing w:line="660" w:lineRule="exact"/>
        <w:rPr>
          <w:rFonts w:ascii="宋体" w:hAnsi="宋体"/>
          <w:color w:val="000000"/>
          <w:sz w:val="24"/>
        </w:rPr>
      </w:pPr>
      <w:r>
        <w:rPr>
          <w:rFonts w:hint="eastAsia" w:ascii="宋体" w:hAnsi="宋体"/>
          <w:color w:val="000000"/>
          <w:sz w:val="24"/>
        </w:rPr>
        <w:t>结论与建议──给出本项目清洁生产、达标排放和总量控制的分析结论，确定污染防治措施的有效性，说明本项目对环境造成的影响，给出建设项目环境可行性的明确结论。同时提出减少环境影响的其他建议。</w:t>
      </w:r>
    </w:p>
    <w:p>
      <w:pPr>
        <w:numPr>
          <w:ilvl w:val="0"/>
          <w:numId w:val="1"/>
        </w:numPr>
        <w:spacing w:line="660" w:lineRule="exact"/>
        <w:rPr>
          <w:rFonts w:ascii="宋体" w:hAnsi="宋体"/>
          <w:color w:val="000000"/>
          <w:sz w:val="24"/>
        </w:rPr>
      </w:pPr>
      <w:r>
        <w:rPr>
          <w:rFonts w:hint="eastAsia" w:ascii="宋体" w:hAnsi="宋体"/>
          <w:color w:val="000000"/>
          <w:sz w:val="24"/>
        </w:rPr>
        <w:t>预审意见──由行业主管部门填写答复意见，无主管部门项目，可不填。</w:t>
      </w:r>
    </w:p>
    <w:p>
      <w:pPr>
        <w:numPr>
          <w:ilvl w:val="0"/>
          <w:numId w:val="1"/>
        </w:numPr>
        <w:spacing w:line="660" w:lineRule="exact"/>
        <w:rPr>
          <w:rFonts w:ascii="宋体" w:hAnsi="宋体"/>
          <w:color w:val="000000"/>
          <w:sz w:val="24"/>
        </w:rPr>
      </w:pPr>
      <w:r>
        <w:rPr>
          <w:rFonts w:hint="eastAsia" w:ascii="宋体" w:hAnsi="宋体"/>
          <w:color w:val="000000"/>
          <w:sz w:val="24"/>
        </w:rPr>
        <w:t>审批意见──由负责审批该项目的环境保护行政主管部门批复。</w:t>
      </w:r>
    </w:p>
    <w:p/>
    <w:p/>
    <w:p>
      <w:pPr>
        <w:pStyle w:val="20"/>
        <w:ind w:left="0" w:leftChars="0" w:firstLine="0" w:firstLineChars="0"/>
      </w:pPr>
    </w:p>
    <w:p>
      <w:pPr>
        <w:pStyle w:val="2"/>
        <w:rPr>
          <w:rFonts w:ascii="Times New Roman" w:hAnsi="Times New Roman"/>
        </w:rPr>
        <w:sectPr>
          <w:type w:val="continuous"/>
          <w:pgSz w:w="11906" w:h="16838"/>
          <w:pgMar w:top="1440" w:right="1800" w:bottom="1558" w:left="1800" w:header="851" w:footer="992" w:gutter="0"/>
          <w:cols w:space="720" w:num="1"/>
          <w:docGrid w:type="lines" w:linePitch="312" w:charSpace="0"/>
        </w:sectPr>
      </w:pPr>
    </w:p>
    <w:p>
      <w:pPr>
        <w:pStyle w:val="2"/>
        <w:rPr>
          <w:rFonts w:ascii="Times New Roman" w:hAnsi="Times New Roman"/>
        </w:rPr>
      </w:pPr>
      <w:r>
        <w:rPr>
          <w:rFonts w:ascii="Times New Roman" w:hAnsi="Times New Roman"/>
        </w:rPr>
        <w:t>建设项目基本情况</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2"/>
        <w:gridCol w:w="974"/>
        <w:gridCol w:w="2265"/>
        <w:gridCol w:w="1684"/>
        <w:gridCol w:w="1449"/>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项目名称</w:t>
            </w:r>
          </w:p>
        </w:tc>
        <w:tc>
          <w:tcPr>
            <w:tcW w:w="7460" w:type="dxa"/>
            <w:gridSpan w:val="5"/>
            <w:vAlign w:val="center"/>
          </w:tcPr>
          <w:p>
            <w:pPr>
              <w:jc w:val="center"/>
              <w:rPr>
                <w:rFonts w:ascii="Times New Roman" w:hAnsi="Times New Roman"/>
                <w:sz w:val="24"/>
                <w:szCs w:val="24"/>
              </w:rPr>
            </w:pPr>
            <w:r>
              <w:rPr>
                <w:rFonts w:hint="eastAsia" w:ascii="Times New Roman" w:hAnsi="Times New Roman"/>
                <w:sz w:val="24"/>
                <w:szCs w:val="24"/>
              </w:rPr>
              <w:t>芜湖长江LNG内河接收（转运）站配套天然气外输管道高安-横山分输站段项目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建设单位</w:t>
            </w:r>
          </w:p>
        </w:tc>
        <w:tc>
          <w:tcPr>
            <w:tcW w:w="7460" w:type="dxa"/>
            <w:gridSpan w:val="5"/>
            <w:vAlign w:val="center"/>
          </w:tcPr>
          <w:p>
            <w:pPr>
              <w:jc w:val="center"/>
              <w:rPr>
                <w:rFonts w:ascii="Times New Roman" w:hAnsi="Times New Roman"/>
                <w:color w:val="000000"/>
                <w:sz w:val="24"/>
                <w:szCs w:val="24"/>
              </w:rPr>
            </w:pPr>
            <w:r>
              <w:rPr>
                <w:rFonts w:hint="eastAsia" w:ascii="Times New Roman" w:hAnsi="Times New Roman"/>
                <w:color w:val="000000"/>
                <w:sz w:val="24"/>
                <w:szCs w:val="24"/>
              </w:rPr>
              <w:t>安徽长江液化天然气有限责任公司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法人代表</w:t>
            </w:r>
          </w:p>
        </w:tc>
        <w:tc>
          <w:tcPr>
            <w:tcW w:w="3239" w:type="dxa"/>
            <w:gridSpan w:val="2"/>
            <w:vAlign w:val="center"/>
          </w:tcPr>
          <w:p>
            <w:pPr>
              <w:jc w:val="center"/>
              <w:rPr>
                <w:rFonts w:ascii="Times New Roman" w:hAnsi="Times New Roman"/>
                <w:sz w:val="24"/>
                <w:szCs w:val="24"/>
              </w:rPr>
            </w:pPr>
            <w:r>
              <w:rPr>
                <w:rFonts w:hint="eastAsia" w:ascii="Times New Roman" w:hAnsi="Times New Roman"/>
                <w:sz w:val="24"/>
                <w:szCs w:val="24"/>
              </w:rPr>
              <w:t>黄仁祝</w:t>
            </w:r>
          </w:p>
        </w:tc>
        <w:tc>
          <w:tcPr>
            <w:tcW w:w="1684" w:type="dxa"/>
            <w:vAlign w:val="center"/>
          </w:tcPr>
          <w:p>
            <w:pPr>
              <w:jc w:val="center"/>
              <w:rPr>
                <w:rFonts w:ascii="Times New Roman" w:hAnsi="Times New Roman"/>
                <w:b/>
                <w:sz w:val="24"/>
                <w:szCs w:val="24"/>
              </w:rPr>
            </w:pPr>
            <w:r>
              <w:rPr>
                <w:rFonts w:ascii="Times New Roman" w:hAnsi="Times New Roman"/>
                <w:b/>
                <w:sz w:val="24"/>
                <w:szCs w:val="24"/>
              </w:rPr>
              <w:t>联系人</w:t>
            </w:r>
          </w:p>
        </w:tc>
        <w:tc>
          <w:tcPr>
            <w:tcW w:w="2537" w:type="dxa"/>
            <w:gridSpan w:val="2"/>
            <w:vAlign w:val="center"/>
          </w:tcPr>
          <w:p>
            <w:pPr>
              <w:jc w:val="center"/>
              <w:rPr>
                <w:rFonts w:ascii="Times New Roman" w:hAnsi="Times New Roman"/>
                <w:sz w:val="24"/>
                <w:szCs w:val="24"/>
              </w:rPr>
            </w:pPr>
            <w:r>
              <w:rPr>
                <w:rFonts w:hint="eastAsia" w:ascii="Times New Roman" w:hAnsi="Times New Roman"/>
                <w:sz w:val="24"/>
                <w:szCs w:val="24"/>
              </w:rPr>
              <w:t>徐波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通讯地址</w:t>
            </w:r>
          </w:p>
        </w:tc>
        <w:tc>
          <w:tcPr>
            <w:tcW w:w="3239" w:type="dxa"/>
            <w:gridSpan w:val="2"/>
            <w:vAlign w:val="center"/>
          </w:tcPr>
          <w:p>
            <w:pPr>
              <w:jc w:val="center"/>
              <w:rPr>
                <w:rFonts w:ascii="Times New Roman" w:hAnsi="Times New Roman"/>
                <w:sz w:val="24"/>
                <w:szCs w:val="24"/>
              </w:rPr>
            </w:pPr>
            <w:r>
              <w:rPr>
                <w:rFonts w:hint="eastAsia" w:ascii="Times New Roman" w:hAnsi="Times New Roman"/>
                <w:sz w:val="24"/>
                <w:szCs w:val="24"/>
              </w:rPr>
              <w:tab/>
            </w:r>
            <w:r>
              <w:rPr>
                <w:rFonts w:hint="eastAsia" w:ascii="Times New Roman" w:hAnsi="Times New Roman"/>
                <w:sz w:val="24"/>
                <w:szCs w:val="24"/>
              </w:rPr>
              <w:t>安徽省芜湖长江大桥综合经济开发区高安街道疏港路6号</w:t>
            </w:r>
          </w:p>
        </w:tc>
        <w:tc>
          <w:tcPr>
            <w:tcW w:w="1684" w:type="dxa"/>
            <w:vAlign w:val="center"/>
          </w:tcPr>
          <w:p>
            <w:pPr>
              <w:jc w:val="center"/>
              <w:rPr>
                <w:rFonts w:ascii="Times New Roman" w:hAnsi="Times New Roman"/>
                <w:b/>
                <w:sz w:val="24"/>
                <w:szCs w:val="24"/>
              </w:rPr>
            </w:pPr>
            <w:r>
              <w:rPr>
                <w:rFonts w:ascii="Times New Roman" w:hAnsi="Times New Roman"/>
                <w:b/>
                <w:sz w:val="24"/>
                <w:szCs w:val="24"/>
              </w:rPr>
              <w:t>邮政编码</w:t>
            </w:r>
          </w:p>
        </w:tc>
        <w:tc>
          <w:tcPr>
            <w:tcW w:w="2537" w:type="dxa"/>
            <w:gridSpan w:val="2"/>
            <w:vAlign w:val="center"/>
          </w:tcPr>
          <w:p>
            <w:pPr>
              <w:jc w:val="center"/>
              <w:rPr>
                <w:rFonts w:ascii="Times New Roman" w:hAnsi="Times New Roman"/>
                <w:sz w:val="24"/>
                <w:szCs w:val="24"/>
                <w:highlight w:val="yellow"/>
              </w:rPr>
            </w:pPr>
            <w:r>
              <w:rPr>
                <w:rFonts w:ascii="Times New Roman" w:hAnsi="Times New Roman"/>
                <w:sz w:val="24"/>
                <w:szCs w:val="24"/>
              </w:rPr>
              <w:t>241000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联系电话</w:t>
            </w:r>
          </w:p>
        </w:tc>
        <w:tc>
          <w:tcPr>
            <w:tcW w:w="3239" w:type="dxa"/>
            <w:gridSpan w:val="2"/>
            <w:vAlign w:val="center"/>
          </w:tcPr>
          <w:p>
            <w:pPr>
              <w:jc w:val="center"/>
              <w:rPr>
                <w:rFonts w:ascii="Times New Roman" w:hAnsi="Times New Roman"/>
                <w:sz w:val="24"/>
                <w:szCs w:val="24"/>
              </w:rPr>
            </w:pPr>
            <w:r>
              <w:rPr>
                <w:rFonts w:hint="eastAsia" w:ascii="Times New Roman" w:hAnsi="Times New Roman"/>
                <w:sz w:val="24"/>
                <w:szCs w:val="24"/>
              </w:rPr>
              <w:t>18098699819</w:t>
            </w:r>
          </w:p>
        </w:tc>
        <w:tc>
          <w:tcPr>
            <w:tcW w:w="1684" w:type="dxa"/>
            <w:vAlign w:val="center"/>
          </w:tcPr>
          <w:p>
            <w:pPr>
              <w:jc w:val="center"/>
              <w:rPr>
                <w:rFonts w:ascii="Times New Roman" w:hAnsi="Times New Roman"/>
                <w:b/>
                <w:sz w:val="24"/>
                <w:szCs w:val="24"/>
              </w:rPr>
            </w:pPr>
            <w:r>
              <w:rPr>
                <w:rFonts w:ascii="Times New Roman" w:hAnsi="Times New Roman"/>
                <w:b/>
                <w:sz w:val="24"/>
                <w:szCs w:val="24"/>
              </w:rPr>
              <w:t>传真</w:t>
            </w:r>
          </w:p>
        </w:tc>
        <w:tc>
          <w:tcPr>
            <w:tcW w:w="2537" w:type="dxa"/>
            <w:gridSpan w:val="2"/>
            <w:vAlign w:val="center"/>
          </w:tcPr>
          <w:p>
            <w:pPr>
              <w:jc w:val="center"/>
              <w:rPr>
                <w:rFonts w:ascii="Times New Roman" w:hAnsi="Times New Roman"/>
                <w:sz w:val="24"/>
                <w:szCs w:val="24"/>
              </w:rPr>
            </w:pPr>
            <w:r>
              <w:rPr>
                <w:rFonts w:ascii="Times New Roman" w:hAnsi="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建设地点</w:t>
            </w:r>
          </w:p>
        </w:tc>
        <w:tc>
          <w:tcPr>
            <w:tcW w:w="7460" w:type="dxa"/>
            <w:gridSpan w:val="5"/>
            <w:vAlign w:val="center"/>
          </w:tcPr>
          <w:p>
            <w:pPr>
              <w:jc w:val="center"/>
              <w:rPr>
                <w:rFonts w:ascii="Times New Roman" w:hAnsi="Times New Roman"/>
                <w:color w:val="000000"/>
                <w:sz w:val="24"/>
                <w:szCs w:val="24"/>
              </w:rPr>
            </w:pPr>
            <w:r>
              <w:rPr>
                <w:rFonts w:hint="eastAsia" w:ascii="Times New Roman" w:hAnsi="Times New Roman"/>
                <w:color w:val="000000"/>
                <w:sz w:val="24"/>
                <w:szCs w:val="24"/>
              </w:rPr>
              <w:t>芜湖三山经济开发区境内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6"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立项审批部门</w:t>
            </w:r>
          </w:p>
        </w:tc>
        <w:tc>
          <w:tcPr>
            <w:tcW w:w="3239" w:type="dxa"/>
            <w:gridSpan w:val="2"/>
            <w:vAlign w:val="center"/>
          </w:tcPr>
          <w:p>
            <w:pPr>
              <w:jc w:val="center"/>
              <w:rPr>
                <w:rFonts w:ascii="Times New Roman" w:hAnsi="Times New Roman"/>
                <w:sz w:val="24"/>
                <w:szCs w:val="24"/>
              </w:rPr>
            </w:pPr>
            <w:r>
              <w:rPr>
                <w:rFonts w:hint="eastAsia" w:ascii="Times New Roman" w:hAnsi="Times New Roman"/>
                <w:sz w:val="24"/>
              </w:rPr>
              <w:t>安徽芜湖三山经济开发区管委会</w:t>
            </w:r>
          </w:p>
        </w:tc>
        <w:tc>
          <w:tcPr>
            <w:tcW w:w="1684" w:type="dxa"/>
            <w:vAlign w:val="center"/>
          </w:tcPr>
          <w:p>
            <w:pPr>
              <w:jc w:val="center"/>
              <w:rPr>
                <w:rFonts w:ascii="Times New Roman" w:hAnsi="Times New Roman"/>
                <w:b/>
                <w:sz w:val="24"/>
                <w:szCs w:val="24"/>
              </w:rPr>
            </w:pPr>
            <w:r>
              <w:rPr>
                <w:rFonts w:ascii="Times New Roman" w:hAnsi="Times New Roman"/>
                <w:b/>
                <w:sz w:val="24"/>
                <w:szCs w:val="24"/>
              </w:rPr>
              <w:t>批准文号</w:t>
            </w:r>
          </w:p>
        </w:tc>
        <w:tc>
          <w:tcPr>
            <w:tcW w:w="2537" w:type="dxa"/>
            <w:gridSpan w:val="2"/>
            <w:vAlign w:val="center"/>
          </w:tcPr>
          <w:p>
            <w:pPr>
              <w:jc w:val="center"/>
              <w:rPr>
                <w:rFonts w:ascii="Times New Roman" w:hAnsi="Times New Roman"/>
                <w:sz w:val="24"/>
                <w:szCs w:val="24"/>
              </w:rPr>
            </w:pPr>
            <w:r>
              <w:rPr>
                <w:rFonts w:hint="eastAsia" w:ascii="Times New Roman" w:hAnsi="Times New Roman"/>
                <w:sz w:val="24"/>
                <w:szCs w:val="24"/>
              </w:rPr>
              <w:t>2020-340200-45-02-038705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vAlign w:val="center"/>
          </w:tcPr>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建设性质</w:t>
            </w:r>
          </w:p>
        </w:tc>
        <w:tc>
          <w:tcPr>
            <w:tcW w:w="3239" w:type="dxa"/>
            <w:gridSpan w:val="2"/>
            <w:vAlign w:val="center"/>
          </w:tcPr>
          <w:p>
            <w:pPr>
              <w:spacing w:line="360" w:lineRule="auto"/>
              <w:jc w:val="center"/>
              <w:rPr>
                <w:rFonts w:ascii="Times New Roman" w:hAnsi="Times New Roman"/>
                <w:color w:val="000000"/>
                <w:sz w:val="24"/>
                <w:szCs w:val="24"/>
              </w:rPr>
            </w:pPr>
            <w:r>
              <w:rPr>
                <w:rFonts w:ascii="Times New Roman" w:hAnsi="Times New Roman"/>
                <w:color w:val="000000"/>
                <w:sz w:val="24"/>
              </w:rPr>
              <w:t>新建</w:t>
            </w:r>
            <w:r>
              <w:rPr>
                <w:rFonts w:ascii="Times New Roman" w:hAnsi="Times New Roman"/>
                <w:color w:val="000000"/>
                <w:sz w:val="24"/>
              </w:rPr>
              <w:sym w:font="Wingdings 2" w:char="0052"/>
            </w:r>
            <w:r>
              <w:rPr>
                <w:rFonts w:ascii="Times New Roman" w:hAnsi="Times New Roman"/>
                <w:color w:val="000000"/>
                <w:sz w:val="24"/>
              </w:rPr>
              <w:t xml:space="preserve">  改扩建</w:t>
            </w:r>
            <w:r>
              <w:rPr>
                <w:rFonts w:ascii="Times New Roman" w:hAnsi="Times New Roman"/>
                <w:color w:val="000000"/>
                <w:sz w:val="24"/>
              </w:rPr>
              <w:sym w:font="Wingdings 2" w:char="00A3"/>
            </w:r>
            <w:r>
              <w:rPr>
                <w:rFonts w:ascii="Times New Roman" w:hAnsi="Times New Roman"/>
                <w:color w:val="000000"/>
                <w:sz w:val="24"/>
              </w:rPr>
              <w:t xml:space="preserve">  技改</w:t>
            </w:r>
            <w:r>
              <w:rPr>
                <w:rFonts w:ascii="Times New Roman" w:hAnsi="Times New Roman"/>
                <w:color w:val="000000"/>
                <w:sz w:val="24"/>
              </w:rPr>
              <w:sym w:font="Wingdings 2" w:char="00A3"/>
            </w:r>
          </w:p>
        </w:tc>
        <w:tc>
          <w:tcPr>
            <w:tcW w:w="1684"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行业类别</w:t>
            </w:r>
          </w:p>
          <w:p>
            <w:pPr>
              <w:jc w:val="center"/>
              <w:rPr>
                <w:rFonts w:ascii="Times New Roman" w:hAnsi="Times New Roman"/>
                <w:b/>
                <w:color w:val="000000"/>
                <w:sz w:val="24"/>
                <w:szCs w:val="24"/>
              </w:rPr>
            </w:pPr>
            <w:r>
              <w:rPr>
                <w:rFonts w:ascii="Times New Roman" w:hAnsi="Times New Roman"/>
                <w:b/>
                <w:color w:val="000000"/>
                <w:sz w:val="24"/>
                <w:szCs w:val="24"/>
              </w:rPr>
              <w:t>及代码</w:t>
            </w:r>
          </w:p>
        </w:tc>
        <w:tc>
          <w:tcPr>
            <w:tcW w:w="2537" w:type="dxa"/>
            <w:gridSpan w:val="2"/>
            <w:vAlign w:val="center"/>
          </w:tcPr>
          <w:p>
            <w:pPr>
              <w:spacing w:line="240" w:lineRule="atLeast"/>
              <w:jc w:val="center"/>
              <w:rPr>
                <w:rFonts w:ascii="Times New Roman" w:hAnsi="Times New Roman"/>
                <w:color w:val="000000"/>
                <w:sz w:val="24"/>
              </w:rPr>
            </w:pPr>
            <w:r>
              <w:rPr>
                <w:rFonts w:hint="eastAsia" w:ascii="Times New Roman" w:hAnsi="Times New Roman"/>
                <w:sz w:val="24"/>
                <w:szCs w:val="24"/>
              </w:rPr>
              <w:t>D4511天然气生产和供应业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占地面积（m</w:t>
            </w:r>
            <w:r>
              <w:rPr>
                <w:rFonts w:ascii="Times New Roman" w:hAnsi="Times New Roman"/>
                <w:b/>
                <w:color w:val="000000"/>
                <w:sz w:val="24"/>
                <w:szCs w:val="24"/>
                <w:vertAlign w:val="superscript"/>
              </w:rPr>
              <w:t>2</w:t>
            </w:r>
            <w:r>
              <w:rPr>
                <w:rFonts w:ascii="Times New Roman" w:hAnsi="Times New Roman"/>
                <w:b/>
                <w:color w:val="000000"/>
                <w:sz w:val="24"/>
                <w:szCs w:val="24"/>
              </w:rPr>
              <w:t>）</w:t>
            </w:r>
          </w:p>
        </w:tc>
        <w:tc>
          <w:tcPr>
            <w:tcW w:w="3239" w:type="dxa"/>
            <w:gridSpan w:val="2"/>
            <w:vAlign w:val="center"/>
          </w:tcPr>
          <w:p>
            <w:pPr>
              <w:spacing w:line="360" w:lineRule="auto"/>
              <w:jc w:val="center"/>
              <w:rPr>
                <w:rFonts w:ascii="Times New Roman" w:hAnsi="Times New Roman"/>
                <w:color w:val="000000"/>
                <w:sz w:val="24"/>
                <w:szCs w:val="24"/>
              </w:rPr>
            </w:pPr>
            <w:r>
              <w:rPr>
                <w:rFonts w:hint="eastAsia" w:ascii="Times New Roman" w:hAnsi="Times New Roman"/>
                <w:color w:val="000000"/>
                <w:sz w:val="24"/>
                <w:szCs w:val="24"/>
              </w:rPr>
              <w:t>10457</w:t>
            </w:r>
          </w:p>
        </w:tc>
        <w:tc>
          <w:tcPr>
            <w:tcW w:w="1684" w:type="dxa"/>
            <w:vAlign w:val="center"/>
          </w:tcPr>
          <w:p>
            <w:pPr>
              <w:jc w:val="center"/>
              <w:rPr>
                <w:rFonts w:ascii="Times New Roman" w:hAnsi="Times New Roman"/>
                <w:b/>
                <w:sz w:val="24"/>
                <w:szCs w:val="24"/>
              </w:rPr>
            </w:pPr>
            <w:r>
              <w:rPr>
                <w:rFonts w:ascii="Times New Roman" w:hAnsi="Times New Roman"/>
                <w:b/>
                <w:sz w:val="24"/>
                <w:szCs w:val="24"/>
              </w:rPr>
              <w:t>绿化面积</w:t>
            </w:r>
          </w:p>
          <w:p>
            <w:pPr>
              <w:jc w:val="center"/>
              <w:rPr>
                <w:rFonts w:ascii="Times New Roman" w:hAnsi="Times New Roman"/>
                <w:b/>
                <w:sz w:val="24"/>
                <w:szCs w:val="24"/>
                <w:highlight w:val="yellow"/>
              </w:rPr>
            </w:pPr>
            <w:r>
              <w:rPr>
                <w:rFonts w:ascii="Times New Roman" w:hAnsi="Times New Roman"/>
                <w:b/>
                <w:sz w:val="24"/>
                <w:szCs w:val="24"/>
              </w:rPr>
              <w:t>（m</w:t>
            </w:r>
            <w:r>
              <w:rPr>
                <w:rFonts w:ascii="Times New Roman" w:hAnsi="Times New Roman"/>
                <w:b/>
                <w:sz w:val="24"/>
                <w:szCs w:val="24"/>
                <w:vertAlign w:val="superscript"/>
              </w:rPr>
              <w:t>2</w:t>
            </w:r>
            <w:r>
              <w:rPr>
                <w:rFonts w:ascii="Times New Roman" w:hAnsi="Times New Roman"/>
                <w:b/>
                <w:sz w:val="24"/>
                <w:szCs w:val="24"/>
              </w:rPr>
              <w:t>）</w:t>
            </w:r>
          </w:p>
        </w:tc>
        <w:tc>
          <w:tcPr>
            <w:tcW w:w="2537" w:type="dxa"/>
            <w:gridSpan w:val="2"/>
            <w:vAlign w:val="center"/>
          </w:tcPr>
          <w:p>
            <w:pPr>
              <w:spacing w:line="360" w:lineRule="auto"/>
              <w:jc w:val="center"/>
              <w:rPr>
                <w:rFonts w:ascii="Times New Roman" w:hAnsi="Times New Roman"/>
                <w:sz w:val="24"/>
                <w:szCs w:val="24"/>
                <w:highlight w:val="yellow"/>
              </w:rPr>
            </w:pPr>
            <w:r>
              <w:rPr>
                <w:rFonts w:ascii="Times New Roman" w:hAnsi="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7" w:hRule="exact"/>
          <w:jc w:val="center"/>
        </w:trPr>
        <w:tc>
          <w:tcPr>
            <w:tcW w:w="1782" w:type="dxa"/>
            <w:vAlign w:val="center"/>
          </w:tcPr>
          <w:p>
            <w:pPr>
              <w:jc w:val="center"/>
              <w:rPr>
                <w:rFonts w:ascii="Times New Roman" w:hAnsi="Times New Roman"/>
                <w:b/>
                <w:color w:val="000000"/>
                <w:sz w:val="24"/>
                <w:szCs w:val="24"/>
              </w:rPr>
            </w:pPr>
            <w:r>
              <w:rPr>
                <w:rFonts w:ascii="Times New Roman" w:hAnsi="Times New Roman"/>
                <w:b/>
                <w:color w:val="000000"/>
                <w:sz w:val="24"/>
                <w:szCs w:val="24"/>
              </w:rPr>
              <w:t>总投资（万元）</w:t>
            </w:r>
          </w:p>
        </w:tc>
        <w:tc>
          <w:tcPr>
            <w:tcW w:w="974" w:type="dxa"/>
            <w:vAlign w:val="center"/>
          </w:tcPr>
          <w:p>
            <w:pPr>
              <w:spacing w:line="360" w:lineRule="auto"/>
              <w:jc w:val="center"/>
              <w:rPr>
                <w:rFonts w:ascii="Times New Roman" w:hAnsi="Times New Roman"/>
                <w:color w:val="000000"/>
                <w:sz w:val="24"/>
                <w:szCs w:val="24"/>
              </w:rPr>
            </w:pPr>
            <w:r>
              <w:rPr>
                <w:rFonts w:hint="eastAsia" w:ascii="Times New Roman" w:hAnsi="Times New Roman"/>
                <w:color w:val="000000"/>
                <w:sz w:val="24"/>
                <w:szCs w:val="24"/>
              </w:rPr>
              <w:t>9000</w:t>
            </w:r>
          </w:p>
        </w:tc>
        <w:tc>
          <w:tcPr>
            <w:tcW w:w="2265" w:type="dxa"/>
            <w:vAlign w:val="center"/>
          </w:tcPr>
          <w:p>
            <w:pPr>
              <w:jc w:val="center"/>
              <w:rPr>
                <w:rFonts w:ascii="Times New Roman" w:hAnsi="Times New Roman"/>
                <w:b/>
                <w:sz w:val="24"/>
                <w:szCs w:val="24"/>
              </w:rPr>
            </w:pPr>
            <w:r>
              <w:rPr>
                <w:rFonts w:ascii="Times New Roman" w:hAnsi="Times New Roman"/>
                <w:b/>
                <w:sz w:val="24"/>
                <w:szCs w:val="24"/>
              </w:rPr>
              <w:t>其中：环保投资</w:t>
            </w:r>
          </w:p>
          <w:p>
            <w:pPr>
              <w:jc w:val="center"/>
              <w:rPr>
                <w:rFonts w:ascii="Times New Roman" w:hAnsi="Times New Roman"/>
                <w:sz w:val="24"/>
                <w:szCs w:val="24"/>
              </w:rPr>
            </w:pPr>
            <w:r>
              <w:rPr>
                <w:rFonts w:ascii="Times New Roman" w:hAnsi="Times New Roman"/>
                <w:b/>
                <w:sz w:val="24"/>
                <w:szCs w:val="24"/>
              </w:rPr>
              <w:t>（万元）</w:t>
            </w:r>
          </w:p>
        </w:tc>
        <w:tc>
          <w:tcPr>
            <w:tcW w:w="1684" w:type="dxa"/>
            <w:vAlign w:val="center"/>
          </w:tcPr>
          <w:p>
            <w:pPr>
              <w:jc w:val="center"/>
              <w:rPr>
                <w:rFonts w:hint="default" w:ascii="Times New Roman" w:hAnsi="Times New Roman" w:eastAsia="宋体"/>
                <w:sz w:val="24"/>
                <w:szCs w:val="24"/>
                <w:lang w:val="en-US" w:eastAsia="zh-CN"/>
              </w:rPr>
            </w:pPr>
            <w:r>
              <w:rPr>
                <w:rFonts w:hint="eastAsia" w:ascii="Times New Roman" w:hAnsi="Times New Roman"/>
                <w:sz w:val="24"/>
                <w:szCs w:val="24"/>
                <w:lang w:val="en-US" w:eastAsia="zh-CN"/>
              </w:rPr>
              <w:t>277</w:t>
            </w:r>
          </w:p>
        </w:tc>
        <w:tc>
          <w:tcPr>
            <w:tcW w:w="1449" w:type="dxa"/>
            <w:vAlign w:val="center"/>
          </w:tcPr>
          <w:p>
            <w:pPr>
              <w:jc w:val="center"/>
              <w:rPr>
                <w:rFonts w:ascii="Times New Roman" w:hAnsi="Times New Roman"/>
                <w:b/>
                <w:sz w:val="24"/>
                <w:szCs w:val="24"/>
              </w:rPr>
            </w:pPr>
            <w:r>
              <w:rPr>
                <w:rFonts w:ascii="Times New Roman" w:hAnsi="Times New Roman"/>
                <w:b/>
                <w:sz w:val="24"/>
                <w:szCs w:val="24"/>
              </w:rPr>
              <w:t>环保投资占</w:t>
            </w:r>
          </w:p>
          <w:p>
            <w:pPr>
              <w:jc w:val="center"/>
              <w:rPr>
                <w:rFonts w:ascii="Times New Roman" w:hAnsi="Times New Roman"/>
                <w:sz w:val="24"/>
                <w:szCs w:val="24"/>
              </w:rPr>
            </w:pPr>
            <w:r>
              <w:rPr>
                <w:rFonts w:ascii="Times New Roman" w:hAnsi="Times New Roman"/>
                <w:b/>
                <w:sz w:val="24"/>
                <w:szCs w:val="24"/>
              </w:rPr>
              <w:t>总投资比例</w:t>
            </w:r>
          </w:p>
        </w:tc>
        <w:tc>
          <w:tcPr>
            <w:tcW w:w="1088" w:type="dxa"/>
            <w:vAlign w:val="center"/>
          </w:tcPr>
          <w:p>
            <w:pPr>
              <w:spacing w:line="360" w:lineRule="auto"/>
              <w:jc w:val="center"/>
              <w:rPr>
                <w:rFonts w:ascii="Times New Roman" w:hAnsi="Times New Roman"/>
                <w:sz w:val="24"/>
                <w:szCs w:val="24"/>
              </w:rPr>
            </w:pPr>
            <w:r>
              <w:rPr>
                <w:rFonts w:hint="eastAsia" w:ascii="Times New Roman" w:hAnsi="Times New Roman"/>
                <w:sz w:val="24"/>
                <w:szCs w:val="24"/>
                <w:lang w:val="en-US" w:eastAsia="zh-CN"/>
              </w:rPr>
              <w:t>3.08</w:t>
            </w:r>
            <w:r>
              <w:rPr>
                <w:rFonts w:ascii="Times New Roman" w:hAnsi="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756" w:type="dxa"/>
            <w:gridSpan w:val="2"/>
            <w:vAlign w:val="center"/>
          </w:tcPr>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评价经费（万元）</w:t>
            </w:r>
          </w:p>
        </w:tc>
        <w:tc>
          <w:tcPr>
            <w:tcW w:w="2265" w:type="dxa"/>
            <w:vAlign w:val="center"/>
          </w:tcPr>
          <w:p>
            <w:pPr>
              <w:jc w:val="center"/>
              <w:rPr>
                <w:rFonts w:ascii="Times New Roman" w:hAnsi="Times New Roman"/>
                <w:color w:val="000000"/>
                <w:sz w:val="24"/>
                <w:szCs w:val="24"/>
              </w:rPr>
            </w:pPr>
            <w:r>
              <w:rPr>
                <w:rFonts w:ascii="Times New Roman" w:hAnsi="Times New Roman"/>
                <w:color w:val="000000"/>
                <w:sz w:val="24"/>
                <w:szCs w:val="24"/>
              </w:rPr>
              <w:t>/</w:t>
            </w:r>
          </w:p>
        </w:tc>
        <w:tc>
          <w:tcPr>
            <w:tcW w:w="1684" w:type="dxa"/>
            <w:vAlign w:val="center"/>
          </w:tcPr>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预期投产日期</w:t>
            </w:r>
          </w:p>
        </w:tc>
        <w:tc>
          <w:tcPr>
            <w:tcW w:w="2537" w:type="dxa"/>
            <w:gridSpan w:val="2"/>
            <w:vAlign w:val="center"/>
          </w:tcPr>
          <w:p>
            <w:pPr>
              <w:spacing w:line="360" w:lineRule="auto"/>
              <w:jc w:val="center"/>
              <w:rPr>
                <w:rFonts w:ascii="Times New Roman" w:hAnsi="Times New Roman"/>
                <w:color w:val="000000"/>
                <w:sz w:val="24"/>
                <w:szCs w:val="24"/>
              </w:rPr>
            </w:pPr>
            <w:r>
              <w:rPr>
                <w:rFonts w:ascii="Times New Roman" w:hAnsi="Times New Roman"/>
                <w:sz w:val="24"/>
                <w:szCs w:val="24"/>
              </w:rPr>
              <w:t>20</w:t>
            </w:r>
            <w:r>
              <w:rPr>
                <w:rFonts w:hint="eastAsia" w:ascii="Times New Roman" w:hAnsi="Times New Roman"/>
                <w:sz w:val="24"/>
                <w:szCs w:val="24"/>
              </w:rPr>
              <w:t>22.12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8" w:hRule="atLeast"/>
          <w:jc w:val="center"/>
        </w:trPr>
        <w:tc>
          <w:tcPr>
            <w:tcW w:w="9242" w:type="dxa"/>
            <w:gridSpan w:val="6"/>
            <w:tcBorders>
              <w:bottom w:val="single" w:color="auto" w:sz="4" w:space="0"/>
            </w:tcBorders>
          </w:tcPr>
          <w:p>
            <w:pPr>
              <w:spacing w:line="360" w:lineRule="auto"/>
              <w:rPr>
                <w:rFonts w:ascii="Times New Roman" w:hAnsi="Times New Roman"/>
                <w:b/>
                <w:color w:val="000000"/>
                <w:sz w:val="28"/>
                <w:szCs w:val="28"/>
              </w:rPr>
            </w:pPr>
            <w:r>
              <w:rPr>
                <w:rFonts w:ascii="Times New Roman" w:hAnsi="Times New Roman"/>
                <w:b/>
                <w:color w:val="000000"/>
                <w:sz w:val="28"/>
                <w:szCs w:val="28"/>
              </w:rPr>
              <w:t>工程内容及规模：</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1、项目</w:t>
            </w:r>
            <w:r>
              <w:rPr>
                <w:rFonts w:hint="eastAsia" w:ascii="Times New Roman" w:hAnsi="Times New Roman"/>
                <w:b/>
                <w:color w:val="000000"/>
                <w:sz w:val="24"/>
                <w:szCs w:val="24"/>
              </w:rPr>
              <w:t>由来</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天然气是一种清洁能源，不仅有利于改善城市环境，还有利于优化城市能源结构，促进当地经济发展。长期以来，安徽省油气管网基础设施薄弱，已建管道里程短、密度低、覆盖面小，储备调峰能力不足。管道网络化尚未形成，不同投资主体营运管道不能互联互通，缺乏跨地区、跨资源调度能力。天然气整体利用水平不高，工商业用气比例偏低。</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根据《安徽省油气管网基础设施建设规划》（2017-2021）要求，加快安徽省天然气和成品油管网基础设施建设，补齐基础设施短板，推动安徽省能源结构调整和节能减排，推进能源供给侧结构性改革。文件要求增强天然气保供能力，在长输管道沿线配套建设储备调峰设施，保障天然气调峰应急需求。推进中海油苏皖干线、淮南煤制气、芜湖LNG接收站等气源工程建设。</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在此背景下，安徽长江液化天然气有限责任公司筹备实施芜湖长江LNG内河接收（转运）站项目，增加气源供应渠道，提高区域调峰能力，为安徽省填补天然气供应缺口。该项目主要建设高安首站及横安分输站，其中高安站位于LNG内河接收站西南角，用地面积约2000m</w:t>
            </w:r>
            <w:r>
              <w:rPr>
                <w:rFonts w:hint="eastAsia" w:ascii="Times New Roman" w:hAnsi="Times New Roman"/>
                <w:kern w:val="0"/>
                <w:sz w:val="24"/>
                <w:vertAlign w:val="superscript"/>
              </w:rPr>
              <w:t>2</w:t>
            </w:r>
            <w:r>
              <w:rPr>
                <w:rFonts w:hint="eastAsia" w:ascii="Times New Roman" w:hAnsi="Times New Roman"/>
                <w:kern w:val="0"/>
                <w:sz w:val="24"/>
              </w:rPr>
              <w:t>，横山分输站位于横山河路与裕民路交口西南侧，分输站拟用地面积1.0457公顷，天然气外输管道高安-横山分输站段全长约5.8km，管径DN400，设计压力4.0MPa，供气量为</w:t>
            </w:r>
            <w:r>
              <w:rPr>
                <w:rFonts w:ascii="Times New Roman" w:hAnsi="Times New Roman"/>
                <w:kern w:val="0"/>
                <w:sz w:val="24"/>
              </w:rPr>
              <w:t>4.</w:t>
            </w:r>
            <w:r>
              <w:rPr>
                <w:rFonts w:hint="eastAsia" w:ascii="Times New Roman" w:hAnsi="Times New Roman"/>
                <w:kern w:val="0"/>
                <w:sz w:val="24"/>
              </w:rPr>
              <w:t>48</w:t>
            </w:r>
            <w:r>
              <w:rPr>
                <w:rFonts w:ascii="Times New Roman" w:hAnsi="Times New Roman"/>
                <w:kern w:val="0"/>
                <w:sz w:val="24"/>
              </w:rPr>
              <w:t>×10</w:t>
            </w:r>
            <w:r>
              <w:rPr>
                <w:rFonts w:ascii="Times New Roman" w:hAnsi="Times New Roman"/>
                <w:kern w:val="0"/>
                <w:sz w:val="24"/>
                <w:vertAlign w:val="superscript"/>
              </w:rPr>
              <w:t>8</w:t>
            </w:r>
            <w:r>
              <w:rPr>
                <w:rFonts w:ascii="Times New Roman" w:hAnsi="Times New Roman"/>
                <w:kern w:val="0"/>
                <w:sz w:val="24"/>
              </w:rPr>
              <w:t>Nm</w:t>
            </w:r>
            <w:r>
              <w:rPr>
                <w:rFonts w:ascii="Times New Roman" w:hAnsi="Times New Roman"/>
                <w:kern w:val="0"/>
                <w:sz w:val="24"/>
                <w:vertAlign w:val="superscript"/>
              </w:rPr>
              <w:t>3</w:t>
            </w:r>
            <w:r>
              <w:rPr>
                <w:rFonts w:ascii="Times New Roman" w:hAnsi="Times New Roman"/>
                <w:kern w:val="0"/>
                <w:sz w:val="24"/>
              </w:rPr>
              <w:t>/</w:t>
            </w:r>
            <w:r>
              <w:rPr>
                <w:rFonts w:hint="eastAsia" w:ascii="Times New Roman" w:hAnsi="Times New Roman"/>
                <w:kern w:val="0"/>
                <w:sz w:val="24"/>
              </w:rPr>
              <w:t>a，气源全部来自芜湖长江LNG内河接收（转运）站的气化天然气。</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本项目作为芜湖长江LNG内河接收（转运）站配套管线项目一部分，本工程与LNG内河接收（转运）站同步营运。LNG内河接收（转运）站气化外输管道主要有高安-马塘段和高安-横山分输站段，本工程建成后可以与</w:t>
            </w:r>
            <w:r>
              <w:rPr>
                <w:rFonts w:hint="eastAsia" w:ascii="Times New Roman" w:hAnsi="Times New Roman"/>
                <w:kern w:val="0"/>
                <w:sz w:val="24"/>
                <w:lang w:val="en-US" w:eastAsia="zh-CN"/>
              </w:rPr>
              <w:t>已</w:t>
            </w:r>
            <w:r>
              <w:rPr>
                <w:rFonts w:hint="eastAsia" w:ascii="Times New Roman" w:hAnsi="Times New Roman"/>
                <w:kern w:val="0"/>
                <w:sz w:val="24"/>
              </w:rPr>
              <w:t>建的江南联络线连接，实现与省天然气管网互联互通，通过省管网实现资源的统一调配，为下游用户分输天然气。</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同时，LNG内河接收（转运）站作为全省储备调峰设施，通过本工程管道可以将LNG内河接收（转运）站气化天然气注入已建省天然气干支线管网，保障天然气调峰应急需求，服务全省。</w:t>
            </w:r>
          </w:p>
          <w:p>
            <w:pPr>
              <w:spacing w:line="360" w:lineRule="auto"/>
              <w:ind w:firstLine="480" w:firstLineChars="200"/>
              <w:jc w:val="both"/>
              <w:rPr>
                <w:rFonts w:hint="default" w:ascii="Times New Roman" w:hAnsi="Times New Roman" w:cs="Times New Roman"/>
                <w:kern w:val="2"/>
                <w:sz w:val="24"/>
                <w:szCs w:val="22"/>
                <w:lang w:val="en-US" w:eastAsia="zh-CN" w:bidi="ar-SA"/>
              </w:rPr>
            </w:pPr>
            <w:r>
              <w:rPr>
                <w:rFonts w:ascii="Times New Roman" w:hAnsi="Times New Roman"/>
                <w:kern w:val="0"/>
                <w:sz w:val="24"/>
              </w:rPr>
              <w:t>根据《建设项目环境保护管理条例》和《中华人民共和国环境影响评价法》中有关规定，该项目应进行环境影响评价。受建设单位委托，芜湖民宇环境科技有限公司承担了该项目的环境影响评价工作</w:t>
            </w:r>
            <w:r>
              <w:rPr>
                <w:rFonts w:hint="eastAsia" w:ascii="Times New Roman" w:hAnsi="Times New Roman" w:cs="Times New Roman"/>
                <w:kern w:val="2"/>
                <w:sz w:val="24"/>
                <w:szCs w:val="22"/>
                <w:lang w:val="en-US" w:eastAsia="zh-CN" w:bidi="ar-SA"/>
              </w:rPr>
              <w:t>，对照《关于项目是否涉及环境敏感区咨询的回复》（生态环境部部长信箱，2018.9.17）：《建设项目环境保护分类管理名录》中“涉及环境敏感区”的“涉及”是指建设项目位于、穿越、跨越环境敏感区，或环境影响范围涵盖环境敏感区。</w:t>
            </w:r>
          </w:p>
          <w:p>
            <w:pPr>
              <w:spacing w:line="360" w:lineRule="auto"/>
              <w:ind w:firstLine="470" w:firstLineChars="196"/>
              <w:rPr>
                <w:rFonts w:hint="eastAsia" w:ascii="Times New Roman" w:hAnsi="Times New Roman" w:cs="Times New Roman"/>
                <w:kern w:val="2"/>
                <w:sz w:val="24"/>
                <w:szCs w:val="22"/>
                <w:lang w:val="en-US" w:eastAsia="zh-CN" w:bidi="ar-SA"/>
              </w:rPr>
            </w:pPr>
            <w:r>
              <w:rPr>
                <w:rFonts w:ascii="Times New Roman" w:hAnsi="Times New Roman"/>
                <w:kern w:val="0"/>
                <w:sz w:val="24"/>
              </w:rPr>
              <w:t>本项目</w:t>
            </w:r>
            <w:r>
              <w:rPr>
                <w:rFonts w:hint="eastAsia" w:ascii="Times New Roman" w:hAnsi="Times New Roman" w:eastAsia="宋体" w:cs="Times New Roman"/>
                <w:kern w:val="2"/>
                <w:sz w:val="24"/>
                <w:szCs w:val="22"/>
                <w:lang w:val="en-US" w:eastAsia="zh-CN" w:bidi="ar-SA"/>
              </w:rPr>
              <w:t>位于芜湖三山区，在设计方案由可研阶段至初步设计阶段的不断加深的工程中，项目方案不断的优化调整选线、主动避让生态保护红线区域。</w:t>
            </w:r>
            <w:r>
              <w:rPr>
                <w:rFonts w:hint="eastAsia" w:ascii="Times New Roman" w:hAnsi="Times New Roman" w:cs="Times New Roman"/>
                <w:kern w:val="2"/>
                <w:sz w:val="24"/>
                <w:szCs w:val="22"/>
                <w:lang w:val="en-US" w:eastAsia="zh-CN" w:bidi="ar-SA"/>
              </w:rPr>
              <w:t>高安站、横山分输站</w:t>
            </w:r>
            <w:r>
              <w:rPr>
                <w:rFonts w:hint="eastAsia" w:ascii="Times New Roman" w:hAnsi="Times New Roman" w:eastAsia="宋体" w:cs="Times New Roman"/>
                <w:kern w:val="2"/>
                <w:sz w:val="24"/>
                <w:szCs w:val="22"/>
                <w:lang w:val="en-US" w:eastAsia="zh-CN" w:bidi="ar-SA"/>
              </w:rPr>
              <w:t>用地红线不占用生态保护红线；线路临时占地（线路占用生态保护红线查询范围按线路路由施工作业带12m，邻近生态红线施工作业带按1</w:t>
            </w:r>
            <w:r>
              <w:rPr>
                <w:rFonts w:hint="eastAsia" w:ascii="Times New Roman" w:hAnsi="Times New Roman" w:cs="Times New Roman"/>
                <w:kern w:val="2"/>
                <w:sz w:val="24"/>
                <w:szCs w:val="22"/>
                <w:lang w:val="en-US" w:eastAsia="zh-CN" w:bidi="ar-SA"/>
              </w:rPr>
              <w:t>6</w:t>
            </w:r>
            <w:r>
              <w:rPr>
                <w:rFonts w:hint="eastAsia" w:ascii="Times New Roman" w:hAnsi="Times New Roman" w:eastAsia="宋体" w:cs="Times New Roman"/>
                <w:kern w:val="2"/>
                <w:sz w:val="24"/>
                <w:szCs w:val="22"/>
                <w:lang w:val="en-US" w:eastAsia="zh-CN" w:bidi="ar-SA"/>
              </w:rPr>
              <w:t>m计）不占用生态保护红线，</w:t>
            </w:r>
            <w:r>
              <w:rPr>
                <w:rFonts w:hint="eastAsia" w:ascii="Times New Roman" w:hAnsi="Times New Roman" w:cs="Times New Roman"/>
                <w:kern w:val="2"/>
                <w:sz w:val="24"/>
                <w:szCs w:val="22"/>
                <w:lang w:val="en-US" w:eastAsia="zh-CN" w:bidi="ar-SA"/>
              </w:rPr>
              <w:t>高安站距离长江生态保护岸线最近距离为2.8km，横山站距离漳河生态保护红线最近距离为16.2km</w:t>
            </w:r>
            <w:r>
              <w:rPr>
                <w:rFonts w:hint="eastAsia" w:ascii="Times New Roman" w:hAnsi="Times New Roman" w:eastAsia="宋体" w:cs="Times New Roman"/>
                <w:kern w:val="2"/>
                <w:sz w:val="24"/>
                <w:szCs w:val="22"/>
                <w:lang w:val="en-US" w:eastAsia="zh-CN" w:bidi="ar-SA"/>
              </w:rPr>
              <w:t>，对照《安徽省生态保护红线》（发布稿）及芜湖市生态保护红线区域分布图，本项目建设用地不属于安徽省生态保护红线划定红线范围内。</w:t>
            </w:r>
            <w:r>
              <w:rPr>
                <w:rFonts w:hint="eastAsia" w:ascii="Times New Roman" w:hAnsi="Times New Roman" w:cs="Times New Roman"/>
                <w:kern w:val="2"/>
                <w:sz w:val="24"/>
                <w:szCs w:val="22"/>
                <w:lang w:val="en-US" w:eastAsia="zh-CN" w:bidi="ar-SA"/>
              </w:rPr>
              <w:t>本项目营运期污染源主要为检修过程排放的非甲烷总烃以及站场维护人员产生的生活污水，根据下文影响分析预测结果，非甲烷总烃下风向最大占标率为0.52%，最大距离为63米，营运期废气影响范围小于高安站与生态红线最短距离。生活污水排放至芜湖大桥综合经济开发区污水处理厂处置，尾水排放满足《城镇污水处理厂污染物排放标准》（GB18918-2002）一级标准中 A 类标准，生活污水对周围环境影响较小。项目建设管线200米范围内敏感点分布较小，管线、站场用地以工业用地及工业仓储用地为主。</w:t>
            </w:r>
          </w:p>
          <w:p>
            <w:pPr>
              <w:spacing w:line="360" w:lineRule="auto"/>
              <w:ind w:firstLine="472" w:firstLineChars="196"/>
              <w:rPr>
                <w:rFonts w:ascii="Times New Roman" w:hAnsi="Times New Roman"/>
                <w:kern w:val="0"/>
                <w:sz w:val="24"/>
              </w:rPr>
            </w:pPr>
            <w:r>
              <w:rPr>
                <w:rFonts w:hint="eastAsia" w:ascii="Times New Roman" w:hAnsi="Times New Roman" w:cs="Times New Roman"/>
                <w:b/>
                <w:bCs/>
                <w:kern w:val="2"/>
                <w:sz w:val="24"/>
                <w:szCs w:val="22"/>
                <w:lang w:val="en-US" w:eastAsia="zh-CN" w:bidi="ar-SA"/>
              </w:rPr>
              <w:t>综上所述，本项目不属于涉及环境敏感区范围内。</w:t>
            </w:r>
            <w:r>
              <w:rPr>
                <w:rFonts w:ascii="Times New Roman" w:hAnsi="Times New Roman"/>
                <w:kern w:val="0"/>
                <w:sz w:val="24"/>
              </w:rPr>
              <w:t>属于《建设项目环境影响评价分类管理名录》（20</w:t>
            </w:r>
            <w:r>
              <w:rPr>
                <w:rFonts w:hint="eastAsia" w:ascii="Times New Roman" w:hAnsi="Times New Roman"/>
                <w:kern w:val="0"/>
                <w:sz w:val="24"/>
              </w:rPr>
              <w:t>21</w:t>
            </w:r>
            <w:r>
              <w:rPr>
                <w:rFonts w:ascii="Times New Roman" w:hAnsi="Times New Roman"/>
                <w:kern w:val="0"/>
                <w:sz w:val="24"/>
              </w:rPr>
              <w:t>版）中“</w:t>
            </w:r>
            <w:r>
              <w:rPr>
                <w:rFonts w:hint="eastAsia" w:ascii="Times New Roman" w:hAnsi="Times New Roman"/>
                <w:kern w:val="0"/>
                <w:sz w:val="24"/>
              </w:rPr>
              <w:t>五十二、交通运输业、管道运输业</w:t>
            </w:r>
            <w:r>
              <w:rPr>
                <w:rFonts w:ascii="Times New Roman" w:hAnsi="Times New Roman"/>
                <w:kern w:val="0"/>
                <w:sz w:val="24"/>
              </w:rPr>
              <w:t>一</w:t>
            </w:r>
            <w:r>
              <w:rPr>
                <w:rFonts w:hint="eastAsia" w:ascii="Times New Roman" w:hAnsi="Times New Roman"/>
                <w:kern w:val="0"/>
                <w:sz w:val="24"/>
              </w:rPr>
              <w:t>147</w:t>
            </w:r>
            <w:r>
              <w:rPr>
                <w:rFonts w:ascii="Times New Roman" w:hAnsi="Times New Roman"/>
                <w:kern w:val="0"/>
                <w:sz w:val="24"/>
              </w:rPr>
              <w:t>、</w:t>
            </w:r>
            <w:r>
              <w:rPr>
                <w:rFonts w:hint="eastAsia" w:ascii="Times New Roman" w:hAnsi="Times New Roman"/>
                <w:kern w:val="0"/>
                <w:sz w:val="24"/>
              </w:rPr>
              <w:t>原油、成品油、天然气管线（不含城市天然气管线；不含城镇燃气管线；不含企业厂区内管道）</w:t>
            </w:r>
            <w:r>
              <w:rPr>
                <w:rFonts w:ascii="Times New Roman" w:hAnsi="Times New Roman"/>
                <w:kern w:val="0"/>
                <w:sz w:val="24"/>
              </w:rPr>
              <w:t>一</w:t>
            </w:r>
            <w:r>
              <w:rPr>
                <w:rFonts w:hint="eastAsia" w:ascii="Times New Roman" w:hAnsi="Times New Roman"/>
                <w:kern w:val="0"/>
                <w:sz w:val="24"/>
              </w:rPr>
              <w:t>其他</w:t>
            </w:r>
            <w:r>
              <w:rPr>
                <w:rFonts w:ascii="Times New Roman" w:hAnsi="Times New Roman"/>
                <w:kern w:val="0"/>
                <w:sz w:val="24"/>
              </w:rPr>
              <w:t>”， 应编制环境影响报告表。</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本项目属于D4500燃气生产和供应业，对照《固定污染源排污许可分类管理名录》</w:t>
            </w:r>
          </w:p>
          <w:p>
            <w:pPr>
              <w:spacing w:line="360" w:lineRule="auto"/>
              <w:rPr>
                <w:rFonts w:ascii="Times New Roman" w:hAnsi="Times New Roman"/>
                <w:kern w:val="0"/>
                <w:sz w:val="24"/>
              </w:rPr>
            </w:pPr>
            <w:r>
              <w:rPr>
                <w:rFonts w:hint="eastAsia" w:ascii="Times New Roman" w:hAnsi="Times New Roman"/>
                <w:kern w:val="0"/>
                <w:sz w:val="24"/>
              </w:rPr>
              <w:t>（2019版），本项目属于《名录》第四十项“燃气生产和供应业45"中第97号-燃气生产和供应业451，属于排污许可中“登记管理”，承诺按时完成排污许可信息登记。</w:t>
            </w:r>
          </w:p>
          <w:p>
            <w:pPr>
              <w:spacing w:line="360" w:lineRule="auto"/>
              <w:ind w:firstLine="470" w:firstLineChars="196"/>
              <w:rPr>
                <w:rFonts w:ascii="Times New Roman" w:hAnsi="Times New Roman"/>
                <w:kern w:val="0"/>
                <w:sz w:val="24"/>
              </w:rPr>
            </w:pPr>
            <w:r>
              <w:rPr>
                <w:rFonts w:ascii="Times New Roman" w:hAnsi="Times New Roman"/>
                <w:kern w:val="0"/>
                <w:sz w:val="24"/>
              </w:rPr>
              <w:t>接受委托后，我公司组织有关技术人员进行现场踏勘、收集资料，依据国家有关法规文件和环境影响评价技术导则，编制该项目环境影响报告表。</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2、项目基本情况</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（1）建设单位</w:t>
            </w:r>
          </w:p>
          <w:p>
            <w:pPr>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安徽长江液化天然气有限责任公司</w:t>
            </w:r>
            <w:r>
              <w:rPr>
                <w:rFonts w:ascii="Times New Roman" w:hAnsi="Times New Roman"/>
                <w:color w:val="000000"/>
                <w:sz w:val="24"/>
                <w:szCs w:val="24"/>
              </w:rPr>
              <w:t>；</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（2）项目名称</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芜湖长江LNG内河接收（转运）站配套天然气外输管道高安-横山分输站段项目</w:t>
            </w:r>
            <w:r>
              <w:rPr>
                <w:rFonts w:ascii="Times New Roman" w:hAnsi="Times New Roman"/>
                <w:sz w:val="24"/>
                <w:szCs w:val="24"/>
              </w:rPr>
              <w:t>；</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（3）项目性质</w:t>
            </w:r>
          </w:p>
          <w:p>
            <w:pPr>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新建</w:t>
            </w:r>
            <w:r>
              <w:rPr>
                <w:rFonts w:ascii="Times New Roman" w:hAnsi="Times New Roman"/>
                <w:color w:val="000000"/>
                <w:sz w:val="24"/>
                <w:szCs w:val="24"/>
              </w:rPr>
              <w:t>；</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（4）建设地点及周围环境状况</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本项目</w:t>
            </w:r>
            <w:r>
              <w:rPr>
                <w:rFonts w:hint="eastAsia" w:ascii="Times New Roman" w:hAnsi="Times New Roman"/>
                <w:color w:val="000000"/>
                <w:sz w:val="24"/>
                <w:szCs w:val="24"/>
              </w:rPr>
              <w:t>建设高安输气首站及横山分输站两个站址，其中高安站位于</w:t>
            </w:r>
            <w:r>
              <w:rPr>
                <w:rFonts w:hint="eastAsia" w:ascii="Times New Roman" w:hAnsi="Times New Roman"/>
                <w:sz w:val="24"/>
                <w:szCs w:val="24"/>
              </w:rPr>
              <w:t>LNG内河接收站西南侧，LNG内河接收站位于</w:t>
            </w:r>
            <w:r>
              <w:rPr>
                <w:rFonts w:ascii="Times New Roman" w:hAnsi="Times New Roman" w:eastAsia="Times New Roman"/>
                <w:sz w:val="24"/>
                <w:lang w:val="zh-CN"/>
              </w:rPr>
              <w:t>芜湖市三山港区高安圩作业区及其后方陆域，具体位于芜湖长江大桥综合经济开发区疏港路以北，长江大堤以南，高安河路以东，中石化芜湖油库以西。</w:t>
            </w:r>
            <w:r>
              <w:rPr>
                <w:rFonts w:hint="eastAsia" w:ascii="Times New Roman" w:hAnsi="Times New Roman"/>
                <w:color w:val="000000"/>
                <w:sz w:val="24"/>
                <w:szCs w:val="24"/>
              </w:rPr>
              <w:t>横山分输站位于</w:t>
            </w:r>
            <w:r>
              <w:rPr>
                <w:rFonts w:hint="eastAsia" w:ascii="Times New Roman" w:hAnsi="Times New Roman"/>
                <w:kern w:val="0"/>
                <w:sz w:val="24"/>
              </w:rPr>
              <w:t>横山河路与裕民路交口西南侧</w:t>
            </w:r>
            <w:r>
              <w:rPr>
                <w:rFonts w:hint="eastAsia" w:ascii="Times New Roman" w:hAnsi="Times New Roman"/>
                <w:color w:val="000000"/>
                <w:sz w:val="24"/>
                <w:szCs w:val="24"/>
              </w:rPr>
              <w:t>，距离长江2.25km，东侧为忠铝旺业有限公司，其余三侧为空地。</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（5）项目总投资</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项目总投资</w:t>
            </w:r>
            <w:r>
              <w:rPr>
                <w:rFonts w:hint="eastAsia" w:ascii="Times New Roman" w:hAnsi="Times New Roman"/>
                <w:color w:val="000000"/>
                <w:sz w:val="24"/>
                <w:szCs w:val="24"/>
              </w:rPr>
              <w:t>9000</w:t>
            </w:r>
            <w:r>
              <w:rPr>
                <w:rFonts w:ascii="Times New Roman" w:hAnsi="Times New Roman"/>
                <w:color w:val="000000"/>
                <w:sz w:val="24"/>
                <w:szCs w:val="24"/>
              </w:rPr>
              <w:t>万元</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（6）建设规模及内容</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本项目的建设内容包括：天然气输气首站、分输站站址建设及配套管网工程建设两部分。</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新建站址：高安站内主要建设生产区，用地面积约2000m</w:t>
            </w:r>
            <w:r>
              <w:rPr>
                <w:rFonts w:hint="eastAsia" w:ascii="Times New Roman" w:hAnsi="Times New Roman"/>
                <w:kern w:val="0"/>
                <w:sz w:val="24"/>
                <w:vertAlign w:val="superscript"/>
              </w:rPr>
              <w:t>2</w:t>
            </w:r>
            <w:r>
              <w:rPr>
                <w:rFonts w:hint="eastAsia" w:ascii="Times New Roman" w:hAnsi="Times New Roman"/>
                <w:kern w:val="0"/>
                <w:sz w:val="24"/>
              </w:rPr>
              <w:t>，生产区主要包括工艺设备区、排污池等，站内设置贸易计量撬2套；站内设置调压撬2套，1用1备站内设置自用气撬1套；站内设置加热炉2套，一用一备；站内设置清管器发球筒2套。</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横山分输站主要建设生产区及辅助用房区，总用地面积1.0457公顷，生产区主要包括工艺设备区、排污池等，辅助用房区包括发电机房、配电间、控制室等，主要设备有：过滤分离器、计量撬、调压撬、自用气撬、清管器接收装置、气液联动球阀、放空立管等。工程主要设置过滤、加热、调压、分输等功能。</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管网工程：总长度为5.8km，起点为芜湖长江LNG接收（转运）站内的高安首站围墙外2m，管道出首站后随即穿越疏港路及路边明渠，而后沿疏港路路边明渠南侧向东敷设，顶管穿越巢黄高速后折向南沿该高速东侧绿化带敷设至横山河路和裕民路交叉口西南侧的横山分输站。</w:t>
            </w:r>
          </w:p>
          <w:p>
            <w:pPr>
              <w:spacing w:line="360" w:lineRule="auto"/>
              <w:ind w:firstLine="472" w:firstLineChars="196"/>
              <w:jc w:val="center"/>
              <w:rPr>
                <w:rFonts w:ascii="Times New Roman" w:hAnsi="Times New Roman"/>
                <w:b/>
                <w:bCs/>
                <w:kern w:val="0"/>
                <w:sz w:val="24"/>
              </w:rPr>
            </w:pPr>
          </w:p>
          <w:p>
            <w:pPr>
              <w:spacing w:line="360" w:lineRule="auto"/>
              <w:rPr>
                <w:rFonts w:ascii="Times New Roman" w:hAnsi="Times New Roman"/>
                <w:kern w:val="0"/>
                <w:sz w:val="24"/>
              </w:rPr>
            </w:pPr>
            <w:r>
              <w:drawing>
                <wp:inline distT="0" distB="0" distL="114300" distR="114300">
                  <wp:extent cx="5729605" cy="3463290"/>
                  <wp:effectExtent l="0" t="0" r="4445" b="381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7"/>
                          <a:stretch>
                            <a:fillRect/>
                          </a:stretch>
                        </pic:blipFill>
                        <pic:spPr>
                          <a:xfrm>
                            <a:off x="0" y="0"/>
                            <a:ext cx="5729605" cy="3463290"/>
                          </a:xfrm>
                          <a:prstGeom prst="rect">
                            <a:avLst/>
                          </a:prstGeom>
                          <a:noFill/>
                          <a:ln>
                            <a:noFill/>
                          </a:ln>
                        </pic:spPr>
                      </pic:pic>
                    </a:graphicData>
                  </a:graphic>
                </wp:inline>
              </w:drawing>
            </w:r>
          </w:p>
          <w:p>
            <w:pPr>
              <w:spacing w:line="360" w:lineRule="auto"/>
              <w:ind w:firstLine="472" w:firstLineChars="196"/>
              <w:jc w:val="center"/>
              <w:rPr>
                <w:rFonts w:ascii="Times New Roman" w:hAnsi="Times New Roman"/>
                <w:b/>
                <w:bCs/>
                <w:kern w:val="0"/>
                <w:sz w:val="24"/>
              </w:rPr>
            </w:pPr>
            <w:r>
              <w:rPr>
                <w:rFonts w:hint="eastAsia" w:ascii="Times New Roman" w:hAnsi="Times New Roman"/>
                <w:b/>
                <w:bCs/>
                <w:kern w:val="0"/>
                <w:sz w:val="24"/>
              </w:rPr>
              <w:t>图1-1线路走向图</w:t>
            </w:r>
          </w:p>
          <w:p>
            <w:pPr>
              <w:spacing w:line="360" w:lineRule="auto"/>
              <w:ind w:firstLine="200"/>
              <w:jc w:val="center"/>
              <w:rPr>
                <w:rFonts w:ascii="Times New Roman" w:hAnsi="Times New Roman"/>
                <w:b/>
                <w:sz w:val="24"/>
                <w:szCs w:val="24"/>
              </w:rPr>
            </w:pPr>
            <w:r>
              <w:rPr>
                <w:rFonts w:ascii="Times New Roman" w:hAnsi="Times New Roman"/>
                <w:b/>
                <w:sz w:val="24"/>
                <w:szCs w:val="24"/>
              </w:rPr>
              <w:t>表1-</w:t>
            </w:r>
            <w:r>
              <w:rPr>
                <w:rFonts w:hint="eastAsia" w:ascii="Times New Roman" w:hAnsi="Times New Roman"/>
                <w:b/>
                <w:sz w:val="24"/>
                <w:szCs w:val="24"/>
              </w:rPr>
              <w:t>1</w:t>
            </w:r>
            <w:r>
              <w:rPr>
                <w:rFonts w:ascii="Times New Roman" w:hAnsi="Times New Roman"/>
                <w:b/>
                <w:sz w:val="24"/>
                <w:szCs w:val="24"/>
              </w:rPr>
              <w:t xml:space="preserve">  项目建设组成一览表</w:t>
            </w:r>
          </w:p>
          <w:tbl>
            <w:tblPr>
              <w:tblStyle w:val="3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194"/>
              <w:gridCol w:w="5"/>
              <w:gridCol w:w="1358"/>
              <w:gridCol w:w="1153"/>
              <w:gridCol w:w="132"/>
              <w:gridCol w:w="2126"/>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Align w:val="center"/>
                </w:tcPr>
                <w:p>
                  <w:pPr>
                    <w:spacing w:line="240" w:lineRule="atLeast"/>
                    <w:jc w:val="center"/>
                    <w:rPr>
                      <w:rFonts w:ascii="Times New Roman" w:hAnsi="Times New Roman"/>
                      <w:szCs w:val="21"/>
                    </w:rPr>
                  </w:pPr>
                  <w:r>
                    <w:rPr>
                      <w:rFonts w:ascii="Times New Roman" w:hAnsi="Times New Roman"/>
                      <w:szCs w:val="21"/>
                    </w:rPr>
                    <w:t>工程名称</w:t>
                  </w:r>
                </w:p>
              </w:tc>
              <w:tc>
                <w:tcPr>
                  <w:tcW w:w="2557" w:type="dxa"/>
                  <w:gridSpan w:val="3"/>
                  <w:vAlign w:val="center"/>
                </w:tcPr>
                <w:p>
                  <w:pPr>
                    <w:spacing w:line="240" w:lineRule="atLeast"/>
                    <w:jc w:val="center"/>
                    <w:rPr>
                      <w:rFonts w:ascii="Times New Roman" w:hAnsi="Times New Roman"/>
                      <w:szCs w:val="21"/>
                    </w:rPr>
                  </w:pPr>
                  <w:r>
                    <w:rPr>
                      <w:rFonts w:ascii="Times New Roman" w:hAnsi="Times New Roman"/>
                      <w:szCs w:val="21"/>
                    </w:rPr>
                    <w:t>单项工程名称</w:t>
                  </w:r>
                </w:p>
              </w:tc>
              <w:tc>
                <w:tcPr>
                  <w:tcW w:w="3411" w:type="dxa"/>
                  <w:gridSpan w:val="3"/>
                  <w:vAlign w:val="center"/>
                </w:tcPr>
                <w:p>
                  <w:pPr>
                    <w:spacing w:line="240" w:lineRule="atLeast"/>
                    <w:jc w:val="center"/>
                    <w:rPr>
                      <w:rFonts w:ascii="Times New Roman" w:hAnsi="Times New Roman"/>
                      <w:szCs w:val="21"/>
                    </w:rPr>
                  </w:pPr>
                  <w:r>
                    <w:rPr>
                      <w:rFonts w:ascii="Times New Roman" w:hAnsi="Times New Roman"/>
                      <w:szCs w:val="21"/>
                    </w:rPr>
                    <w:t>工程内容</w:t>
                  </w:r>
                </w:p>
              </w:tc>
              <w:tc>
                <w:tcPr>
                  <w:tcW w:w="1550" w:type="dxa"/>
                  <w:vAlign w:val="center"/>
                </w:tcPr>
                <w:p>
                  <w:pPr>
                    <w:spacing w:line="240" w:lineRule="atLeast"/>
                    <w:jc w:val="center"/>
                    <w:rPr>
                      <w:rFonts w:ascii="Times New Roman" w:hAnsi="Times New Roman"/>
                      <w:szCs w:val="21"/>
                    </w:rPr>
                  </w:pPr>
                  <w:r>
                    <w:rPr>
                      <w:rFonts w:ascii="Times New Roman" w:hAnsi="Times New Roman"/>
                      <w:szCs w:val="21"/>
                    </w:rPr>
                    <w:t>工程规模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restart"/>
                  <w:vAlign w:val="center"/>
                </w:tcPr>
                <w:p>
                  <w:pPr>
                    <w:spacing w:line="240" w:lineRule="atLeast"/>
                    <w:jc w:val="center"/>
                    <w:rPr>
                      <w:rFonts w:ascii="Times New Roman" w:hAnsi="Times New Roman"/>
                      <w:szCs w:val="21"/>
                    </w:rPr>
                  </w:pPr>
                  <w:r>
                    <w:rPr>
                      <w:rFonts w:ascii="Times New Roman" w:hAnsi="Times New Roman"/>
                      <w:szCs w:val="21"/>
                    </w:rPr>
                    <w:t>主体工程</w:t>
                  </w:r>
                </w:p>
              </w:tc>
              <w:tc>
                <w:tcPr>
                  <w:tcW w:w="2557" w:type="dxa"/>
                  <w:gridSpan w:val="3"/>
                  <w:vMerge w:val="restart"/>
                  <w:vAlign w:val="center"/>
                </w:tcPr>
                <w:p>
                  <w:pPr>
                    <w:spacing w:line="240" w:lineRule="atLeast"/>
                    <w:jc w:val="center"/>
                    <w:rPr>
                      <w:rFonts w:ascii="Times New Roman" w:hAnsi="Times New Roman"/>
                      <w:szCs w:val="21"/>
                    </w:rPr>
                  </w:pPr>
                  <w:r>
                    <w:rPr>
                      <w:rFonts w:hint="eastAsia" w:ascii="Times New Roman" w:hAnsi="Times New Roman"/>
                      <w:szCs w:val="21"/>
                    </w:rPr>
                    <w:t>站场工程</w:t>
                  </w:r>
                </w:p>
              </w:tc>
              <w:tc>
                <w:tcPr>
                  <w:tcW w:w="3411" w:type="dxa"/>
                  <w:gridSpan w:val="3"/>
                  <w:vAlign w:val="center"/>
                </w:tcPr>
                <w:p>
                  <w:pPr>
                    <w:spacing w:line="240" w:lineRule="atLeast"/>
                    <w:rPr>
                      <w:rFonts w:ascii="Times New Roman" w:hAnsi="Times New Roman"/>
                      <w:szCs w:val="21"/>
                    </w:rPr>
                  </w:pPr>
                  <w:r>
                    <w:rPr>
                      <w:rFonts w:ascii="Times New Roman" w:hAnsi="Times New Roman"/>
                      <w:szCs w:val="21"/>
                    </w:rPr>
                    <w:t>高安站内主要建设生产区，生产区主要包括工艺设备区、排污池等，站内设置贸易计量撬2套；站内设置调压撬2套，1用1备站内设置自用气撬1套；站内设置加热炉2套，一用一备；站内设置清管器发球筒2套。</w:t>
                  </w:r>
                </w:p>
              </w:tc>
              <w:tc>
                <w:tcPr>
                  <w:tcW w:w="1550" w:type="dxa"/>
                  <w:vAlign w:val="center"/>
                </w:tcPr>
                <w:p>
                  <w:pPr>
                    <w:spacing w:line="240" w:lineRule="atLeast"/>
                    <w:jc w:val="center"/>
                    <w:rPr>
                      <w:rFonts w:ascii="Times New Roman" w:hAnsi="Times New Roman"/>
                      <w:szCs w:val="21"/>
                    </w:rPr>
                  </w:pPr>
                  <w:r>
                    <w:rPr>
                      <w:rFonts w:ascii="Times New Roman" w:hAnsi="Times New Roman"/>
                      <w:szCs w:val="21"/>
                    </w:rPr>
                    <w:t>用地面积约2000m</w:t>
                  </w:r>
                  <w:r>
                    <w:rPr>
                      <w:rFonts w:ascii="Times New Roman" w:hAnsi="Times New Roman"/>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vAlign w:val="center"/>
                </w:tcPr>
                <w:p>
                  <w:pPr>
                    <w:spacing w:line="240" w:lineRule="atLeast"/>
                    <w:jc w:val="center"/>
                    <w:rPr>
                      <w:rFonts w:ascii="Times New Roman" w:hAnsi="Times New Roman"/>
                      <w:szCs w:val="21"/>
                    </w:rPr>
                  </w:pPr>
                </w:p>
              </w:tc>
              <w:tc>
                <w:tcPr>
                  <w:tcW w:w="2557" w:type="dxa"/>
                  <w:gridSpan w:val="3"/>
                  <w:vMerge w:val="continue"/>
                  <w:vAlign w:val="center"/>
                </w:tcPr>
                <w:p>
                  <w:pPr>
                    <w:spacing w:line="240" w:lineRule="atLeast"/>
                    <w:jc w:val="center"/>
                    <w:rPr>
                      <w:rFonts w:ascii="Times New Roman" w:hAnsi="Times New Roman"/>
                      <w:szCs w:val="21"/>
                    </w:rPr>
                  </w:pPr>
                </w:p>
              </w:tc>
              <w:tc>
                <w:tcPr>
                  <w:tcW w:w="3411" w:type="dxa"/>
                  <w:gridSpan w:val="3"/>
                  <w:vAlign w:val="center"/>
                </w:tcPr>
                <w:p>
                  <w:pPr>
                    <w:spacing w:line="240" w:lineRule="atLeast"/>
                    <w:rPr>
                      <w:rFonts w:ascii="Times New Roman" w:hAnsi="Times New Roman"/>
                      <w:szCs w:val="21"/>
                    </w:rPr>
                  </w:pPr>
                  <w:r>
                    <w:rPr>
                      <w:rFonts w:ascii="Times New Roman" w:hAnsi="Times New Roman"/>
                      <w:szCs w:val="21"/>
                    </w:rPr>
                    <w:t>横山分输站主要建设生产区及辅助用房区，生产区主要包括工艺设备区、排污池等，辅助用房区包括发电机房、配电间、控制室等，主要设备有：过滤分离器、计量撬、调压撬、自用气撬、清管器接收装置、气液联动球阀、放空立管等。工程主要设置过滤、加热、调压、分输等功能</w:t>
                  </w:r>
                </w:p>
              </w:tc>
              <w:tc>
                <w:tcPr>
                  <w:tcW w:w="1550" w:type="dxa"/>
                  <w:vAlign w:val="center"/>
                </w:tcPr>
                <w:p>
                  <w:pPr>
                    <w:spacing w:line="240" w:lineRule="atLeast"/>
                    <w:jc w:val="center"/>
                    <w:rPr>
                      <w:rFonts w:ascii="Times New Roman" w:hAnsi="Times New Roman"/>
                      <w:szCs w:val="21"/>
                    </w:rPr>
                  </w:pPr>
                  <w:r>
                    <w:rPr>
                      <w:rFonts w:ascii="Times New Roman" w:hAnsi="Times New Roman"/>
                      <w:szCs w:val="21"/>
                    </w:rPr>
                    <w:t>总用地面积10457</w:t>
                  </w:r>
                  <w:r>
                    <w:rPr>
                      <w:rFonts w:hint="eastAsia" w:ascii="Times New Roman" w:hAnsi="Times New Roman"/>
                      <w:szCs w:val="21"/>
                    </w:rPr>
                    <w:t>m</w:t>
                  </w:r>
                  <w:r>
                    <w:rPr>
                      <w:rFonts w:hint="eastAsia" w:ascii="Times New Roman" w:hAnsi="Times New Roman"/>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vAlign w:val="center"/>
                </w:tcPr>
                <w:p>
                  <w:pPr>
                    <w:spacing w:line="240" w:lineRule="atLeast"/>
                    <w:jc w:val="center"/>
                    <w:rPr>
                      <w:rFonts w:ascii="Times New Roman" w:hAnsi="Times New Roman"/>
                      <w:szCs w:val="21"/>
                    </w:rPr>
                  </w:pPr>
                </w:p>
              </w:tc>
              <w:tc>
                <w:tcPr>
                  <w:tcW w:w="2557" w:type="dxa"/>
                  <w:gridSpan w:val="3"/>
                  <w:vAlign w:val="center"/>
                </w:tcPr>
                <w:p>
                  <w:pPr>
                    <w:spacing w:line="240" w:lineRule="atLeast"/>
                    <w:jc w:val="center"/>
                    <w:rPr>
                      <w:rFonts w:ascii="Times New Roman" w:hAnsi="Times New Roman"/>
                      <w:szCs w:val="21"/>
                    </w:rPr>
                  </w:pPr>
                  <w:r>
                    <w:rPr>
                      <w:rFonts w:hint="eastAsia" w:ascii="Times New Roman" w:hAnsi="Times New Roman"/>
                      <w:szCs w:val="21"/>
                    </w:rPr>
                    <w:t>管道工程</w:t>
                  </w:r>
                </w:p>
              </w:tc>
              <w:tc>
                <w:tcPr>
                  <w:tcW w:w="3411" w:type="dxa"/>
                  <w:gridSpan w:val="3"/>
                  <w:vAlign w:val="center"/>
                </w:tcPr>
                <w:p>
                  <w:pPr>
                    <w:spacing w:line="240" w:lineRule="atLeast"/>
                    <w:rPr>
                      <w:rFonts w:ascii="Times New Roman" w:hAnsi="Times New Roman"/>
                      <w:szCs w:val="21"/>
                    </w:rPr>
                  </w:pPr>
                  <w:r>
                    <w:rPr>
                      <w:rFonts w:hint="eastAsia" w:ascii="Times New Roman" w:hAnsi="Times New Roman"/>
                      <w:szCs w:val="21"/>
                    </w:rPr>
                    <w:t>管道</w:t>
                  </w:r>
                  <w:r>
                    <w:rPr>
                      <w:rFonts w:ascii="Times New Roman" w:hAnsi="Times New Roman"/>
                      <w:szCs w:val="21"/>
                    </w:rPr>
                    <w:t>管径DN400，压力4.0MPa，供气量为4.48×108Nm</w:t>
                  </w:r>
                  <w:r>
                    <w:rPr>
                      <w:rFonts w:ascii="Times New Roman" w:hAnsi="Times New Roman"/>
                      <w:szCs w:val="21"/>
                      <w:vertAlign w:val="superscript"/>
                    </w:rPr>
                    <w:t>3</w:t>
                  </w:r>
                  <w:r>
                    <w:rPr>
                      <w:rFonts w:ascii="Times New Roman" w:hAnsi="Times New Roman"/>
                      <w:szCs w:val="21"/>
                    </w:rPr>
                    <w:t>/a</w:t>
                  </w:r>
                  <w:r>
                    <w:rPr>
                      <w:rFonts w:hint="eastAsia" w:ascii="Times New Roman" w:hAnsi="Times New Roman"/>
                      <w:szCs w:val="21"/>
                    </w:rPr>
                    <w:t>，</w:t>
                  </w:r>
                  <w:r>
                    <w:rPr>
                      <w:rFonts w:ascii="Times New Roman" w:hAnsi="Times New Roman"/>
                      <w:szCs w:val="21"/>
                    </w:rPr>
                    <w:t>高安首站围墙外2m，管道出首站后随即穿越疏港路及路边明渠，而后沿疏港路路边明渠南侧向东敷设，顶管穿越巢黄高速后折向南沿该高速东侧绿化带敷设至横山河路和裕民路交叉口西南侧的横山分输站。</w:t>
                  </w:r>
                </w:p>
              </w:tc>
              <w:tc>
                <w:tcPr>
                  <w:tcW w:w="1550" w:type="dxa"/>
                  <w:vAlign w:val="center"/>
                </w:tcPr>
                <w:p>
                  <w:pPr>
                    <w:spacing w:line="240" w:lineRule="atLeast"/>
                    <w:jc w:val="center"/>
                    <w:rPr>
                      <w:rFonts w:ascii="Times New Roman" w:hAnsi="Times New Roman"/>
                      <w:szCs w:val="21"/>
                    </w:rPr>
                  </w:pPr>
                  <w:r>
                    <w:rPr>
                      <w:rFonts w:ascii="Times New Roman" w:hAnsi="Times New Roman"/>
                      <w:szCs w:val="21"/>
                    </w:rPr>
                    <w:t>总长度为5.8km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restart"/>
                  <w:vAlign w:val="center"/>
                </w:tcPr>
                <w:p>
                  <w:pPr>
                    <w:spacing w:line="240" w:lineRule="atLeast"/>
                    <w:jc w:val="center"/>
                    <w:rPr>
                      <w:rFonts w:ascii="Times New Roman" w:hAnsi="Times New Roman"/>
                      <w:szCs w:val="21"/>
                    </w:rPr>
                  </w:pPr>
                  <w:r>
                    <w:rPr>
                      <w:rFonts w:ascii="Times New Roman" w:hAnsi="Times New Roman"/>
                      <w:szCs w:val="21"/>
                    </w:rPr>
                    <w:t>公用</w:t>
                  </w:r>
                </w:p>
                <w:p>
                  <w:pPr>
                    <w:spacing w:line="240" w:lineRule="atLeast"/>
                    <w:jc w:val="center"/>
                    <w:rPr>
                      <w:rFonts w:ascii="Times New Roman" w:hAnsi="Times New Roman"/>
                      <w:szCs w:val="21"/>
                    </w:rPr>
                  </w:pPr>
                  <w:r>
                    <w:rPr>
                      <w:rFonts w:ascii="Times New Roman" w:hAnsi="Times New Roman"/>
                      <w:szCs w:val="21"/>
                    </w:rPr>
                    <w:t>工程</w:t>
                  </w:r>
                </w:p>
              </w:tc>
              <w:tc>
                <w:tcPr>
                  <w:tcW w:w="2557" w:type="dxa"/>
                  <w:gridSpan w:val="3"/>
                  <w:vAlign w:val="center"/>
                </w:tcPr>
                <w:p>
                  <w:pPr>
                    <w:spacing w:line="240" w:lineRule="atLeast"/>
                    <w:jc w:val="center"/>
                    <w:rPr>
                      <w:rFonts w:ascii="Times New Roman" w:hAnsi="Times New Roman"/>
                      <w:szCs w:val="21"/>
                    </w:rPr>
                  </w:pPr>
                  <w:r>
                    <w:rPr>
                      <w:rFonts w:ascii="Times New Roman" w:hAnsi="Times New Roman"/>
                      <w:szCs w:val="21"/>
                    </w:rPr>
                    <w:t>给水系统</w:t>
                  </w:r>
                </w:p>
              </w:tc>
              <w:tc>
                <w:tcPr>
                  <w:tcW w:w="4961" w:type="dxa"/>
                  <w:gridSpan w:val="4"/>
                  <w:vAlign w:val="center"/>
                </w:tcPr>
                <w:p>
                  <w:pPr>
                    <w:spacing w:line="240" w:lineRule="atLeast"/>
                    <w:jc w:val="center"/>
                    <w:rPr>
                      <w:rFonts w:ascii="Times New Roman" w:hAnsi="Times New Roman"/>
                      <w:szCs w:val="21"/>
                    </w:rPr>
                  </w:pPr>
                  <w:r>
                    <w:rPr>
                      <w:rFonts w:hint="eastAsia" w:ascii="Times New Roman" w:hAnsi="Times New Roman"/>
                      <w:szCs w:val="21"/>
                    </w:rPr>
                    <w:t>用水包括站场</w:t>
                  </w:r>
                  <w:r>
                    <w:rPr>
                      <w:rFonts w:ascii="Times New Roman" w:hAnsi="Times New Roman"/>
                      <w:szCs w:val="21"/>
                    </w:rPr>
                    <w:t>用水</w:t>
                  </w:r>
                  <w:r>
                    <w:rPr>
                      <w:rFonts w:hint="eastAsia" w:ascii="Times New Roman" w:hAnsi="Times New Roman"/>
                      <w:szCs w:val="21"/>
                    </w:rPr>
                    <w:t>主要来自工作人员生活用水，以及施工期施工用水及施工人员生活用水，均</w:t>
                  </w:r>
                  <w:r>
                    <w:rPr>
                      <w:rFonts w:ascii="Times New Roman" w:hAnsi="Times New Roman"/>
                      <w:szCs w:val="21"/>
                    </w:rPr>
                    <w:t>由市政自来水提供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vAlign w:val="center"/>
                </w:tcPr>
                <w:p>
                  <w:pPr>
                    <w:spacing w:line="240" w:lineRule="atLeast"/>
                    <w:jc w:val="center"/>
                    <w:rPr>
                      <w:rFonts w:ascii="Times New Roman" w:hAnsi="Times New Roman"/>
                      <w:szCs w:val="21"/>
                    </w:rPr>
                  </w:pPr>
                </w:p>
              </w:tc>
              <w:tc>
                <w:tcPr>
                  <w:tcW w:w="2557" w:type="dxa"/>
                  <w:gridSpan w:val="3"/>
                  <w:vAlign w:val="center"/>
                </w:tcPr>
                <w:p>
                  <w:pPr>
                    <w:spacing w:line="240" w:lineRule="atLeast"/>
                    <w:jc w:val="center"/>
                    <w:rPr>
                      <w:rFonts w:ascii="Times New Roman" w:hAnsi="Times New Roman"/>
                      <w:szCs w:val="21"/>
                    </w:rPr>
                  </w:pPr>
                  <w:r>
                    <w:rPr>
                      <w:rFonts w:ascii="Times New Roman" w:hAnsi="Times New Roman"/>
                      <w:szCs w:val="21"/>
                    </w:rPr>
                    <w:t>排水系统</w:t>
                  </w:r>
                </w:p>
              </w:tc>
              <w:tc>
                <w:tcPr>
                  <w:tcW w:w="4961" w:type="dxa"/>
                  <w:gridSpan w:val="4"/>
                  <w:vAlign w:val="center"/>
                </w:tcPr>
                <w:p>
                  <w:pPr>
                    <w:spacing w:line="240" w:lineRule="atLeast"/>
                    <w:jc w:val="center"/>
                    <w:rPr>
                      <w:rFonts w:ascii="Times New Roman" w:hAnsi="Times New Roman"/>
                      <w:szCs w:val="21"/>
                    </w:rPr>
                  </w:pPr>
                  <w:r>
                    <w:rPr>
                      <w:rFonts w:hint="eastAsia" w:ascii="Times New Roman" w:hAnsi="Times New Roman"/>
                      <w:szCs w:val="21"/>
                    </w:rPr>
                    <w:t>站场</w:t>
                  </w:r>
                  <w:r>
                    <w:rPr>
                      <w:rFonts w:ascii="Times New Roman" w:hAnsi="Times New Roman"/>
                      <w:szCs w:val="21"/>
                    </w:rPr>
                    <w:t>生活污水经化粪池处置满足《污水综合排放标准》（GB8978-1996）表4中的三级标准，其中氨氮参照《污水排入城镇下水道水质标准》（GB/T31962-2015中的标准，排放至</w:t>
                  </w:r>
                  <w:r>
                    <w:rPr>
                      <w:rFonts w:hint="eastAsia" w:ascii="Times New Roman" w:hAnsi="Times New Roman"/>
                      <w:szCs w:val="21"/>
                    </w:rPr>
                    <w:t>芜湖大桥综合经济开发区污水处理厂</w:t>
                  </w:r>
                  <w:r>
                    <w:rPr>
                      <w:rFonts w:ascii="Times New Roman" w:hAnsi="Times New Roman"/>
                      <w:szCs w:val="21"/>
                    </w:rPr>
                    <w:t>处置，尾水排放满足《城镇污水处理厂污染物排放标准》（GB18918-2002）一级标准中 A 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2557" w:type="dxa"/>
                  <w:gridSpan w:val="3"/>
                  <w:vAlign w:val="center"/>
                </w:tcPr>
                <w:p>
                  <w:pPr>
                    <w:spacing w:line="240" w:lineRule="atLeast"/>
                    <w:jc w:val="center"/>
                    <w:rPr>
                      <w:rFonts w:ascii="Times New Roman" w:hAnsi="Times New Roman"/>
                      <w:szCs w:val="21"/>
                    </w:rPr>
                  </w:pPr>
                  <w:r>
                    <w:rPr>
                      <w:rFonts w:ascii="Times New Roman" w:hAnsi="Times New Roman"/>
                      <w:szCs w:val="21"/>
                    </w:rPr>
                    <w:t>供电系统</w:t>
                  </w:r>
                </w:p>
              </w:tc>
              <w:tc>
                <w:tcPr>
                  <w:tcW w:w="4961" w:type="dxa"/>
                  <w:gridSpan w:val="4"/>
                  <w:vAlign w:val="center"/>
                </w:tcPr>
                <w:p>
                  <w:pPr>
                    <w:spacing w:line="240" w:lineRule="atLeast"/>
                    <w:jc w:val="center"/>
                    <w:rPr>
                      <w:rFonts w:ascii="Times New Roman" w:hAnsi="Times New Roman"/>
                      <w:szCs w:val="21"/>
                    </w:rPr>
                  </w:pPr>
                  <w:r>
                    <w:rPr>
                      <w:rFonts w:ascii="Times New Roman" w:hAnsi="Times New Roman"/>
                      <w:szCs w:val="21"/>
                    </w:rPr>
                    <w:t>由市政电网供给，工程用电量为</w:t>
                  </w:r>
                  <w:r>
                    <w:rPr>
                      <w:rFonts w:hint="eastAsia" w:ascii="Times New Roman" w:hAnsi="Times New Roman"/>
                      <w:szCs w:val="21"/>
                    </w:rPr>
                    <w:t>10</w:t>
                  </w:r>
                  <w:r>
                    <w:rPr>
                      <w:rFonts w:ascii="Times New Roman" w:hAnsi="Times New Roman"/>
                      <w:szCs w:val="21"/>
                    </w:rPr>
                    <w:t>万kwh/a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restart"/>
                  <w:vAlign w:val="center"/>
                </w:tcPr>
                <w:p>
                  <w:pPr>
                    <w:spacing w:line="240" w:lineRule="atLeast"/>
                    <w:jc w:val="center"/>
                    <w:rPr>
                      <w:rFonts w:ascii="Times New Roman" w:hAnsi="Times New Roman"/>
                      <w:szCs w:val="21"/>
                    </w:rPr>
                  </w:pPr>
                  <w:r>
                    <w:rPr>
                      <w:rFonts w:ascii="Times New Roman" w:hAnsi="Times New Roman"/>
                      <w:szCs w:val="21"/>
                    </w:rPr>
                    <w:t>环保</w:t>
                  </w:r>
                </w:p>
                <w:p>
                  <w:pPr>
                    <w:spacing w:line="240" w:lineRule="atLeast"/>
                    <w:jc w:val="center"/>
                    <w:rPr>
                      <w:rFonts w:ascii="Times New Roman" w:hAnsi="Times New Roman"/>
                      <w:szCs w:val="21"/>
                    </w:rPr>
                  </w:pPr>
                  <w:r>
                    <w:rPr>
                      <w:rFonts w:ascii="Times New Roman" w:hAnsi="Times New Roman"/>
                      <w:szCs w:val="21"/>
                    </w:rPr>
                    <w:t>工程</w:t>
                  </w:r>
                </w:p>
              </w:tc>
              <w:tc>
                <w:tcPr>
                  <w:tcW w:w="1194" w:type="dxa"/>
                  <w:vMerge w:val="restart"/>
                  <w:vAlign w:val="center"/>
                </w:tcPr>
                <w:p>
                  <w:pPr>
                    <w:spacing w:line="240" w:lineRule="atLeast"/>
                    <w:jc w:val="center"/>
                    <w:rPr>
                      <w:rFonts w:ascii="Times New Roman" w:hAnsi="Times New Roman"/>
                      <w:szCs w:val="21"/>
                    </w:rPr>
                  </w:pPr>
                  <w:r>
                    <w:rPr>
                      <w:rFonts w:ascii="Times New Roman" w:hAnsi="Times New Roman"/>
                      <w:szCs w:val="21"/>
                    </w:rPr>
                    <w:t>废气处理</w:t>
                  </w:r>
                </w:p>
              </w:tc>
              <w:tc>
                <w:tcPr>
                  <w:tcW w:w="1363" w:type="dxa"/>
                  <w:gridSpan w:val="2"/>
                  <w:vMerge w:val="restart"/>
                  <w:vAlign w:val="center"/>
                </w:tcPr>
                <w:p>
                  <w:pPr>
                    <w:jc w:val="center"/>
                    <w:rPr>
                      <w:rFonts w:hint="eastAsia" w:ascii="Times New Roman" w:hAnsi="Times New Roman" w:eastAsia="宋体"/>
                      <w:szCs w:val="21"/>
                      <w:lang w:eastAsia="zh-CN"/>
                    </w:rPr>
                  </w:pPr>
                  <w:r>
                    <w:rPr>
                      <w:rFonts w:hint="eastAsia" w:ascii="Times New Roman" w:hAnsi="Times New Roman"/>
                      <w:szCs w:val="21"/>
                      <w:lang w:val="en-US" w:eastAsia="zh-CN"/>
                    </w:rPr>
                    <w:t>施工期</w:t>
                  </w:r>
                </w:p>
              </w:tc>
              <w:tc>
                <w:tcPr>
                  <w:tcW w:w="1285" w:type="dxa"/>
                  <w:gridSpan w:val="2"/>
                  <w:vAlign w:val="center"/>
                </w:tcPr>
                <w:p>
                  <w:pPr>
                    <w:pStyle w:val="102"/>
                    <w:rPr>
                      <w:rFonts w:ascii="Times New Roman" w:hAnsi="Times New Roman" w:cs="Times New Roman"/>
                      <w:szCs w:val="21"/>
                    </w:rPr>
                  </w:pPr>
                  <w:r>
                    <w:rPr>
                      <w:rFonts w:hint="eastAsia" w:ascii="Times New Roman" w:hAnsi="Times New Roman" w:eastAsia="宋体" w:cs="Times New Roman"/>
                      <w:color w:val="000000"/>
                      <w:kern w:val="2"/>
                      <w:sz w:val="21"/>
                      <w:szCs w:val="21"/>
                      <w:lang w:val="en-US" w:eastAsia="zh-CN" w:bidi="ar-SA"/>
                    </w:rPr>
                    <w:t>站场</w:t>
                  </w:r>
                </w:p>
              </w:tc>
              <w:tc>
                <w:tcPr>
                  <w:tcW w:w="3676" w:type="dxa"/>
                  <w:gridSpan w:val="2"/>
                  <w:vAlign w:val="center"/>
                </w:tcPr>
                <w:p>
                  <w:pPr>
                    <w:pStyle w:val="102"/>
                    <w:jc w:val="both"/>
                    <w:rPr>
                      <w:rFonts w:ascii="Times New Roman" w:hAnsi="Times New Roman" w:cs="Times New Roman"/>
                      <w:szCs w:val="21"/>
                    </w:rPr>
                  </w:pPr>
                  <w:r>
                    <w:rPr>
                      <w:rFonts w:hint="eastAsia" w:ascii="Times New Roman" w:hAnsi="Times New Roman" w:eastAsia="宋体" w:cs="Times New Roman"/>
                      <w:color w:val="000000"/>
                      <w:kern w:val="2"/>
                      <w:sz w:val="21"/>
                      <w:szCs w:val="21"/>
                      <w:lang w:val="en-US" w:eastAsia="zh-CN" w:bidi="ar-SA"/>
                    </w:rPr>
                    <w:t>施工场界设置屏障和围墙，材料运输及堆放时设蓬盖，施工场地保洁，施工场地洒水抑尘等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jc w:val="center"/>
                    <w:rPr>
                      <w:rFonts w:hint="eastAsia" w:ascii="Times New Roman" w:hAnsi="Times New Roman"/>
                      <w:szCs w:val="21"/>
                      <w:lang w:val="en-US" w:eastAsia="zh-CN"/>
                    </w:rPr>
                  </w:pPr>
                </w:p>
              </w:tc>
              <w:tc>
                <w:tcPr>
                  <w:tcW w:w="1285" w:type="dxa"/>
                  <w:gridSpan w:val="2"/>
                  <w:vAlign w:val="center"/>
                </w:tcPr>
                <w:p>
                  <w:pPr>
                    <w:pStyle w:val="102"/>
                    <w:rPr>
                      <w:rFonts w:ascii="Times New Roman" w:hAnsi="Times New Roman" w:cs="Times New Roman"/>
                      <w:color w:val="000000"/>
                      <w:szCs w:val="21"/>
                    </w:rPr>
                  </w:pPr>
                  <w:r>
                    <w:rPr>
                      <w:rFonts w:hint="eastAsia" w:ascii="Times New Roman" w:hAnsi="Times New Roman" w:eastAsia="宋体" w:cs="Times New Roman"/>
                      <w:color w:val="000000"/>
                      <w:kern w:val="2"/>
                      <w:sz w:val="21"/>
                      <w:szCs w:val="21"/>
                      <w:lang w:val="en-US" w:eastAsia="zh-CN" w:bidi="ar-SA"/>
                    </w:rPr>
                    <w:t>管线</w:t>
                  </w:r>
                </w:p>
              </w:tc>
              <w:tc>
                <w:tcPr>
                  <w:tcW w:w="3676" w:type="dxa"/>
                  <w:gridSpan w:val="2"/>
                  <w:vAlign w:val="center"/>
                </w:tcPr>
                <w:p>
                  <w:pPr>
                    <w:pStyle w:val="102"/>
                    <w:jc w:val="both"/>
                    <w:rPr>
                      <w:rFonts w:ascii="Times New Roman" w:hAnsi="Times New Roman" w:cs="Times New Roman"/>
                      <w:color w:val="000000"/>
                      <w:szCs w:val="21"/>
                    </w:rPr>
                  </w:pPr>
                  <w:r>
                    <w:rPr>
                      <w:rFonts w:hint="eastAsia" w:ascii="Times New Roman" w:hAnsi="Times New Roman" w:eastAsia="宋体" w:cs="Times New Roman"/>
                      <w:color w:val="000000"/>
                      <w:kern w:val="2"/>
                      <w:sz w:val="21"/>
                      <w:szCs w:val="21"/>
                      <w:lang w:val="en-US" w:eastAsia="zh-CN" w:bidi="ar-SA"/>
                    </w:rPr>
                    <w:t>施工场界设置屏障和围墙，材料运输及堆放时设蓬盖，施工现场道路硬化，施工场地保洁，施工场地洒水抑尘等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Align w:val="center"/>
                </w:tcPr>
                <w:p>
                  <w:pPr>
                    <w:jc w:val="center"/>
                    <w:rPr>
                      <w:rFonts w:hint="eastAsia" w:ascii="Times New Roman" w:hAnsi="Times New Roman" w:eastAsia="宋体"/>
                      <w:szCs w:val="21"/>
                      <w:lang w:val="en-US" w:eastAsia="zh-CN"/>
                    </w:rPr>
                  </w:pPr>
                  <w:r>
                    <w:rPr>
                      <w:rFonts w:hint="eastAsia" w:ascii="Times New Roman" w:hAnsi="Times New Roman"/>
                      <w:szCs w:val="21"/>
                      <w:lang w:val="en-US" w:eastAsia="zh-CN"/>
                    </w:rPr>
                    <w:t>营运期</w:t>
                  </w:r>
                </w:p>
              </w:tc>
              <w:tc>
                <w:tcPr>
                  <w:tcW w:w="4961" w:type="dxa"/>
                  <w:gridSpan w:val="4"/>
                  <w:vAlign w:val="center"/>
                </w:tcPr>
                <w:p>
                  <w:pPr>
                    <w:pStyle w:val="48"/>
                    <w:rPr>
                      <w:rFonts w:ascii="Times New Roman" w:hAnsi="Times New Roman" w:cs="Times New Roman"/>
                      <w:color w:val="000000"/>
                      <w:szCs w:val="21"/>
                    </w:rPr>
                  </w:pPr>
                  <w:r>
                    <w:rPr>
                      <w:rFonts w:hint="eastAsia" w:ascii="Times New Roman" w:hAnsi="Times New Roman" w:cs="Times New Roman"/>
                      <w:color w:val="000000"/>
                      <w:szCs w:val="21"/>
                      <w:lang w:val="en-US" w:eastAsia="zh-CN"/>
                    </w:rPr>
                    <w:t>检修废气设置放空管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restart"/>
                  <w:vAlign w:val="center"/>
                </w:tcPr>
                <w:p>
                  <w:pPr>
                    <w:spacing w:line="240" w:lineRule="atLeast"/>
                    <w:jc w:val="center"/>
                    <w:rPr>
                      <w:rFonts w:ascii="Times New Roman" w:hAnsi="Times New Roman"/>
                      <w:szCs w:val="21"/>
                    </w:rPr>
                  </w:pPr>
                  <w:r>
                    <w:rPr>
                      <w:rFonts w:ascii="Times New Roman" w:hAnsi="Times New Roman"/>
                      <w:szCs w:val="21"/>
                    </w:rPr>
                    <w:t>废水处理</w:t>
                  </w:r>
                </w:p>
              </w:tc>
              <w:tc>
                <w:tcPr>
                  <w:tcW w:w="1363" w:type="dxa"/>
                  <w:gridSpan w:val="2"/>
                  <w:vAlign w:val="center"/>
                </w:tcPr>
                <w:p>
                  <w:pPr>
                    <w:jc w:val="center"/>
                    <w:rPr>
                      <w:rFonts w:ascii="Times New Roman" w:hAnsi="Times New Roman"/>
                      <w:szCs w:val="21"/>
                    </w:rPr>
                  </w:pPr>
                  <w:r>
                    <w:rPr>
                      <w:rFonts w:hint="eastAsia" w:ascii="Times New Roman" w:hAnsi="Times New Roman"/>
                      <w:szCs w:val="21"/>
                      <w:lang w:val="en-US" w:eastAsia="zh-CN"/>
                    </w:rPr>
                    <w:t>营运期</w:t>
                  </w:r>
                </w:p>
              </w:tc>
              <w:tc>
                <w:tcPr>
                  <w:tcW w:w="4961" w:type="dxa"/>
                  <w:gridSpan w:val="4"/>
                  <w:vAlign w:val="center"/>
                </w:tcPr>
                <w:p>
                  <w:pPr>
                    <w:jc w:val="center"/>
                    <w:rPr>
                      <w:rFonts w:ascii="Times New Roman" w:hAnsi="Times New Roman"/>
                      <w:szCs w:val="21"/>
                    </w:rPr>
                  </w:pPr>
                  <w:r>
                    <w:rPr>
                      <w:rFonts w:ascii="Times New Roman" w:hAnsi="Times New Roman"/>
                      <w:color w:val="000000"/>
                      <w:szCs w:val="21"/>
                    </w:rPr>
                    <w:t>生活污水经隔油池、化粪池处置</w:t>
                  </w:r>
                  <w:r>
                    <w:rPr>
                      <w:rFonts w:hint="eastAsia" w:ascii="Times New Roman" w:hAnsi="Times New Roman"/>
                      <w:color w:val="000000"/>
                      <w:szCs w:val="21"/>
                      <w:lang w:eastAsia="zh-CN"/>
                    </w:rPr>
                    <w:t>，</w:t>
                  </w:r>
                  <w:r>
                    <w:rPr>
                      <w:rFonts w:hint="eastAsia" w:ascii="Times New Roman" w:hAnsi="Times New Roman" w:cs="Times New Roman"/>
                      <w:color w:val="000000"/>
                      <w:szCs w:val="21"/>
                      <w:lang w:val="en-US" w:eastAsia="zh-CN"/>
                    </w:rPr>
                    <w:t>清洗残夜排放至排污池，作为危废处置，不外排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restart"/>
                  <w:vAlign w:val="center"/>
                </w:tcPr>
                <w:p>
                  <w:pPr>
                    <w:jc w:val="center"/>
                    <w:rPr>
                      <w:rFonts w:ascii="Times New Roman" w:hAnsi="Times New Roman"/>
                      <w:szCs w:val="21"/>
                    </w:rPr>
                  </w:pPr>
                  <w:r>
                    <w:rPr>
                      <w:rFonts w:hint="eastAsia"/>
                      <w:bCs/>
                      <w:szCs w:val="21"/>
                      <w:lang w:val="en-US" w:eastAsia="zh-CN"/>
                    </w:rPr>
                    <w:t>施工期</w:t>
                  </w:r>
                </w:p>
              </w:tc>
              <w:tc>
                <w:tcPr>
                  <w:tcW w:w="1153" w:type="dxa"/>
                  <w:vAlign w:val="center"/>
                </w:tcPr>
                <w:p>
                  <w:pPr>
                    <w:pStyle w:val="102"/>
                    <w:rPr>
                      <w:rFonts w:ascii="Times New Roman" w:hAnsi="Times New Roman"/>
                      <w:szCs w:val="21"/>
                    </w:rPr>
                  </w:pPr>
                  <w:r>
                    <w:rPr>
                      <w:rFonts w:hint="eastAsia" w:ascii="Times New Roman" w:hAnsi="Times New Roman" w:eastAsia="宋体" w:cs="Times New Roman"/>
                      <w:color w:val="000000"/>
                      <w:kern w:val="2"/>
                      <w:sz w:val="21"/>
                      <w:szCs w:val="21"/>
                      <w:lang w:val="en-US" w:eastAsia="zh-CN" w:bidi="ar-SA"/>
                    </w:rPr>
                    <w:t>站场</w:t>
                  </w:r>
                </w:p>
              </w:tc>
              <w:tc>
                <w:tcPr>
                  <w:tcW w:w="3808" w:type="dxa"/>
                  <w:gridSpan w:val="3"/>
                  <w:vAlign w:val="center"/>
                </w:tcPr>
                <w:p>
                  <w:pPr>
                    <w:pStyle w:val="102"/>
                    <w:rPr>
                      <w:rFonts w:ascii="Times New Roman" w:hAnsi="Times New Roman"/>
                      <w:szCs w:val="21"/>
                    </w:rPr>
                  </w:pPr>
                  <w:r>
                    <w:rPr>
                      <w:rFonts w:hint="eastAsia" w:ascii="Times New Roman" w:hAnsi="Times New Roman" w:eastAsia="宋体" w:cs="Times New Roman"/>
                      <w:color w:val="000000"/>
                      <w:kern w:val="2"/>
                      <w:sz w:val="21"/>
                      <w:szCs w:val="21"/>
                      <w:lang w:val="en-US" w:eastAsia="zh-CN" w:bidi="ar-SA"/>
                    </w:rPr>
                    <w:t>施工场地设置沉淀池，材料堆场旁设沉淀池，施工废水经沉淀后回用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jc w:val="center"/>
                    <w:rPr>
                      <w:rFonts w:ascii="Times New Roman" w:hAnsi="Times New Roman"/>
                      <w:szCs w:val="21"/>
                    </w:rPr>
                  </w:pPr>
                </w:p>
              </w:tc>
              <w:tc>
                <w:tcPr>
                  <w:tcW w:w="1153" w:type="dxa"/>
                  <w:vMerge w:val="restart"/>
                  <w:vAlign w:val="center"/>
                </w:tcPr>
                <w:p>
                  <w:pPr>
                    <w:pStyle w:val="102"/>
                    <w:rPr>
                      <w:rFonts w:ascii="Times New Roman" w:hAnsi="Times New Roman"/>
                      <w:szCs w:val="21"/>
                    </w:rPr>
                  </w:pPr>
                  <w:r>
                    <w:rPr>
                      <w:rFonts w:hint="eastAsia" w:ascii="Times New Roman" w:hAnsi="Times New Roman" w:eastAsia="宋体" w:cs="Times New Roman"/>
                      <w:color w:val="000000"/>
                      <w:kern w:val="2"/>
                      <w:sz w:val="21"/>
                      <w:szCs w:val="21"/>
                      <w:lang w:val="en-US" w:eastAsia="zh-CN" w:bidi="ar-SA"/>
                    </w:rPr>
                    <w:t>管线</w:t>
                  </w:r>
                </w:p>
              </w:tc>
              <w:tc>
                <w:tcPr>
                  <w:tcW w:w="3808" w:type="dxa"/>
                  <w:gridSpan w:val="3"/>
                  <w:vAlign w:val="center"/>
                </w:tcPr>
                <w:p>
                  <w:pPr>
                    <w:pStyle w:val="102"/>
                    <w:rPr>
                      <w:rFonts w:ascii="Times New Roman" w:hAnsi="Times New Roman"/>
                      <w:szCs w:val="21"/>
                    </w:rPr>
                  </w:pPr>
                  <w:r>
                    <w:rPr>
                      <w:rFonts w:hint="eastAsia" w:ascii="Times New Roman" w:hAnsi="Times New Roman" w:eastAsia="宋体" w:cs="Times New Roman"/>
                      <w:color w:val="000000"/>
                      <w:kern w:val="2"/>
                      <w:sz w:val="21"/>
                      <w:szCs w:val="21"/>
                      <w:lang w:val="en-US" w:eastAsia="zh-CN" w:bidi="ar-SA"/>
                    </w:rPr>
                    <w:t>设置沉淀池，处理管道试压水；堆管场旁设置沉淀池，施工废水经沉淀后回用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jc w:val="center"/>
                    <w:rPr>
                      <w:rFonts w:ascii="Times New Roman" w:hAnsi="Times New Roman"/>
                      <w:szCs w:val="21"/>
                    </w:rPr>
                  </w:pPr>
                </w:p>
              </w:tc>
              <w:tc>
                <w:tcPr>
                  <w:tcW w:w="1153" w:type="dxa"/>
                  <w:vMerge w:val="continue"/>
                  <w:vAlign w:val="center"/>
                </w:tcPr>
                <w:p>
                  <w:pPr>
                    <w:pStyle w:val="102"/>
                    <w:rPr>
                      <w:rFonts w:hint="eastAsia"/>
                      <w:bCs/>
                      <w:szCs w:val="21"/>
                    </w:rPr>
                  </w:pPr>
                </w:p>
              </w:tc>
              <w:tc>
                <w:tcPr>
                  <w:tcW w:w="3808" w:type="dxa"/>
                  <w:gridSpan w:val="3"/>
                  <w:vAlign w:val="center"/>
                </w:tcPr>
                <w:p>
                  <w:pPr>
                    <w:pStyle w:val="102"/>
                    <w:rPr>
                      <w:rFonts w:hint="eastAsia"/>
                      <w:bCs/>
                      <w:szCs w:val="21"/>
                    </w:rPr>
                  </w:pPr>
                  <w:r>
                    <w:rPr>
                      <w:rFonts w:hint="eastAsia" w:ascii="Times New Roman" w:hAnsi="Times New Roman" w:eastAsia="宋体" w:cs="Times New Roman"/>
                      <w:color w:val="000000"/>
                      <w:kern w:val="2"/>
                      <w:sz w:val="21"/>
                      <w:szCs w:val="21"/>
                      <w:lang w:val="en-US" w:eastAsia="zh-CN" w:bidi="ar-SA"/>
                    </w:rPr>
                    <w:t>施工作业带设立截排水沟和沉淀池，雨水经处理后尽量回用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jc w:val="center"/>
                    <w:rPr>
                      <w:rFonts w:ascii="Times New Roman" w:hAnsi="Times New Roman"/>
                      <w:szCs w:val="21"/>
                    </w:rPr>
                  </w:pPr>
                </w:p>
              </w:tc>
              <w:tc>
                <w:tcPr>
                  <w:tcW w:w="1153" w:type="dxa"/>
                  <w:vMerge w:val="continue"/>
                  <w:vAlign w:val="center"/>
                </w:tcPr>
                <w:p>
                  <w:pPr>
                    <w:pStyle w:val="102"/>
                    <w:rPr>
                      <w:rFonts w:hint="eastAsia"/>
                      <w:bCs/>
                      <w:szCs w:val="21"/>
                    </w:rPr>
                  </w:pPr>
                </w:p>
              </w:tc>
              <w:tc>
                <w:tcPr>
                  <w:tcW w:w="3808" w:type="dxa"/>
                  <w:gridSpan w:val="3"/>
                  <w:vAlign w:val="center"/>
                </w:tcPr>
                <w:p>
                  <w:pPr>
                    <w:pStyle w:val="102"/>
                    <w:rPr>
                      <w:rFonts w:hint="eastAsia"/>
                      <w:bCs/>
                      <w:szCs w:val="21"/>
                    </w:rPr>
                  </w:pPr>
                  <w:r>
                    <w:rPr>
                      <w:rFonts w:hint="eastAsia" w:ascii="Times New Roman" w:hAnsi="Times New Roman" w:eastAsia="宋体" w:cs="Times New Roman"/>
                      <w:color w:val="000000"/>
                      <w:kern w:val="2"/>
                      <w:sz w:val="21"/>
                      <w:szCs w:val="21"/>
                      <w:lang w:val="en-US" w:eastAsia="zh-CN" w:bidi="ar-SA"/>
                    </w:rPr>
                    <w:t>采用定向钻方式穿越河流设置泥浆收集池，并配泥浆回收装置，废弃泥浆经沉淀后上清液收集进蓄水池，经处理后回用于道路抑尘洒水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9" w:type="dxa"/>
                  <w:gridSpan w:val="2"/>
                  <w:vMerge w:val="restart"/>
                  <w:vAlign w:val="center"/>
                </w:tcPr>
                <w:p>
                  <w:pPr>
                    <w:spacing w:line="240" w:lineRule="atLeast"/>
                    <w:jc w:val="center"/>
                    <w:rPr>
                      <w:rFonts w:ascii="Times New Roman" w:hAnsi="Times New Roman"/>
                      <w:szCs w:val="21"/>
                    </w:rPr>
                  </w:pPr>
                  <w:r>
                    <w:rPr>
                      <w:rFonts w:ascii="Times New Roman" w:hAnsi="Times New Roman"/>
                      <w:szCs w:val="21"/>
                    </w:rPr>
                    <w:t>噪声治理</w:t>
                  </w:r>
                </w:p>
              </w:tc>
              <w:tc>
                <w:tcPr>
                  <w:tcW w:w="1358" w:type="dxa"/>
                  <w:vAlign w:val="center"/>
                </w:tcPr>
                <w:p>
                  <w:pPr>
                    <w:spacing w:line="240" w:lineRule="atLeast"/>
                    <w:jc w:val="center"/>
                    <w:rPr>
                      <w:rFonts w:hint="eastAsia" w:ascii="Times New Roman" w:hAnsi="Times New Roman" w:eastAsia="宋体"/>
                      <w:szCs w:val="21"/>
                      <w:lang w:val="en-US" w:eastAsia="zh-CN"/>
                    </w:rPr>
                  </w:pPr>
                  <w:r>
                    <w:rPr>
                      <w:rFonts w:hint="eastAsia" w:ascii="Times New Roman" w:hAnsi="Times New Roman"/>
                      <w:szCs w:val="21"/>
                      <w:lang w:val="en-US" w:eastAsia="zh-CN"/>
                    </w:rPr>
                    <w:t>施工期</w:t>
                  </w:r>
                </w:p>
              </w:tc>
              <w:tc>
                <w:tcPr>
                  <w:tcW w:w="4961" w:type="dxa"/>
                  <w:gridSpan w:val="4"/>
                  <w:vAlign w:val="center"/>
                </w:tcPr>
                <w:p>
                  <w:pPr>
                    <w:spacing w:line="240" w:lineRule="atLeast"/>
                    <w:jc w:val="center"/>
                    <w:rPr>
                      <w:rFonts w:ascii="Times New Roman" w:hAnsi="Times New Roman"/>
                      <w:szCs w:val="21"/>
                    </w:rPr>
                  </w:pPr>
                  <w:r>
                    <w:rPr>
                      <w:rFonts w:hint="eastAsia" w:ascii="Times New Roman" w:hAnsi="Times New Roman"/>
                      <w:color w:val="000000"/>
                      <w:szCs w:val="21"/>
                    </w:rPr>
                    <w:t>施工期间要做好降噪措施，选用低噪设备并定期检修，采取合理的作业时间，</w:t>
                  </w:r>
                  <w:r>
                    <w:rPr>
                      <w:rFonts w:ascii="Times New Roman" w:hAnsi="Times New Roman"/>
                      <w:color w:val="000000"/>
                      <w:szCs w:val="21"/>
                    </w:rPr>
                    <w:t>优化施工场地位置，缩短运输路线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9" w:type="dxa"/>
                  <w:gridSpan w:val="2"/>
                  <w:vMerge w:val="continue"/>
                  <w:vAlign w:val="center"/>
                </w:tcPr>
                <w:p>
                  <w:pPr>
                    <w:spacing w:line="240" w:lineRule="atLeast"/>
                    <w:jc w:val="center"/>
                    <w:rPr>
                      <w:rFonts w:ascii="Times New Roman" w:hAnsi="Times New Roman"/>
                      <w:szCs w:val="21"/>
                    </w:rPr>
                  </w:pPr>
                </w:p>
              </w:tc>
              <w:tc>
                <w:tcPr>
                  <w:tcW w:w="1358" w:type="dxa"/>
                  <w:vAlign w:val="center"/>
                </w:tcPr>
                <w:p>
                  <w:pPr>
                    <w:spacing w:line="240" w:lineRule="atLeast"/>
                    <w:jc w:val="center"/>
                    <w:rPr>
                      <w:rFonts w:hint="default" w:ascii="Times New Roman" w:hAnsi="Times New Roman"/>
                      <w:szCs w:val="21"/>
                      <w:lang w:val="en-US" w:eastAsia="zh-CN"/>
                    </w:rPr>
                  </w:pPr>
                  <w:r>
                    <w:rPr>
                      <w:rFonts w:hint="eastAsia" w:ascii="Times New Roman" w:hAnsi="Times New Roman"/>
                      <w:szCs w:val="21"/>
                      <w:lang w:val="en-US" w:eastAsia="zh-CN"/>
                    </w:rPr>
                    <w:t>营运期</w:t>
                  </w:r>
                </w:p>
              </w:tc>
              <w:tc>
                <w:tcPr>
                  <w:tcW w:w="4961" w:type="dxa"/>
                  <w:gridSpan w:val="4"/>
                  <w:vAlign w:val="center"/>
                </w:tcPr>
                <w:p>
                  <w:pPr>
                    <w:spacing w:line="240" w:lineRule="atLeast"/>
                    <w:jc w:val="center"/>
                    <w:rPr>
                      <w:rFonts w:hint="eastAsia" w:ascii="Times New Roman" w:hAnsi="Times New Roman"/>
                      <w:color w:val="000000"/>
                      <w:szCs w:val="21"/>
                    </w:rPr>
                  </w:pPr>
                  <w:r>
                    <w:rPr>
                      <w:rFonts w:hint="default" w:ascii="Times New Roman" w:hAnsi="Times New Roman" w:cs="Times New Roman"/>
                      <w:szCs w:val="21"/>
                    </w:rPr>
                    <w:t>选取低噪音设备，设置减振垫减振基座，安装减振垫，隔声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restart"/>
                  <w:vAlign w:val="center"/>
                </w:tcPr>
                <w:p>
                  <w:pPr>
                    <w:spacing w:line="240" w:lineRule="atLeast"/>
                    <w:jc w:val="center"/>
                    <w:rPr>
                      <w:rFonts w:ascii="Times New Roman" w:hAnsi="Times New Roman"/>
                      <w:szCs w:val="21"/>
                    </w:rPr>
                  </w:pPr>
                  <w:r>
                    <w:rPr>
                      <w:rFonts w:ascii="Times New Roman" w:hAnsi="Times New Roman"/>
                      <w:szCs w:val="21"/>
                    </w:rPr>
                    <w:t>固废处理</w:t>
                  </w:r>
                </w:p>
              </w:tc>
              <w:tc>
                <w:tcPr>
                  <w:tcW w:w="1363" w:type="dxa"/>
                  <w:gridSpan w:val="2"/>
                  <w:vMerge w:val="restart"/>
                  <w:vAlign w:val="center"/>
                </w:tcPr>
                <w:p>
                  <w:pPr>
                    <w:pStyle w:val="105"/>
                    <w:spacing w:line="240" w:lineRule="atLeast"/>
                    <w:ind w:firstLine="0" w:firstLineChars="0"/>
                    <w:jc w:val="center"/>
                    <w:rPr>
                      <w:rFonts w:hint="eastAsia" w:ascii="Times New Roman" w:hAnsi="Times New Roman" w:eastAsia="宋体"/>
                      <w:szCs w:val="21"/>
                      <w:lang w:val="en-US" w:eastAsia="zh-CN"/>
                    </w:rPr>
                  </w:pPr>
                  <w:r>
                    <w:rPr>
                      <w:rFonts w:hint="eastAsia" w:ascii="Times New Roman" w:hAnsi="Times New Roman"/>
                      <w:szCs w:val="21"/>
                      <w:lang w:val="en-US" w:eastAsia="zh-CN"/>
                    </w:rPr>
                    <w:t>营运期</w:t>
                  </w:r>
                </w:p>
              </w:tc>
              <w:tc>
                <w:tcPr>
                  <w:tcW w:w="1153" w:type="dxa"/>
                  <w:vAlign w:val="center"/>
                </w:tcPr>
                <w:p>
                  <w:pPr>
                    <w:pStyle w:val="105"/>
                    <w:spacing w:line="240" w:lineRule="atLeast"/>
                    <w:ind w:firstLine="0" w:firstLineChars="0"/>
                    <w:jc w:val="center"/>
                    <w:rPr>
                      <w:rFonts w:ascii="Times New Roman" w:hAnsi="Times New Roman"/>
                      <w:szCs w:val="21"/>
                    </w:rPr>
                  </w:pPr>
                  <w:r>
                    <w:rPr>
                      <w:rFonts w:hint="eastAsia" w:ascii="Times New Roman" w:hAnsi="Times New Roman"/>
                      <w:color w:val="000000"/>
                      <w:szCs w:val="21"/>
                    </w:rPr>
                    <w:t>生活垃圾</w:t>
                  </w:r>
                </w:p>
              </w:tc>
              <w:tc>
                <w:tcPr>
                  <w:tcW w:w="3808" w:type="dxa"/>
                  <w:gridSpan w:val="3"/>
                  <w:vMerge w:val="restart"/>
                  <w:vAlign w:val="center"/>
                </w:tcPr>
                <w:p>
                  <w:pPr>
                    <w:pStyle w:val="105"/>
                    <w:spacing w:line="240" w:lineRule="atLeast"/>
                    <w:ind w:firstLine="0" w:firstLineChars="0"/>
                    <w:jc w:val="center"/>
                    <w:rPr>
                      <w:rFonts w:ascii="Times New Roman" w:hAnsi="Times New Roman"/>
                      <w:szCs w:val="21"/>
                    </w:rPr>
                  </w:pPr>
                  <w:r>
                    <w:rPr>
                      <w:rFonts w:ascii="Times New Roman" w:hAnsi="Times New Roman"/>
                      <w:color w:val="000000"/>
                      <w:szCs w:val="21"/>
                    </w:rPr>
                    <w:t>由</w:t>
                  </w:r>
                  <w:r>
                    <w:rPr>
                      <w:rFonts w:ascii="Times New Roman" w:hAnsi="Times New Roman"/>
                      <w:color w:val="000000"/>
                      <w:szCs w:val="21"/>
                      <w:lang w:eastAsia="en-US"/>
                    </w:rPr>
                    <w:t>环卫部门处置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ascii="Times New Roman" w:hAnsi="Times New Roman"/>
                      <w:szCs w:val="21"/>
                    </w:rPr>
                  </w:pPr>
                </w:p>
              </w:tc>
              <w:tc>
                <w:tcPr>
                  <w:tcW w:w="1153" w:type="dxa"/>
                  <w:vAlign w:val="center"/>
                </w:tcPr>
                <w:p>
                  <w:pPr>
                    <w:pStyle w:val="105"/>
                    <w:spacing w:line="240" w:lineRule="atLeast"/>
                    <w:ind w:firstLine="0" w:firstLineChars="0"/>
                    <w:jc w:val="center"/>
                    <w:rPr>
                      <w:rFonts w:ascii="Times New Roman" w:hAnsi="Times New Roman"/>
                      <w:szCs w:val="21"/>
                    </w:rPr>
                  </w:pPr>
                  <w:r>
                    <w:rPr>
                      <w:rFonts w:hint="eastAsia" w:ascii="Times New Roman" w:hAnsi="Times New Roman" w:cs="Times New Roman"/>
                      <w:spacing w:val="0"/>
                      <w:sz w:val="21"/>
                      <w:szCs w:val="21"/>
                      <w:lang w:val="en-US" w:eastAsia="zh-CN"/>
                    </w:rPr>
                    <w:t>废滤芯</w:t>
                  </w:r>
                </w:p>
              </w:tc>
              <w:tc>
                <w:tcPr>
                  <w:tcW w:w="3808" w:type="dxa"/>
                  <w:gridSpan w:val="3"/>
                  <w:vMerge w:val="continue"/>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ascii="Times New Roman" w:hAnsi="Times New Roman"/>
                      <w:szCs w:val="21"/>
                    </w:rPr>
                  </w:pPr>
                </w:p>
              </w:tc>
              <w:tc>
                <w:tcPr>
                  <w:tcW w:w="1153" w:type="dxa"/>
                  <w:vAlign w:val="center"/>
                </w:tcPr>
                <w:p>
                  <w:pPr>
                    <w:pStyle w:val="105"/>
                    <w:spacing w:line="240" w:lineRule="atLeast"/>
                    <w:ind w:firstLine="0" w:firstLineChars="0"/>
                    <w:jc w:val="center"/>
                    <w:rPr>
                      <w:rFonts w:ascii="Times New Roman" w:hAnsi="Times New Roman"/>
                      <w:szCs w:val="21"/>
                    </w:rPr>
                  </w:pPr>
                  <w:r>
                    <w:rPr>
                      <w:rFonts w:hint="eastAsia" w:ascii="Times New Roman" w:hAnsi="Times New Roman" w:cs="Times New Roman"/>
                      <w:lang w:val="en-US" w:eastAsia="zh-CN"/>
                    </w:rPr>
                    <w:t>清管废渣</w:t>
                  </w:r>
                </w:p>
              </w:tc>
              <w:tc>
                <w:tcPr>
                  <w:tcW w:w="3808" w:type="dxa"/>
                  <w:gridSpan w:val="3"/>
                  <w:vMerge w:val="continue"/>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hint="eastAsia"/>
                      <w:szCs w:val="21"/>
                      <w:lang w:val="zh-TW"/>
                    </w:rPr>
                  </w:pPr>
                </w:p>
              </w:tc>
              <w:tc>
                <w:tcPr>
                  <w:tcW w:w="1153" w:type="dxa"/>
                  <w:vAlign w:val="center"/>
                </w:tcPr>
                <w:p>
                  <w:pPr>
                    <w:pStyle w:val="17"/>
                    <w:jc w:val="center"/>
                    <w:rPr>
                      <w:rFonts w:hint="eastAsia"/>
                      <w:szCs w:val="21"/>
                    </w:rPr>
                  </w:pPr>
                  <w:r>
                    <w:rPr>
                      <w:rFonts w:hint="eastAsia" w:ascii="Times New Roman" w:hAnsi="Times New Roman" w:cs="Times New Roman"/>
                      <w:spacing w:val="0"/>
                      <w:sz w:val="21"/>
                      <w:szCs w:val="21"/>
                      <w:lang w:val="en-US" w:eastAsia="zh-CN"/>
                    </w:rPr>
                    <w:t>清管废水残夜</w:t>
                  </w:r>
                </w:p>
              </w:tc>
              <w:tc>
                <w:tcPr>
                  <w:tcW w:w="3808" w:type="dxa"/>
                  <w:gridSpan w:val="3"/>
                  <w:vAlign w:val="center"/>
                </w:tcPr>
                <w:p>
                  <w:pPr>
                    <w:jc w:val="center"/>
                    <w:rPr>
                      <w:rFonts w:hint="eastAsia"/>
                      <w:szCs w:val="21"/>
                    </w:rPr>
                  </w:pPr>
                  <w:r>
                    <w:rPr>
                      <w:rFonts w:hint="eastAsia" w:ascii="Times New Roman" w:hAnsi="Times New Roman"/>
                      <w:color w:val="000000"/>
                      <w:sz w:val="21"/>
                      <w:szCs w:val="21"/>
                      <w:lang w:val="en-US" w:eastAsia="zh-CN"/>
                    </w:rPr>
                    <w:t>高安首站产生的危废利用码头工程建设的危废库（建筑面积30m</w:t>
                  </w:r>
                  <w:r>
                    <w:rPr>
                      <w:rFonts w:hint="eastAsia" w:ascii="Times New Roman" w:hAnsi="Times New Roman"/>
                      <w:color w:val="000000"/>
                      <w:sz w:val="21"/>
                      <w:szCs w:val="21"/>
                      <w:vertAlign w:val="superscript"/>
                      <w:lang w:val="en-US" w:eastAsia="zh-CN"/>
                    </w:rPr>
                    <w:t>2</w:t>
                  </w:r>
                  <w:r>
                    <w:rPr>
                      <w:rFonts w:hint="eastAsia" w:ascii="Times New Roman" w:hAnsi="Times New Roman"/>
                      <w:color w:val="000000"/>
                      <w:sz w:val="21"/>
                      <w:szCs w:val="21"/>
                      <w:lang w:val="en-US" w:eastAsia="zh-CN"/>
                    </w:rPr>
                    <w:t>）存储，横山</w:t>
                  </w:r>
                  <w:r>
                    <w:rPr>
                      <w:rFonts w:hint="eastAsia" w:ascii="Times New Roman" w:hAnsi="Times New Roman"/>
                      <w:color w:val="000000"/>
                      <w:sz w:val="21"/>
                      <w:szCs w:val="21"/>
                    </w:rPr>
                    <w:t>分输站内</w:t>
                  </w:r>
                  <w:r>
                    <w:rPr>
                      <w:rFonts w:hint="eastAsia" w:ascii="Times New Roman" w:hAnsi="Times New Roman"/>
                      <w:color w:val="000000"/>
                      <w:sz w:val="21"/>
                      <w:szCs w:val="21"/>
                      <w:lang w:val="en-US" w:eastAsia="zh-CN"/>
                    </w:rPr>
                    <w:t>新</w:t>
                  </w:r>
                  <w:r>
                    <w:rPr>
                      <w:rFonts w:hint="eastAsia" w:ascii="Times New Roman" w:hAnsi="Times New Roman"/>
                      <w:color w:val="000000"/>
                      <w:sz w:val="21"/>
                      <w:szCs w:val="21"/>
                    </w:rPr>
                    <w:t>建设1处危废暂存区，</w:t>
                  </w:r>
                  <w:r>
                    <w:rPr>
                      <w:rFonts w:hint="eastAsia" w:ascii="Times New Roman" w:hAnsi="Times New Roman"/>
                      <w:color w:val="000000"/>
                      <w:sz w:val="21"/>
                      <w:szCs w:val="21"/>
                      <w:lang w:val="en-US" w:eastAsia="zh-CN"/>
                    </w:rPr>
                    <w:t>建筑面积10m</w:t>
                  </w:r>
                  <w:r>
                    <w:rPr>
                      <w:rFonts w:hint="eastAsia" w:ascii="Times New Roman" w:hAnsi="Times New Roman"/>
                      <w:color w:val="000000"/>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restart"/>
                  <w:vAlign w:val="center"/>
                </w:tcPr>
                <w:p>
                  <w:pPr>
                    <w:pStyle w:val="17"/>
                    <w:jc w:val="center"/>
                    <w:rPr>
                      <w:rFonts w:hint="eastAsia" w:eastAsia="宋体"/>
                      <w:szCs w:val="21"/>
                      <w:lang w:val="en-US" w:eastAsia="zh-CN"/>
                    </w:rPr>
                  </w:pPr>
                  <w:r>
                    <w:rPr>
                      <w:rFonts w:hint="eastAsia"/>
                      <w:szCs w:val="21"/>
                      <w:lang w:val="en-US" w:eastAsia="zh-CN"/>
                    </w:rPr>
                    <w:t>施工期</w:t>
                  </w:r>
                </w:p>
              </w:tc>
              <w:tc>
                <w:tcPr>
                  <w:tcW w:w="1153" w:type="dxa"/>
                  <w:vAlign w:val="center"/>
                </w:tcPr>
                <w:p>
                  <w:pPr>
                    <w:pStyle w:val="102"/>
                    <w:rPr>
                      <w:rFonts w:hint="eastAsia"/>
                      <w:szCs w:val="21"/>
                    </w:rPr>
                  </w:pPr>
                  <w:r>
                    <w:rPr>
                      <w:rFonts w:hint="eastAsia" w:ascii="Times New Roman" w:hAnsi="Times New Roman" w:eastAsia="宋体" w:cs="Times New Roman"/>
                      <w:color w:val="000000"/>
                      <w:kern w:val="2"/>
                      <w:sz w:val="21"/>
                      <w:szCs w:val="21"/>
                      <w:lang w:val="en-US" w:eastAsia="zh-CN" w:bidi="ar-SA"/>
                    </w:rPr>
                    <w:t>站场</w:t>
                  </w:r>
                </w:p>
              </w:tc>
              <w:tc>
                <w:tcPr>
                  <w:tcW w:w="3808" w:type="dxa"/>
                  <w:gridSpan w:val="3"/>
                  <w:vAlign w:val="center"/>
                </w:tcPr>
                <w:p>
                  <w:pPr>
                    <w:pStyle w:val="102"/>
                    <w:rPr>
                      <w:rFonts w:hint="eastAsia"/>
                      <w:szCs w:val="21"/>
                    </w:rPr>
                  </w:pPr>
                  <w:r>
                    <w:rPr>
                      <w:rFonts w:hint="eastAsia" w:ascii="Times New Roman" w:hAnsi="Times New Roman" w:eastAsia="宋体" w:cs="Times New Roman"/>
                      <w:color w:val="000000"/>
                      <w:kern w:val="2"/>
                      <w:sz w:val="21"/>
                      <w:szCs w:val="21"/>
                      <w:lang w:val="en-US" w:eastAsia="zh-CN" w:bidi="ar-SA"/>
                    </w:rPr>
                    <w:t>焊接作业点配备铁桶或纸箱，废弃物直接放入容器中，施工结束后集中回收处置；废包装物及时收集，可再生利用的进行回收利用；无回收利用价值的垃圾，依托当地环卫部门有偿清运，按相关规定进行妥善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hint="eastAsia"/>
                      <w:szCs w:val="21"/>
                      <w:lang w:val="zh-TW"/>
                    </w:rPr>
                  </w:pPr>
                </w:p>
              </w:tc>
              <w:tc>
                <w:tcPr>
                  <w:tcW w:w="1153" w:type="dxa"/>
                  <w:vMerge w:val="restart"/>
                  <w:vAlign w:val="center"/>
                </w:tcPr>
                <w:p>
                  <w:pPr>
                    <w:pStyle w:val="102"/>
                    <w:rPr>
                      <w:rFonts w:hint="eastAsia"/>
                      <w:szCs w:val="21"/>
                    </w:rPr>
                  </w:pPr>
                  <w:r>
                    <w:rPr>
                      <w:rFonts w:hint="eastAsia" w:ascii="Times New Roman" w:hAnsi="Times New Roman" w:eastAsia="宋体" w:cs="Times New Roman"/>
                      <w:color w:val="000000"/>
                      <w:kern w:val="2"/>
                      <w:sz w:val="21"/>
                      <w:szCs w:val="21"/>
                      <w:lang w:val="en-US" w:eastAsia="zh-CN" w:bidi="ar-SA"/>
                    </w:rPr>
                    <w:t>管线</w:t>
                  </w:r>
                </w:p>
              </w:tc>
              <w:tc>
                <w:tcPr>
                  <w:tcW w:w="3808" w:type="dxa"/>
                  <w:gridSpan w:val="3"/>
                  <w:vAlign w:val="center"/>
                </w:tcPr>
                <w:p>
                  <w:pPr>
                    <w:pStyle w:val="102"/>
                    <w:rPr>
                      <w:rFonts w:hint="eastAsia"/>
                      <w:szCs w:val="21"/>
                    </w:rPr>
                  </w:pPr>
                  <w:r>
                    <w:rPr>
                      <w:rFonts w:hint="eastAsia" w:ascii="Times New Roman" w:hAnsi="Times New Roman" w:eastAsia="宋体" w:cs="Times New Roman"/>
                      <w:color w:val="000000"/>
                      <w:kern w:val="2"/>
                      <w:sz w:val="21"/>
                      <w:szCs w:val="21"/>
                      <w:lang w:val="en-US" w:eastAsia="zh-CN" w:bidi="ar-SA"/>
                    </w:rPr>
                    <w:t>建设泥浆贮存池存储定向钻产生的泥浆，沉淀后的上清液经处理后回用，废弃泥浆调节pH后，经干化处理后回填至管线作业区覆土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hint="eastAsia"/>
                      <w:szCs w:val="21"/>
                      <w:lang w:val="zh-TW"/>
                    </w:rPr>
                  </w:pPr>
                </w:p>
              </w:tc>
              <w:tc>
                <w:tcPr>
                  <w:tcW w:w="1153" w:type="dxa"/>
                  <w:vMerge w:val="continue"/>
                  <w:vAlign w:val="center"/>
                </w:tcPr>
                <w:p>
                  <w:pPr>
                    <w:pStyle w:val="102"/>
                    <w:rPr>
                      <w:rFonts w:hint="eastAsia"/>
                      <w:szCs w:val="21"/>
                      <w:lang w:val="zh-TW"/>
                    </w:rPr>
                  </w:pPr>
                </w:p>
              </w:tc>
              <w:tc>
                <w:tcPr>
                  <w:tcW w:w="3808" w:type="dxa"/>
                  <w:gridSpan w:val="3"/>
                  <w:vAlign w:val="center"/>
                </w:tcPr>
                <w:p>
                  <w:pPr>
                    <w:pStyle w:val="102"/>
                    <w:rPr>
                      <w:rFonts w:hint="eastAsia"/>
                      <w:szCs w:val="21"/>
                    </w:rPr>
                  </w:pPr>
                  <w:r>
                    <w:rPr>
                      <w:rFonts w:hint="eastAsia" w:ascii="Times New Roman" w:hAnsi="Times New Roman" w:eastAsia="宋体" w:cs="Times New Roman"/>
                      <w:color w:val="000000"/>
                      <w:kern w:val="2"/>
                      <w:sz w:val="21"/>
                      <w:szCs w:val="21"/>
                      <w:lang w:val="en-US" w:eastAsia="zh-CN" w:bidi="ar-SA"/>
                    </w:rPr>
                    <w:t>表土临时堆放场，表土按当地政府的要求处置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hint="eastAsia"/>
                      <w:szCs w:val="21"/>
                      <w:lang w:val="zh-TW"/>
                    </w:rPr>
                  </w:pPr>
                </w:p>
              </w:tc>
              <w:tc>
                <w:tcPr>
                  <w:tcW w:w="1153" w:type="dxa"/>
                  <w:vMerge w:val="continue"/>
                  <w:vAlign w:val="center"/>
                </w:tcPr>
                <w:p>
                  <w:pPr>
                    <w:pStyle w:val="102"/>
                    <w:rPr>
                      <w:rFonts w:hint="eastAsia"/>
                      <w:szCs w:val="21"/>
                      <w:lang w:val="zh-TW"/>
                    </w:rPr>
                  </w:pPr>
                </w:p>
              </w:tc>
              <w:tc>
                <w:tcPr>
                  <w:tcW w:w="3808" w:type="dxa"/>
                  <w:gridSpan w:val="3"/>
                  <w:vAlign w:val="center"/>
                </w:tcPr>
                <w:p>
                  <w:pPr>
                    <w:pStyle w:val="102"/>
                    <w:rPr>
                      <w:rFonts w:hint="eastAsia"/>
                      <w:szCs w:val="21"/>
                    </w:rPr>
                  </w:pPr>
                  <w:r>
                    <w:rPr>
                      <w:rFonts w:hint="eastAsia" w:ascii="Times New Roman" w:hAnsi="Times New Roman" w:eastAsia="宋体" w:cs="Times New Roman"/>
                      <w:color w:val="000000"/>
                      <w:kern w:val="2"/>
                      <w:sz w:val="21"/>
                      <w:szCs w:val="21"/>
                      <w:lang w:val="en-US" w:eastAsia="zh-CN" w:bidi="ar-SA"/>
                    </w:rPr>
                    <w:t>焊接作业点配备铁桶或纸箱；废包装物及时收集，可再生利用的进行回收利用；无回收利用价值的垃圾，依托当地环卫部门有偿清运，按相关规定妥善处置。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restart"/>
                  <w:vAlign w:val="center"/>
                </w:tcPr>
                <w:p>
                  <w:pPr>
                    <w:spacing w:line="240" w:lineRule="atLeast"/>
                    <w:jc w:val="center"/>
                    <w:rPr>
                      <w:rFonts w:hint="default" w:ascii="Times New Roman" w:hAnsi="Times New Roman" w:eastAsia="宋体"/>
                      <w:szCs w:val="21"/>
                      <w:lang w:val="en-US" w:eastAsia="zh-CN"/>
                    </w:rPr>
                  </w:pPr>
                  <w:r>
                    <w:rPr>
                      <w:rFonts w:hint="eastAsia" w:ascii="Times New Roman" w:hAnsi="Times New Roman"/>
                      <w:szCs w:val="21"/>
                      <w:lang w:val="en-US" w:eastAsia="zh-CN"/>
                    </w:rPr>
                    <w:t>生态环境</w:t>
                  </w:r>
                </w:p>
              </w:tc>
              <w:tc>
                <w:tcPr>
                  <w:tcW w:w="1363" w:type="dxa"/>
                  <w:gridSpan w:val="2"/>
                  <w:vMerge w:val="restart"/>
                  <w:vAlign w:val="center"/>
                </w:tcPr>
                <w:p>
                  <w:pPr>
                    <w:pStyle w:val="17"/>
                    <w:jc w:val="center"/>
                    <w:rPr>
                      <w:rFonts w:hint="eastAsia" w:eastAsia="宋体"/>
                      <w:szCs w:val="21"/>
                      <w:lang w:val="en-US" w:eastAsia="zh-CN"/>
                    </w:rPr>
                  </w:pPr>
                  <w:r>
                    <w:rPr>
                      <w:rFonts w:hint="eastAsia"/>
                      <w:szCs w:val="21"/>
                      <w:lang w:val="en-US" w:eastAsia="zh-CN"/>
                    </w:rPr>
                    <w:t>施工期</w:t>
                  </w:r>
                </w:p>
              </w:tc>
              <w:tc>
                <w:tcPr>
                  <w:tcW w:w="1153" w:type="dxa"/>
                  <w:vAlign w:val="center"/>
                </w:tcPr>
                <w:p>
                  <w:pPr>
                    <w:jc w:val="center"/>
                    <w:rPr>
                      <w:rFonts w:hint="eastAsia"/>
                      <w:szCs w:val="21"/>
                      <w:lang w:val="zh-TW"/>
                    </w:rPr>
                  </w:pPr>
                  <w:r>
                    <w:rPr>
                      <w:rFonts w:ascii="Times New Roman" w:hAnsi="Times New Roman" w:cs="Times New Roman"/>
                      <w:color w:val="000000"/>
                      <w:szCs w:val="21"/>
                    </w:rPr>
                    <w:t>站场</w:t>
                  </w:r>
                </w:p>
              </w:tc>
              <w:tc>
                <w:tcPr>
                  <w:tcW w:w="3808" w:type="dxa"/>
                  <w:gridSpan w:val="3"/>
                  <w:vAlign w:val="center"/>
                </w:tcPr>
                <w:p>
                  <w:pPr>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cs="Times New Roman"/>
                      <w:color w:val="000000"/>
                      <w:szCs w:val="21"/>
                    </w:rPr>
                    <w:t>合理设计，减少占用农田和林地；采取水土保持措施、规范施工、加强宣传、严格管理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hint="eastAsia"/>
                      <w:szCs w:val="21"/>
                      <w:lang w:val="zh-TW"/>
                    </w:rPr>
                  </w:pPr>
                </w:p>
              </w:tc>
              <w:tc>
                <w:tcPr>
                  <w:tcW w:w="1153" w:type="dxa"/>
                  <w:vAlign w:val="center"/>
                </w:tcPr>
                <w:p>
                  <w:pPr>
                    <w:jc w:val="center"/>
                    <w:rPr>
                      <w:rFonts w:hint="eastAsia"/>
                      <w:szCs w:val="21"/>
                      <w:lang w:val="zh-TW"/>
                    </w:rPr>
                  </w:pPr>
                  <w:r>
                    <w:rPr>
                      <w:rFonts w:ascii="Times New Roman" w:hAnsi="Times New Roman" w:cs="Times New Roman"/>
                      <w:color w:val="000000"/>
                      <w:szCs w:val="21"/>
                    </w:rPr>
                    <w:t>管线</w:t>
                  </w:r>
                </w:p>
              </w:tc>
              <w:tc>
                <w:tcPr>
                  <w:tcW w:w="3808" w:type="dxa"/>
                  <w:gridSpan w:val="3"/>
                  <w:vAlign w:val="center"/>
                </w:tcPr>
                <w:p>
                  <w:pPr>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cs="Times New Roman"/>
                      <w:color w:val="000000"/>
                      <w:szCs w:val="21"/>
                    </w:rPr>
                    <w:t>植被恢复（管线区域、施工作业带、临时用地区域的植被恢复措施，管线上方及中心线两侧5m范围内禁止栽种深根植物）、合理优化设计，减少开挖和占地，采取水土保持措施、规范施工、加强宣传、严格管理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26" w:type="dxa"/>
                  <w:vMerge w:val="continue"/>
                  <w:vAlign w:val="center"/>
                </w:tcPr>
                <w:p>
                  <w:pPr>
                    <w:spacing w:line="240" w:lineRule="atLeast"/>
                    <w:jc w:val="center"/>
                    <w:rPr>
                      <w:rFonts w:ascii="Times New Roman" w:hAnsi="Times New Roman"/>
                      <w:szCs w:val="21"/>
                    </w:rPr>
                  </w:pPr>
                </w:p>
              </w:tc>
              <w:tc>
                <w:tcPr>
                  <w:tcW w:w="1194" w:type="dxa"/>
                  <w:vMerge w:val="continue"/>
                  <w:vAlign w:val="center"/>
                </w:tcPr>
                <w:p>
                  <w:pPr>
                    <w:spacing w:line="240" w:lineRule="atLeast"/>
                    <w:jc w:val="center"/>
                    <w:rPr>
                      <w:rFonts w:ascii="Times New Roman" w:hAnsi="Times New Roman"/>
                      <w:szCs w:val="21"/>
                    </w:rPr>
                  </w:pPr>
                </w:p>
              </w:tc>
              <w:tc>
                <w:tcPr>
                  <w:tcW w:w="1363" w:type="dxa"/>
                  <w:gridSpan w:val="2"/>
                  <w:vMerge w:val="continue"/>
                  <w:vAlign w:val="center"/>
                </w:tcPr>
                <w:p>
                  <w:pPr>
                    <w:pStyle w:val="17"/>
                    <w:jc w:val="center"/>
                    <w:rPr>
                      <w:rFonts w:hint="eastAsia"/>
                      <w:szCs w:val="21"/>
                      <w:lang w:val="zh-TW"/>
                    </w:rPr>
                  </w:pPr>
                </w:p>
              </w:tc>
              <w:tc>
                <w:tcPr>
                  <w:tcW w:w="1153" w:type="dxa"/>
                  <w:vAlign w:val="center"/>
                </w:tcPr>
                <w:p>
                  <w:pPr>
                    <w:jc w:val="center"/>
                    <w:rPr>
                      <w:rFonts w:hint="eastAsia"/>
                      <w:szCs w:val="21"/>
                      <w:lang w:val="zh-TW"/>
                    </w:rPr>
                  </w:pPr>
                  <w:r>
                    <w:rPr>
                      <w:rFonts w:ascii="Times New Roman" w:hAnsi="Times New Roman" w:cs="Times New Roman"/>
                      <w:color w:val="000000"/>
                      <w:szCs w:val="21"/>
                    </w:rPr>
                    <w:t>料场、施工便道、临时堆管区等</w:t>
                  </w:r>
                </w:p>
              </w:tc>
              <w:tc>
                <w:tcPr>
                  <w:tcW w:w="3808" w:type="dxa"/>
                  <w:gridSpan w:val="3"/>
                  <w:vAlign w:val="center"/>
                </w:tcPr>
                <w:p>
                  <w:pPr>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cs="Times New Roman"/>
                      <w:color w:val="000000"/>
                      <w:szCs w:val="21"/>
                    </w:rPr>
                    <w:t>采取水土保持措施，对渣场、料场及施工便道、临时堆管区等施工场地进行生态恢复，尽量选用当地常见绿化植被</w:t>
                  </w:r>
                </w:p>
              </w:tc>
            </w:tr>
          </w:tbl>
          <w:p>
            <w:pPr>
              <w:rPr>
                <w:rFonts w:ascii="Times New Roman" w:hAnsi="Times New Roman"/>
              </w:rPr>
            </w:pP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w:t>
            </w:r>
            <w:r>
              <w:rPr>
                <w:rFonts w:hint="eastAsia" w:ascii="Times New Roman" w:hAnsi="Times New Roman"/>
                <w:color w:val="000000"/>
                <w:sz w:val="24"/>
                <w:szCs w:val="24"/>
              </w:rPr>
              <w:t>7</w:t>
            </w:r>
            <w:r>
              <w:rPr>
                <w:rFonts w:ascii="Times New Roman" w:hAnsi="Times New Roman"/>
                <w:color w:val="000000"/>
                <w:sz w:val="24"/>
                <w:szCs w:val="24"/>
              </w:rPr>
              <w:t>）</w:t>
            </w:r>
            <w:r>
              <w:rPr>
                <w:rFonts w:hint="eastAsia" w:ascii="Times New Roman" w:hAnsi="Times New Roman"/>
                <w:color w:val="000000"/>
                <w:sz w:val="24"/>
                <w:szCs w:val="24"/>
              </w:rPr>
              <w:t>工程主要</w:t>
            </w:r>
            <w:r>
              <w:rPr>
                <w:rFonts w:ascii="Times New Roman" w:hAnsi="Times New Roman"/>
                <w:color w:val="000000"/>
                <w:sz w:val="24"/>
                <w:szCs w:val="24"/>
              </w:rPr>
              <w:t>生产设备</w:t>
            </w:r>
          </w:p>
          <w:p>
            <w:pPr>
              <w:spacing w:line="360" w:lineRule="auto"/>
              <w:ind w:firstLine="480" w:firstLineChars="200"/>
              <w:rPr>
                <w:rFonts w:ascii="Times New Roman" w:hAnsi="Times New Roman"/>
                <w:b/>
              </w:rPr>
            </w:pPr>
            <w:r>
              <w:rPr>
                <w:rFonts w:hint="eastAsia" w:ascii="Times New Roman" w:hAnsi="Times New Roman"/>
                <w:bCs/>
                <w:sz w:val="24"/>
              </w:rPr>
              <w:t>本项目站场主要施工设备见下表</w:t>
            </w:r>
            <w:r>
              <w:rPr>
                <w:rFonts w:ascii="Times New Roman" w:hAnsi="Times New Roman"/>
                <w:bCs/>
                <w:sz w:val="24"/>
              </w:rPr>
              <w:t>：</w:t>
            </w:r>
          </w:p>
          <w:p>
            <w:pPr>
              <w:spacing w:line="360" w:lineRule="auto"/>
              <w:ind w:firstLine="482" w:firstLineChars="200"/>
              <w:jc w:val="center"/>
              <w:rPr>
                <w:rFonts w:ascii="Times New Roman" w:hAnsi="Times New Roman"/>
                <w:b/>
                <w:sz w:val="24"/>
              </w:rPr>
            </w:pPr>
            <w:r>
              <w:rPr>
                <w:rFonts w:ascii="Times New Roman" w:hAnsi="Times New Roman"/>
                <w:b/>
                <w:sz w:val="24"/>
              </w:rPr>
              <w:t>表1</w:t>
            </w:r>
            <w:r>
              <w:rPr>
                <w:rFonts w:hint="eastAsia" w:ascii="Times New Roman" w:hAnsi="Times New Roman"/>
                <w:b/>
                <w:sz w:val="24"/>
              </w:rPr>
              <w:t>-2</w:t>
            </w:r>
            <w:r>
              <w:rPr>
                <w:rFonts w:ascii="Times New Roman" w:hAnsi="Times New Roman"/>
                <w:b/>
                <w:sz w:val="24"/>
              </w:rPr>
              <w:t xml:space="preserve">  </w:t>
            </w:r>
            <w:r>
              <w:rPr>
                <w:rFonts w:hint="eastAsia" w:ascii="Times New Roman" w:hAnsi="Times New Roman"/>
                <w:b/>
                <w:sz w:val="24"/>
              </w:rPr>
              <w:t>高安首站</w:t>
            </w:r>
            <w:r>
              <w:rPr>
                <w:rFonts w:ascii="Times New Roman" w:hAnsi="Times New Roman"/>
                <w:b/>
                <w:sz w:val="24"/>
              </w:rPr>
              <w:t>主要设备一览表</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34" w:type="dxa"/>
                <w:bottom w:w="0" w:type="dxa"/>
                <w:right w:w="34" w:type="dxa"/>
              </w:tblCellMar>
            </w:tblPr>
            <w:tblGrid>
              <w:gridCol w:w="788"/>
              <w:gridCol w:w="6512"/>
              <w:gridCol w:w="862"/>
              <w:gridCol w:w="68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231" w:hRule="atLeast"/>
                <w:tblHeader/>
                <w:jc w:val="center"/>
              </w:trPr>
              <w:tc>
                <w:tcPr>
                  <w:tcW w:w="734" w:type="dxa"/>
                  <w:vAlign w:val="bottom"/>
                </w:tcPr>
                <w:p>
                  <w:pPr>
                    <w:jc w:val="center"/>
                    <w:rPr>
                      <w:rFonts w:ascii="Times New Roman" w:hAnsi="Times New Roman"/>
                      <w:szCs w:val="21"/>
                    </w:rPr>
                  </w:pPr>
                  <w:r>
                    <w:rPr>
                      <w:rFonts w:ascii="Times New Roman" w:hAnsi="Times New Roman"/>
                      <w:szCs w:val="21"/>
                    </w:rPr>
                    <w:t>序号</w:t>
                  </w:r>
                </w:p>
              </w:tc>
              <w:tc>
                <w:tcPr>
                  <w:tcW w:w="6071" w:type="dxa"/>
                  <w:vAlign w:val="bottom"/>
                </w:tcPr>
                <w:p>
                  <w:pPr>
                    <w:jc w:val="center"/>
                    <w:rPr>
                      <w:rFonts w:ascii="Times New Roman" w:hAnsi="Times New Roman"/>
                      <w:szCs w:val="21"/>
                    </w:rPr>
                  </w:pPr>
                  <w:r>
                    <w:rPr>
                      <w:rFonts w:hint="eastAsia" w:ascii="Times New Roman" w:hAnsi="Times New Roman"/>
                      <w:szCs w:val="21"/>
                    </w:rPr>
                    <w:t>设备、材料名称</w:t>
                  </w:r>
                </w:p>
              </w:tc>
              <w:tc>
                <w:tcPr>
                  <w:tcW w:w="804" w:type="dxa"/>
                  <w:vAlign w:val="bottom"/>
                </w:tcPr>
                <w:p>
                  <w:pPr>
                    <w:jc w:val="center"/>
                    <w:rPr>
                      <w:rFonts w:ascii="Times New Roman" w:hAnsi="Times New Roman"/>
                      <w:szCs w:val="21"/>
                    </w:rPr>
                  </w:pPr>
                  <w:r>
                    <w:rPr>
                      <w:rFonts w:ascii="Times New Roman" w:hAnsi="Times New Roman"/>
                      <w:szCs w:val="21"/>
                    </w:rPr>
                    <w:t>单位</w:t>
                  </w:r>
                </w:p>
              </w:tc>
              <w:tc>
                <w:tcPr>
                  <w:tcW w:w="636" w:type="dxa"/>
                  <w:vAlign w:val="bottom"/>
                </w:tcPr>
                <w:p>
                  <w:pPr>
                    <w:jc w:val="center"/>
                    <w:rPr>
                      <w:rFonts w:ascii="Times New Roman" w:hAnsi="Times New Roman"/>
                      <w:szCs w:val="21"/>
                    </w:rPr>
                  </w:pPr>
                  <w:r>
                    <w:rPr>
                      <w:rFonts w:ascii="Times New Roman" w:hAnsi="Times New Roman"/>
                      <w:szCs w:val="21"/>
                    </w:rPr>
                    <w:t>数量</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一</w:t>
                  </w:r>
                </w:p>
              </w:tc>
              <w:tc>
                <w:tcPr>
                  <w:tcW w:w="6071" w:type="dxa"/>
                  <w:vAlign w:val="center"/>
                </w:tcPr>
                <w:p>
                  <w:pPr>
                    <w:jc w:val="center"/>
                    <w:rPr>
                      <w:rFonts w:ascii="Times New Roman" w:hAnsi="Times New Roman"/>
                      <w:szCs w:val="21"/>
                    </w:rPr>
                  </w:pPr>
                  <w:r>
                    <w:rPr>
                      <w:rFonts w:hint="eastAsia" w:ascii="Times New Roman" w:hAnsi="Times New Roman"/>
                      <w:szCs w:val="21"/>
                    </w:rPr>
                    <w:t>非标设备</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1</w:t>
                  </w:r>
                </w:p>
              </w:tc>
              <w:tc>
                <w:tcPr>
                  <w:tcW w:w="6071" w:type="dxa"/>
                  <w:vAlign w:val="center"/>
                </w:tcPr>
                <w:p>
                  <w:pPr>
                    <w:jc w:val="center"/>
                    <w:rPr>
                      <w:rFonts w:ascii="Times New Roman" w:hAnsi="Times New Roman"/>
                      <w:szCs w:val="21"/>
                    </w:rPr>
                  </w:pPr>
                  <w:r>
                    <w:rPr>
                      <w:rFonts w:ascii="Times New Roman" w:hAnsi="Times New Roman"/>
                      <w:szCs w:val="21"/>
                      <w:lang w:val="zh-CN"/>
                    </w:rPr>
                    <w:t>发球筒</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 xml:space="preserve">P6.3Mpa </w:t>
                  </w:r>
                  <w:r>
                    <w:rPr>
                      <w:rFonts w:hint="eastAsia" w:ascii="Times New Roman" w:hAnsi="Times New Roman"/>
                      <w:szCs w:val="21"/>
                    </w:rPr>
                    <w:t xml:space="preserve"> </w:t>
                  </w:r>
                  <w:r>
                    <w:rPr>
                      <w:rFonts w:ascii="Times New Roman" w:hAnsi="Times New Roman"/>
                      <w:szCs w:val="21"/>
                      <w:lang w:val="zh-CN"/>
                    </w:rPr>
                    <w:t>DN700×DN600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 xml:space="preserve">P6.3Mpa </w:t>
                  </w:r>
                  <w:r>
                    <w:rPr>
                      <w:rFonts w:hint="eastAsia" w:ascii="Times New Roman" w:hAnsi="Times New Roman"/>
                      <w:szCs w:val="21"/>
                    </w:rPr>
                    <w:t xml:space="preserve"> </w:t>
                  </w:r>
                  <w:r>
                    <w:rPr>
                      <w:rFonts w:ascii="Times New Roman" w:hAnsi="Times New Roman"/>
                      <w:szCs w:val="21"/>
                      <w:lang w:val="zh-CN"/>
                    </w:rPr>
                    <w:t>DN500×DN400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2</w:t>
                  </w:r>
                </w:p>
              </w:tc>
              <w:tc>
                <w:tcPr>
                  <w:tcW w:w="6071" w:type="dxa"/>
                  <w:vAlign w:val="center"/>
                </w:tcPr>
                <w:p>
                  <w:pPr>
                    <w:jc w:val="center"/>
                    <w:rPr>
                      <w:rFonts w:ascii="Times New Roman" w:hAnsi="Times New Roman"/>
                      <w:szCs w:val="21"/>
                    </w:rPr>
                  </w:pPr>
                  <w:r>
                    <w:rPr>
                      <w:rFonts w:hint="eastAsia" w:ascii="Times New Roman" w:hAnsi="Times New Roman"/>
                      <w:szCs w:val="21"/>
                      <w:lang w:val="en-US" w:eastAsia="zh-CN"/>
                    </w:rPr>
                    <w:t>电</w:t>
                  </w:r>
                  <w:r>
                    <w:rPr>
                      <w:rFonts w:ascii="Times New Roman" w:hAnsi="Times New Roman"/>
                      <w:szCs w:val="21"/>
                      <w:lang w:val="zh-CN"/>
                    </w:rPr>
                    <w:t>加热炉</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 xml:space="preserve">P6.ЗMPa </w:t>
                  </w:r>
                  <w:r>
                    <w:rPr>
                      <w:rFonts w:hint="eastAsia" w:ascii="Times New Roman" w:hAnsi="Times New Roman"/>
                      <w:szCs w:val="21"/>
                    </w:rPr>
                    <w:t xml:space="preserve">  </w:t>
                  </w:r>
                  <w:r>
                    <w:rPr>
                      <w:rFonts w:ascii="Times New Roman" w:hAnsi="Times New Roman"/>
                      <w:szCs w:val="21"/>
                      <w:lang w:val="zh-CN"/>
                    </w:rPr>
                    <w:t>400kW</w:t>
                  </w:r>
                </w:p>
              </w:tc>
              <w:tc>
                <w:tcPr>
                  <w:tcW w:w="804" w:type="dxa"/>
                  <w:vAlign w:val="center"/>
                </w:tcPr>
                <w:p>
                  <w:pPr>
                    <w:jc w:val="center"/>
                    <w:rPr>
                      <w:rFonts w:ascii="Times New Roman" w:hAnsi="Times New Roman"/>
                      <w:szCs w:val="21"/>
                    </w:rPr>
                  </w:pPr>
                  <w:r>
                    <w:rPr>
                      <w:rFonts w:hint="eastAsia" w:ascii="Times New Roman" w:hAnsi="Times New Roman"/>
                      <w:szCs w:val="21"/>
                    </w:rPr>
                    <w:t>座</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3</w:t>
                  </w:r>
                </w:p>
              </w:tc>
              <w:tc>
                <w:tcPr>
                  <w:tcW w:w="6071" w:type="dxa"/>
                  <w:vAlign w:val="center"/>
                </w:tcPr>
                <w:p>
                  <w:pPr>
                    <w:jc w:val="center"/>
                    <w:rPr>
                      <w:rFonts w:ascii="Times New Roman" w:hAnsi="Times New Roman"/>
                      <w:szCs w:val="21"/>
                    </w:rPr>
                  </w:pPr>
                  <w:r>
                    <w:rPr>
                      <w:rFonts w:ascii="Times New Roman" w:hAnsi="Times New Roman"/>
                      <w:szCs w:val="21"/>
                      <w:lang w:val="zh-CN"/>
                    </w:rPr>
                    <w:t>绝缘接头</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DN600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二</w:t>
                  </w:r>
                </w:p>
              </w:tc>
              <w:tc>
                <w:tcPr>
                  <w:tcW w:w="6071" w:type="dxa"/>
                  <w:vAlign w:val="center"/>
                </w:tcPr>
                <w:p>
                  <w:pPr>
                    <w:jc w:val="center"/>
                    <w:rPr>
                      <w:rFonts w:ascii="Times New Roman" w:hAnsi="Times New Roman"/>
                      <w:szCs w:val="21"/>
                    </w:rPr>
                  </w:pPr>
                  <w:r>
                    <w:rPr>
                      <w:rFonts w:hint="eastAsia" w:ascii="Times New Roman" w:hAnsi="Times New Roman"/>
                      <w:szCs w:val="21"/>
                    </w:rPr>
                    <w:t>阀门</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1</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手动球阀（全焊接）</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DN100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2</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手动球阀（配套法兰、螺栓、螺母）</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DN250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DN200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DN100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DN80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3</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手动节流截止阀（配套法兰、螺栓、螺母）</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PN63 DN200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PN63 DN100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PN63 DN50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16</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4</w:t>
                  </w:r>
                </w:p>
              </w:tc>
              <w:tc>
                <w:tcPr>
                  <w:tcW w:w="6071" w:type="dxa"/>
                  <w:vAlign w:val="center"/>
                </w:tcPr>
                <w:p>
                  <w:pPr>
                    <w:jc w:val="center"/>
                    <w:rPr>
                      <w:rFonts w:ascii="Times New Roman" w:hAnsi="Times New Roman"/>
                      <w:szCs w:val="21"/>
                    </w:rPr>
                  </w:pPr>
                  <w:r>
                    <w:rPr>
                      <w:rFonts w:ascii="Times New Roman" w:hAnsi="Times New Roman"/>
                      <w:szCs w:val="21"/>
                      <w:lang w:val="zh-CN"/>
                    </w:rPr>
                    <w:t>阀套式排污阀（配套法兰、螺栓、螺母）</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PN63 DN50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5</w:t>
                  </w:r>
                </w:p>
              </w:tc>
              <w:tc>
                <w:tcPr>
                  <w:tcW w:w="6071" w:type="dxa"/>
                  <w:vAlign w:val="center"/>
                </w:tcPr>
                <w:p>
                  <w:pPr>
                    <w:jc w:val="center"/>
                    <w:rPr>
                      <w:rFonts w:ascii="Times New Roman" w:hAnsi="Times New Roman"/>
                      <w:szCs w:val="21"/>
                    </w:rPr>
                  </w:pPr>
                  <w:r>
                    <w:rPr>
                      <w:rFonts w:ascii="Times New Roman" w:hAnsi="Times New Roman"/>
                      <w:szCs w:val="21"/>
                      <w:lang w:val="zh-CN"/>
                    </w:rPr>
                    <w:t>安全阀（法兰连接，配对应法兰、垫片及紧固件）</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PN63 DN50×</w:t>
                  </w:r>
                  <w:r>
                    <w:rPr>
                      <w:rFonts w:hint="eastAsia" w:ascii="Times New Roman" w:hAnsi="Times New Roman"/>
                      <w:szCs w:val="21"/>
                    </w:rPr>
                    <w:t>8</w:t>
                  </w:r>
                  <w:r>
                    <w:rPr>
                      <w:rFonts w:ascii="Times New Roman" w:hAnsi="Times New Roman"/>
                      <w:szCs w:val="21"/>
                      <w:lang w:val="zh-CN"/>
                    </w:rPr>
                    <w:t>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三</w:t>
                  </w:r>
                </w:p>
              </w:tc>
              <w:tc>
                <w:tcPr>
                  <w:tcW w:w="6071" w:type="dxa"/>
                  <w:vAlign w:val="center"/>
                </w:tcPr>
                <w:p>
                  <w:pPr>
                    <w:jc w:val="center"/>
                    <w:rPr>
                      <w:rFonts w:ascii="Times New Roman" w:hAnsi="Times New Roman"/>
                      <w:szCs w:val="21"/>
                    </w:rPr>
                  </w:pPr>
                  <w:r>
                    <w:rPr>
                      <w:rFonts w:ascii="Times New Roman" w:hAnsi="Times New Roman"/>
                      <w:szCs w:val="21"/>
                      <w:lang w:val="zh-CN"/>
                    </w:rPr>
                    <w:t>管材（选用持证单位生产的压力管道）</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1</w:t>
                  </w:r>
                </w:p>
              </w:tc>
              <w:tc>
                <w:tcPr>
                  <w:tcW w:w="6071" w:type="dxa"/>
                  <w:vAlign w:val="center"/>
                </w:tcPr>
                <w:p>
                  <w:pPr>
                    <w:jc w:val="center"/>
                    <w:rPr>
                      <w:rFonts w:ascii="Times New Roman" w:hAnsi="Times New Roman"/>
                      <w:szCs w:val="21"/>
                    </w:rPr>
                  </w:pPr>
                  <w:r>
                    <w:rPr>
                      <w:rFonts w:ascii="Times New Roman" w:hAnsi="Times New Roman"/>
                      <w:szCs w:val="21"/>
                      <w:lang w:val="zh-CN"/>
                    </w:rPr>
                    <w:t>直缝埋弧焊钢管  L415M</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D610×1.9</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45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D610×1.9</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75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2</w:t>
                  </w:r>
                </w:p>
              </w:tc>
              <w:tc>
                <w:tcPr>
                  <w:tcW w:w="6071" w:type="dxa"/>
                  <w:vAlign w:val="center"/>
                </w:tcPr>
                <w:p>
                  <w:pPr>
                    <w:jc w:val="center"/>
                    <w:rPr>
                      <w:rFonts w:ascii="Times New Roman" w:hAnsi="Times New Roman"/>
                      <w:szCs w:val="21"/>
                    </w:rPr>
                  </w:pPr>
                  <w:r>
                    <w:rPr>
                      <w:rFonts w:ascii="Times New Roman" w:hAnsi="Times New Roman"/>
                      <w:szCs w:val="21"/>
                      <w:lang w:val="zh-CN"/>
                    </w:rPr>
                    <w:t>直缝埋弧焊钢管  L360M</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D406.4×.5</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150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D406.4×.5</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50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3</w:t>
                  </w:r>
                </w:p>
              </w:tc>
              <w:tc>
                <w:tcPr>
                  <w:tcW w:w="6071" w:type="dxa"/>
                  <w:vAlign w:val="center"/>
                </w:tcPr>
                <w:p>
                  <w:pPr>
                    <w:jc w:val="center"/>
                    <w:rPr>
                      <w:rFonts w:ascii="Times New Roman" w:hAnsi="Times New Roman"/>
                      <w:szCs w:val="21"/>
                    </w:rPr>
                  </w:pPr>
                  <w:r>
                    <w:rPr>
                      <w:rFonts w:ascii="Times New Roman" w:hAnsi="Times New Roman"/>
                      <w:szCs w:val="21"/>
                      <w:lang w:val="zh-CN"/>
                    </w:rPr>
                    <w:t>无缝钢管 L360N</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D355.6×</w:t>
                  </w:r>
                  <w:r>
                    <w:rPr>
                      <w:rFonts w:hint="eastAsia" w:ascii="Times New Roman" w:hAnsi="Times New Roman"/>
                      <w:szCs w:val="21"/>
                    </w:rPr>
                    <w:t>8</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20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4</w:t>
                  </w:r>
                </w:p>
              </w:tc>
              <w:tc>
                <w:tcPr>
                  <w:tcW w:w="6071" w:type="dxa"/>
                  <w:vAlign w:val="center"/>
                </w:tcPr>
                <w:p>
                  <w:pPr>
                    <w:jc w:val="center"/>
                    <w:rPr>
                      <w:rFonts w:ascii="Times New Roman" w:hAnsi="Times New Roman"/>
                      <w:szCs w:val="21"/>
                    </w:rPr>
                  </w:pPr>
                  <w:r>
                    <w:rPr>
                      <w:rFonts w:ascii="Times New Roman" w:hAnsi="Times New Roman"/>
                      <w:szCs w:val="21"/>
                      <w:lang w:val="zh-CN"/>
                    </w:rPr>
                    <w:t>无缝钢管 L245N</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D273×5</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80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08"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D219.1×</w:t>
                  </w:r>
                  <w:r>
                    <w:rPr>
                      <w:rFonts w:hint="eastAsia" w:ascii="Times New Roman" w:hAnsi="Times New Roman"/>
                      <w:szCs w:val="21"/>
                    </w:rPr>
                    <w:t>8</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900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D114.3×</w:t>
                  </w:r>
                  <w:r>
                    <w:rPr>
                      <w:rFonts w:hint="eastAsia" w:ascii="Times New Roman" w:hAnsi="Times New Roman"/>
                      <w:szCs w:val="21"/>
                    </w:rPr>
                    <w:t>5</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10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D88.9×</w:t>
                  </w:r>
                  <w:r>
                    <w:rPr>
                      <w:rFonts w:hint="eastAsia" w:ascii="Times New Roman" w:hAnsi="Times New Roman"/>
                      <w:szCs w:val="21"/>
                    </w:rPr>
                    <w:t>5</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750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D60.3×</w:t>
                  </w:r>
                  <w:r>
                    <w:rPr>
                      <w:rFonts w:hint="eastAsia" w:ascii="Times New Roman" w:hAnsi="Times New Roman"/>
                      <w:szCs w:val="21"/>
                    </w:rPr>
                    <w:t>5</w:t>
                  </w:r>
                </w:p>
              </w:tc>
              <w:tc>
                <w:tcPr>
                  <w:tcW w:w="804" w:type="dxa"/>
                  <w:vAlign w:val="center"/>
                </w:tcPr>
                <w:p>
                  <w:pPr>
                    <w:jc w:val="center"/>
                    <w:rPr>
                      <w:rFonts w:ascii="Times New Roman" w:hAnsi="Times New Roman"/>
                      <w:szCs w:val="21"/>
                    </w:rPr>
                  </w:pPr>
                  <w:r>
                    <w:rPr>
                      <w:rFonts w:hint="eastAsia" w:ascii="Times New Roman" w:hAnsi="Times New Roman"/>
                      <w:szCs w:val="21"/>
                    </w:rPr>
                    <w:t>m</w:t>
                  </w:r>
                </w:p>
              </w:tc>
              <w:tc>
                <w:tcPr>
                  <w:tcW w:w="636" w:type="dxa"/>
                  <w:vAlign w:val="center"/>
                </w:tcPr>
                <w:p>
                  <w:pPr>
                    <w:jc w:val="center"/>
                    <w:rPr>
                      <w:rFonts w:ascii="Times New Roman" w:hAnsi="Times New Roman"/>
                      <w:szCs w:val="21"/>
                    </w:rPr>
                  </w:pPr>
                  <w:r>
                    <w:rPr>
                      <w:rFonts w:hint="eastAsia" w:ascii="Times New Roman" w:hAnsi="Times New Roman"/>
                      <w:szCs w:val="21"/>
                    </w:rPr>
                    <w:t>150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四</w:t>
                  </w:r>
                </w:p>
              </w:tc>
              <w:tc>
                <w:tcPr>
                  <w:tcW w:w="6071" w:type="dxa"/>
                  <w:vAlign w:val="center"/>
                </w:tcPr>
                <w:p>
                  <w:pPr>
                    <w:jc w:val="center"/>
                    <w:rPr>
                      <w:rFonts w:ascii="Times New Roman" w:hAnsi="Times New Roman"/>
                      <w:szCs w:val="21"/>
                    </w:rPr>
                  </w:pPr>
                  <w:r>
                    <w:rPr>
                      <w:rFonts w:ascii="Times New Roman" w:hAnsi="Times New Roman"/>
                      <w:szCs w:val="21"/>
                      <w:lang w:val="zh-CN"/>
                    </w:rPr>
                    <w:t>管件</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1</w:t>
                  </w:r>
                </w:p>
              </w:tc>
              <w:tc>
                <w:tcPr>
                  <w:tcW w:w="6071" w:type="dxa"/>
                  <w:vAlign w:val="center"/>
                </w:tcPr>
                <w:p>
                  <w:pPr>
                    <w:jc w:val="center"/>
                    <w:rPr>
                      <w:rFonts w:ascii="Times New Roman" w:hAnsi="Times New Roman"/>
                      <w:szCs w:val="21"/>
                    </w:rPr>
                  </w:pPr>
                  <w:r>
                    <w:rPr>
                      <w:rFonts w:ascii="Times New Roman" w:hAnsi="Times New Roman"/>
                      <w:szCs w:val="21"/>
                      <w:lang w:val="zh-CN"/>
                    </w:rPr>
                    <w:t>90</w:t>
                  </w:r>
                  <w:r>
                    <w:rPr>
                      <w:rFonts w:hint="eastAsia" w:ascii="Times New Roman" w:hAnsi="Times New Roman"/>
                      <w:szCs w:val="21"/>
                    </w:rPr>
                    <w:t>°</w:t>
                  </w:r>
                  <w:r>
                    <w:rPr>
                      <w:rFonts w:ascii="Times New Roman" w:hAnsi="Times New Roman"/>
                      <w:szCs w:val="21"/>
                      <w:lang w:val="zh-CN"/>
                    </w:rPr>
                    <w:t>弯头 R=1.5DN</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lang w:val="zh-CN"/>
                    </w:rPr>
                    <w:t>PN63  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DN350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DN250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DN200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30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DN100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DN80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60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2</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等径三通</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DN250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DN200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3</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异径三通</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rPr>
                    <w:t>PN63</w:t>
                  </w:r>
                  <w:r>
                    <w:rPr>
                      <w:rFonts w:hint="eastAsia" w:ascii="Times New Roman" w:hAnsi="Times New Roman"/>
                      <w:szCs w:val="21"/>
                    </w:rPr>
                    <w:t xml:space="preserve">  </w:t>
                  </w:r>
                  <w:r>
                    <w:rPr>
                      <w:rFonts w:ascii="Times New Roman" w:hAnsi="Times New Roman"/>
                      <w:szCs w:val="21"/>
                    </w:rPr>
                    <w:t>DN600×DN600× DN400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rPr>
                    <w:t>PN63</w:t>
                  </w:r>
                  <w:r>
                    <w:rPr>
                      <w:rFonts w:hint="eastAsia" w:ascii="Times New Roman" w:hAnsi="Times New Roman"/>
                      <w:szCs w:val="21"/>
                    </w:rPr>
                    <w:t xml:space="preserve">  </w:t>
                  </w:r>
                  <w:r>
                    <w:rPr>
                      <w:rFonts w:ascii="Times New Roman" w:hAnsi="Times New Roman"/>
                      <w:szCs w:val="21"/>
                    </w:rPr>
                    <w:t>DN</w:t>
                  </w:r>
                  <w:r>
                    <w:rPr>
                      <w:rFonts w:hint="eastAsia" w:ascii="Times New Roman" w:hAnsi="Times New Roman"/>
                      <w:szCs w:val="21"/>
                    </w:rPr>
                    <w:t>4</w:t>
                  </w:r>
                  <w:r>
                    <w:rPr>
                      <w:rFonts w:ascii="Times New Roman" w:hAnsi="Times New Roman"/>
                      <w:szCs w:val="21"/>
                    </w:rPr>
                    <w:t>00×DN</w:t>
                  </w:r>
                  <w:r>
                    <w:rPr>
                      <w:rFonts w:hint="eastAsia" w:ascii="Times New Roman" w:hAnsi="Times New Roman"/>
                      <w:szCs w:val="21"/>
                    </w:rPr>
                    <w:t>4</w:t>
                  </w:r>
                  <w:r>
                    <w:rPr>
                      <w:rFonts w:ascii="Times New Roman" w:hAnsi="Times New Roman"/>
                      <w:szCs w:val="21"/>
                    </w:rPr>
                    <w:t>00× DN</w:t>
                  </w:r>
                  <w:r>
                    <w:rPr>
                      <w:rFonts w:hint="eastAsia" w:ascii="Times New Roman" w:hAnsi="Times New Roman"/>
                      <w:szCs w:val="21"/>
                    </w:rPr>
                    <w:t>35</w:t>
                  </w:r>
                  <w:r>
                    <w:rPr>
                      <w:rFonts w:ascii="Times New Roman" w:hAnsi="Times New Roman"/>
                      <w:szCs w:val="21"/>
                    </w:rPr>
                    <w:t>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rPr>
                    <w:t>PN63</w:t>
                  </w:r>
                  <w:r>
                    <w:rPr>
                      <w:rFonts w:hint="eastAsia" w:ascii="Times New Roman" w:hAnsi="Times New Roman"/>
                      <w:szCs w:val="21"/>
                    </w:rPr>
                    <w:t xml:space="preserve">  </w:t>
                  </w:r>
                  <w:r>
                    <w:rPr>
                      <w:rFonts w:ascii="Times New Roman" w:hAnsi="Times New Roman"/>
                      <w:szCs w:val="21"/>
                    </w:rPr>
                    <w:t>DN</w:t>
                  </w:r>
                  <w:r>
                    <w:rPr>
                      <w:rFonts w:hint="eastAsia" w:ascii="Times New Roman" w:hAnsi="Times New Roman"/>
                      <w:szCs w:val="21"/>
                    </w:rPr>
                    <w:t>4</w:t>
                  </w:r>
                  <w:r>
                    <w:rPr>
                      <w:rFonts w:ascii="Times New Roman" w:hAnsi="Times New Roman"/>
                      <w:szCs w:val="21"/>
                    </w:rPr>
                    <w:t>00×DN</w:t>
                  </w:r>
                  <w:r>
                    <w:rPr>
                      <w:rFonts w:hint="eastAsia" w:ascii="Times New Roman" w:hAnsi="Times New Roman"/>
                      <w:szCs w:val="21"/>
                    </w:rPr>
                    <w:t>4</w:t>
                  </w:r>
                  <w:r>
                    <w:rPr>
                      <w:rFonts w:ascii="Times New Roman" w:hAnsi="Times New Roman"/>
                      <w:szCs w:val="21"/>
                    </w:rPr>
                    <w:t>00× DN</w:t>
                  </w:r>
                  <w:r>
                    <w:rPr>
                      <w:rFonts w:hint="eastAsia" w:ascii="Times New Roman" w:hAnsi="Times New Roman"/>
                      <w:szCs w:val="21"/>
                    </w:rPr>
                    <w:t>2</w:t>
                  </w:r>
                  <w:r>
                    <w:rPr>
                      <w:rFonts w:ascii="Times New Roman" w:hAnsi="Times New Roman"/>
                      <w:szCs w:val="21"/>
                    </w:rPr>
                    <w:t>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rPr>
                    <w:t>PN63</w:t>
                  </w:r>
                  <w:r>
                    <w:rPr>
                      <w:rFonts w:hint="eastAsia" w:ascii="Times New Roman" w:hAnsi="Times New Roman"/>
                      <w:szCs w:val="21"/>
                    </w:rPr>
                    <w:t xml:space="preserve">  </w:t>
                  </w:r>
                  <w:r>
                    <w:rPr>
                      <w:rFonts w:ascii="Times New Roman" w:hAnsi="Times New Roman"/>
                      <w:szCs w:val="21"/>
                    </w:rPr>
                    <w:t>DN</w:t>
                  </w:r>
                  <w:r>
                    <w:rPr>
                      <w:rFonts w:hint="eastAsia" w:ascii="Times New Roman" w:hAnsi="Times New Roman"/>
                      <w:szCs w:val="21"/>
                    </w:rPr>
                    <w:t>1</w:t>
                  </w:r>
                  <w:r>
                    <w:rPr>
                      <w:rFonts w:ascii="Times New Roman" w:hAnsi="Times New Roman"/>
                      <w:szCs w:val="21"/>
                    </w:rPr>
                    <w:t>00×DN</w:t>
                  </w:r>
                  <w:r>
                    <w:rPr>
                      <w:rFonts w:hint="eastAsia" w:ascii="Times New Roman" w:hAnsi="Times New Roman"/>
                      <w:szCs w:val="21"/>
                    </w:rPr>
                    <w:t>1</w:t>
                  </w:r>
                  <w:r>
                    <w:rPr>
                      <w:rFonts w:ascii="Times New Roman" w:hAnsi="Times New Roman"/>
                      <w:szCs w:val="21"/>
                    </w:rPr>
                    <w:t>00× DN</w:t>
                  </w:r>
                  <w:r>
                    <w:rPr>
                      <w:rFonts w:hint="eastAsia" w:ascii="Times New Roman" w:hAnsi="Times New Roman"/>
                      <w:szCs w:val="21"/>
                    </w:rPr>
                    <w:t>5</w:t>
                  </w:r>
                  <w:r>
                    <w:rPr>
                      <w:rFonts w:ascii="Times New Roman" w:hAnsi="Times New Roman"/>
                      <w:szCs w:val="21"/>
                    </w:rPr>
                    <w:t>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rPr>
                  </w:pPr>
                  <w:r>
                    <w:rPr>
                      <w:rFonts w:ascii="Times New Roman" w:hAnsi="Times New Roman"/>
                      <w:szCs w:val="21"/>
                    </w:rPr>
                    <w:t>PN63</w:t>
                  </w:r>
                  <w:r>
                    <w:rPr>
                      <w:rFonts w:hint="eastAsia" w:ascii="Times New Roman" w:hAnsi="Times New Roman"/>
                      <w:szCs w:val="21"/>
                    </w:rPr>
                    <w:t xml:space="preserve">  </w:t>
                  </w:r>
                  <w:r>
                    <w:rPr>
                      <w:rFonts w:ascii="Times New Roman" w:hAnsi="Times New Roman"/>
                      <w:szCs w:val="21"/>
                    </w:rPr>
                    <w:t>DN</w:t>
                  </w:r>
                  <w:r>
                    <w:rPr>
                      <w:rFonts w:hint="eastAsia" w:ascii="Times New Roman" w:hAnsi="Times New Roman"/>
                      <w:szCs w:val="21"/>
                    </w:rPr>
                    <w:t>8</w:t>
                  </w:r>
                  <w:r>
                    <w:rPr>
                      <w:rFonts w:ascii="Times New Roman" w:hAnsi="Times New Roman"/>
                      <w:szCs w:val="21"/>
                    </w:rPr>
                    <w:t>0×DN</w:t>
                  </w:r>
                  <w:r>
                    <w:rPr>
                      <w:rFonts w:hint="eastAsia" w:ascii="Times New Roman" w:hAnsi="Times New Roman"/>
                      <w:szCs w:val="21"/>
                    </w:rPr>
                    <w:t>8</w:t>
                  </w:r>
                  <w:r>
                    <w:rPr>
                      <w:rFonts w:ascii="Times New Roman" w:hAnsi="Times New Roman"/>
                      <w:szCs w:val="21"/>
                    </w:rPr>
                    <w:t>0× DN</w:t>
                  </w:r>
                  <w:r>
                    <w:rPr>
                      <w:rFonts w:hint="eastAsia" w:ascii="Times New Roman" w:hAnsi="Times New Roman"/>
                      <w:szCs w:val="21"/>
                    </w:rPr>
                    <w:t>5</w:t>
                  </w:r>
                  <w:r>
                    <w:rPr>
                      <w:rFonts w:ascii="Times New Roman" w:hAnsi="Times New Roman"/>
                      <w:szCs w:val="21"/>
                    </w:rPr>
                    <w:t>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4</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管帽</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DN600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DN</w:t>
                  </w:r>
                  <w:r>
                    <w:rPr>
                      <w:rFonts w:hint="eastAsia" w:ascii="Times New Roman" w:hAnsi="Times New Roman"/>
                      <w:szCs w:val="21"/>
                    </w:rPr>
                    <w:t>25</w:t>
                  </w:r>
                  <w:r>
                    <w:rPr>
                      <w:rFonts w:ascii="Times New Roman" w:hAnsi="Times New Roman"/>
                      <w:szCs w:val="21"/>
                      <w:lang w:val="zh-CN"/>
                    </w:rPr>
                    <w:t>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6</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5</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清管三通</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DN600×</w:t>
                  </w:r>
                  <w:r>
                    <w:rPr>
                      <w:rFonts w:hint="eastAsia" w:ascii="Times New Roman" w:hAnsi="Times New Roman"/>
                      <w:szCs w:val="21"/>
                    </w:rPr>
                    <w:t>6</w:t>
                  </w:r>
                  <w:r>
                    <w:rPr>
                      <w:rFonts w:ascii="Times New Roman" w:hAnsi="Times New Roman"/>
                      <w:szCs w:val="21"/>
                      <w:lang w:val="zh-CN"/>
                    </w:rPr>
                    <w:t>00 ×</w:t>
                  </w:r>
                  <w:r>
                    <w:rPr>
                      <w:rFonts w:hint="eastAsia" w:ascii="Times New Roman" w:hAnsi="Times New Roman"/>
                      <w:szCs w:val="21"/>
                    </w:rPr>
                    <w:t>4</w:t>
                  </w:r>
                  <w:r>
                    <w:rPr>
                      <w:rFonts w:ascii="Times New Roman" w:hAnsi="Times New Roman"/>
                      <w:szCs w:val="21"/>
                      <w:lang w:val="zh-CN"/>
                    </w:rPr>
                    <w:t>00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PN63 DN400×</w:t>
                  </w:r>
                  <w:r>
                    <w:rPr>
                      <w:rFonts w:hint="eastAsia" w:ascii="Times New Roman" w:hAnsi="Times New Roman"/>
                      <w:szCs w:val="21"/>
                    </w:rPr>
                    <w:t>4</w:t>
                  </w:r>
                  <w:r>
                    <w:rPr>
                      <w:rFonts w:ascii="Times New Roman" w:hAnsi="Times New Roman"/>
                      <w:szCs w:val="21"/>
                      <w:lang w:val="zh-CN"/>
                    </w:rPr>
                    <w:t>00 ×</w:t>
                  </w:r>
                  <w:r>
                    <w:rPr>
                      <w:rFonts w:hint="eastAsia" w:ascii="Times New Roman" w:hAnsi="Times New Roman"/>
                      <w:szCs w:val="21"/>
                    </w:rPr>
                    <w:t>2</w:t>
                  </w:r>
                  <w:r>
                    <w:rPr>
                      <w:rFonts w:ascii="Times New Roman" w:hAnsi="Times New Roman"/>
                      <w:szCs w:val="21"/>
                      <w:lang w:val="zh-CN"/>
                    </w:rPr>
                    <w:t>50</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r>
                    <w:rPr>
                      <w:rFonts w:hint="eastAsia" w:ascii="Times New Roman" w:hAnsi="Times New Roman"/>
                      <w:szCs w:val="21"/>
                    </w:rPr>
                    <w:t>6</w:t>
                  </w:r>
                </w:p>
              </w:tc>
              <w:tc>
                <w:tcPr>
                  <w:tcW w:w="6071" w:type="dxa"/>
                  <w:vAlign w:val="center"/>
                </w:tcPr>
                <w:p>
                  <w:pPr>
                    <w:jc w:val="center"/>
                    <w:rPr>
                      <w:rFonts w:ascii="Times New Roman" w:hAnsi="Times New Roman"/>
                      <w:szCs w:val="21"/>
                      <w:lang w:val="zh-CN"/>
                    </w:rPr>
                  </w:pPr>
                  <w:r>
                    <w:rPr>
                      <w:rFonts w:ascii="Times New Roman" w:hAnsi="Times New Roman"/>
                      <w:szCs w:val="21"/>
                      <w:lang w:val="zh-CN"/>
                    </w:rPr>
                    <w:t>热煨弯管</w:t>
                  </w:r>
                </w:p>
              </w:tc>
              <w:tc>
                <w:tcPr>
                  <w:tcW w:w="804" w:type="dxa"/>
                  <w:vAlign w:val="center"/>
                </w:tcPr>
                <w:p>
                  <w:pPr>
                    <w:jc w:val="center"/>
                    <w:rPr>
                      <w:rFonts w:ascii="Times New Roman" w:hAnsi="Times New Roman"/>
                      <w:szCs w:val="21"/>
                    </w:rPr>
                  </w:pPr>
                </w:p>
              </w:tc>
              <w:tc>
                <w:tcPr>
                  <w:tcW w:w="636"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D610×13.6  L415M   45</w:t>
                  </w:r>
                  <w:r>
                    <w:rPr>
                      <w:rFonts w:hint="eastAsia" w:ascii="Times New Roman" w:hAnsi="Times New Roman"/>
                      <w:szCs w:val="21"/>
                    </w:rPr>
                    <w:t>°</w:t>
                  </w:r>
                  <w:r>
                    <w:rPr>
                      <w:rFonts w:ascii="Times New Roman" w:hAnsi="Times New Roman"/>
                      <w:szCs w:val="21"/>
                      <w:lang w:val="zh-CN"/>
                    </w:rPr>
                    <w:t>R=6D</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D</w:t>
                  </w:r>
                  <w:r>
                    <w:rPr>
                      <w:rFonts w:hint="eastAsia" w:ascii="Times New Roman" w:hAnsi="Times New Roman"/>
                      <w:szCs w:val="21"/>
                    </w:rPr>
                    <w:t>406.4</w:t>
                  </w:r>
                  <w:r>
                    <w:rPr>
                      <w:rFonts w:ascii="Times New Roman" w:hAnsi="Times New Roman"/>
                      <w:szCs w:val="21"/>
                      <w:lang w:val="zh-CN"/>
                    </w:rPr>
                    <w:t>×1</w:t>
                  </w:r>
                  <w:r>
                    <w:rPr>
                      <w:rFonts w:hint="eastAsia" w:ascii="Times New Roman" w:hAnsi="Times New Roman"/>
                      <w:szCs w:val="21"/>
                    </w:rPr>
                    <w:t>1</w:t>
                  </w:r>
                  <w:r>
                    <w:rPr>
                      <w:rFonts w:ascii="Times New Roman" w:hAnsi="Times New Roman"/>
                      <w:szCs w:val="21"/>
                      <w:lang w:val="zh-CN"/>
                    </w:rPr>
                    <w:t xml:space="preserve">  L</w:t>
                  </w:r>
                  <w:r>
                    <w:rPr>
                      <w:rFonts w:hint="eastAsia" w:ascii="Times New Roman" w:hAnsi="Times New Roman"/>
                      <w:szCs w:val="21"/>
                    </w:rPr>
                    <w:t>360</w:t>
                  </w:r>
                  <w:r>
                    <w:rPr>
                      <w:rFonts w:ascii="Times New Roman" w:hAnsi="Times New Roman"/>
                      <w:szCs w:val="21"/>
                      <w:lang w:val="zh-CN"/>
                    </w:rPr>
                    <w:t>M   45</w:t>
                  </w:r>
                  <w:r>
                    <w:rPr>
                      <w:rFonts w:hint="eastAsia" w:ascii="Times New Roman" w:hAnsi="Times New Roman"/>
                      <w:szCs w:val="21"/>
                    </w:rPr>
                    <w:t>°</w:t>
                  </w:r>
                  <w:r>
                    <w:rPr>
                      <w:rFonts w:ascii="Times New Roman" w:hAnsi="Times New Roman"/>
                      <w:szCs w:val="21"/>
                      <w:lang w:val="zh-CN"/>
                    </w:rPr>
                    <w:t>R=6D</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 xml:space="preserve">D610×13.6  L415M   </w:t>
                  </w:r>
                  <w:r>
                    <w:rPr>
                      <w:rFonts w:hint="eastAsia" w:ascii="Times New Roman" w:hAnsi="Times New Roman"/>
                      <w:szCs w:val="21"/>
                    </w:rPr>
                    <w:t>90°</w:t>
                  </w:r>
                  <w:r>
                    <w:rPr>
                      <w:rFonts w:ascii="Times New Roman" w:hAnsi="Times New Roman"/>
                      <w:szCs w:val="21"/>
                      <w:lang w:val="zh-CN"/>
                    </w:rPr>
                    <w:t>R=6D</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34" w:type="dxa"/>
                  <w:vAlign w:val="center"/>
                </w:tcPr>
                <w:p>
                  <w:pPr>
                    <w:jc w:val="center"/>
                    <w:rPr>
                      <w:rFonts w:ascii="Times New Roman" w:hAnsi="Times New Roman"/>
                      <w:szCs w:val="21"/>
                    </w:rPr>
                  </w:pPr>
                </w:p>
              </w:tc>
              <w:tc>
                <w:tcPr>
                  <w:tcW w:w="6071" w:type="dxa"/>
                  <w:vAlign w:val="center"/>
                </w:tcPr>
                <w:p>
                  <w:pPr>
                    <w:jc w:val="center"/>
                    <w:rPr>
                      <w:rFonts w:ascii="Times New Roman" w:hAnsi="Times New Roman"/>
                      <w:szCs w:val="21"/>
                      <w:lang w:val="zh-CN"/>
                    </w:rPr>
                  </w:pPr>
                  <w:r>
                    <w:rPr>
                      <w:rFonts w:ascii="Times New Roman" w:hAnsi="Times New Roman"/>
                      <w:szCs w:val="21"/>
                      <w:lang w:val="zh-CN"/>
                    </w:rPr>
                    <w:t>D</w:t>
                  </w:r>
                  <w:r>
                    <w:rPr>
                      <w:rFonts w:hint="eastAsia" w:ascii="Times New Roman" w:hAnsi="Times New Roman"/>
                      <w:szCs w:val="21"/>
                    </w:rPr>
                    <w:t>406.4</w:t>
                  </w:r>
                  <w:r>
                    <w:rPr>
                      <w:rFonts w:ascii="Times New Roman" w:hAnsi="Times New Roman"/>
                      <w:szCs w:val="21"/>
                      <w:lang w:val="zh-CN"/>
                    </w:rPr>
                    <w:t>×1</w:t>
                  </w:r>
                  <w:r>
                    <w:rPr>
                      <w:rFonts w:hint="eastAsia" w:ascii="Times New Roman" w:hAnsi="Times New Roman"/>
                      <w:szCs w:val="21"/>
                    </w:rPr>
                    <w:t>1</w:t>
                  </w:r>
                  <w:r>
                    <w:rPr>
                      <w:rFonts w:ascii="Times New Roman" w:hAnsi="Times New Roman"/>
                      <w:szCs w:val="21"/>
                      <w:lang w:val="zh-CN"/>
                    </w:rPr>
                    <w:t xml:space="preserve">  L</w:t>
                  </w:r>
                  <w:r>
                    <w:rPr>
                      <w:rFonts w:hint="eastAsia" w:ascii="Times New Roman" w:hAnsi="Times New Roman"/>
                      <w:szCs w:val="21"/>
                    </w:rPr>
                    <w:t>360</w:t>
                  </w:r>
                  <w:r>
                    <w:rPr>
                      <w:rFonts w:ascii="Times New Roman" w:hAnsi="Times New Roman"/>
                      <w:szCs w:val="21"/>
                      <w:lang w:val="zh-CN"/>
                    </w:rPr>
                    <w:t xml:space="preserve">M   </w:t>
                  </w:r>
                  <w:r>
                    <w:rPr>
                      <w:rFonts w:hint="eastAsia" w:ascii="Times New Roman" w:hAnsi="Times New Roman"/>
                      <w:szCs w:val="21"/>
                    </w:rPr>
                    <w:t>90°</w:t>
                  </w:r>
                  <w:r>
                    <w:rPr>
                      <w:rFonts w:ascii="Times New Roman" w:hAnsi="Times New Roman"/>
                      <w:szCs w:val="21"/>
                      <w:lang w:val="zh-CN"/>
                    </w:rPr>
                    <w:t>R=6D</w:t>
                  </w:r>
                </w:p>
              </w:tc>
              <w:tc>
                <w:tcPr>
                  <w:tcW w:w="804" w:type="dxa"/>
                  <w:vAlign w:val="center"/>
                </w:tcPr>
                <w:p>
                  <w:pPr>
                    <w:jc w:val="center"/>
                    <w:rPr>
                      <w:rFonts w:ascii="Times New Roman" w:hAnsi="Times New Roman"/>
                      <w:szCs w:val="21"/>
                    </w:rPr>
                  </w:pPr>
                  <w:r>
                    <w:rPr>
                      <w:rFonts w:hint="eastAsia" w:ascii="Times New Roman" w:hAnsi="Times New Roman"/>
                      <w:szCs w:val="21"/>
                    </w:rPr>
                    <w:t>个</w:t>
                  </w:r>
                </w:p>
              </w:tc>
              <w:tc>
                <w:tcPr>
                  <w:tcW w:w="636" w:type="dxa"/>
                  <w:vAlign w:val="center"/>
                </w:tcPr>
                <w:p>
                  <w:pPr>
                    <w:jc w:val="center"/>
                    <w:rPr>
                      <w:rFonts w:ascii="Times New Roman" w:hAnsi="Times New Roman"/>
                      <w:szCs w:val="21"/>
                    </w:rPr>
                  </w:pPr>
                  <w:r>
                    <w:rPr>
                      <w:rFonts w:hint="eastAsia" w:ascii="Times New Roman" w:hAnsi="Times New Roman"/>
                      <w:szCs w:val="21"/>
                    </w:rPr>
                    <w:t>1</w:t>
                  </w:r>
                </w:p>
              </w:tc>
            </w:tr>
          </w:tbl>
          <w:p>
            <w:pPr>
              <w:spacing w:line="360" w:lineRule="auto"/>
              <w:ind w:firstLine="482" w:firstLineChars="200"/>
              <w:jc w:val="center"/>
              <w:rPr>
                <w:rFonts w:ascii="Times New Roman" w:hAnsi="Times New Roman"/>
                <w:b/>
                <w:sz w:val="24"/>
              </w:rPr>
            </w:pPr>
          </w:p>
          <w:p>
            <w:pPr>
              <w:spacing w:line="360" w:lineRule="auto"/>
              <w:ind w:firstLine="482" w:firstLineChars="200"/>
              <w:jc w:val="center"/>
              <w:rPr>
                <w:rFonts w:ascii="Times New Roman" w:hAnsi="Times New Roman"/>
                <w:b/>
                <w:sz w:val="24"/>
              </w:rPr>
            </w:pPr>
            <w:r>
              <w:rPr>
                <w:rFonts w:ascii="Times New Roman" w:hAnsi="Times New Roman"/>
                <w:b/>
                <w:sz w:val="24"/>
              </w:rPr>
              <w:t>表1</w:t>
            </w:r>
            <w:r>
              <w:rPr>
                <w:rFonts w:hint="eastAsia" w:ascii="Times New Roman" w:hAnsi="Times New Roman"/>
                <w:b/>
                <w:sz w:val="24"/>
              </w:rPr>
              <w:t>-3</w:t>
            </w:r>
            <w:r>
              <w:rPr>
                <w:rFonts w:ascii="Times New Roman" w:hAnsi="Times New Roman"/>
                <w:b/>
                <w:sz w:val="24"/>
              </w:rPr>
              <w:t xml:space="preserve">  </w:t>
            </w:r>
            <w:r>
              <w:rPr>
                <w:rFonts w:hint="eastAsia" w:ascii="Times New Roman" w:hAnsi="Times New Roman"/>
                <w:b/>
                <w:sz w:val="24"/>
              </w:rPr>
              <w:t>横山分输站</w:t>
            </w:r>
            <w:r>
              <w:rPr>
                <w:rFonts w:ascii="Times New Roman" w:hAnsi="Times New Roman"/>
                <w:b/>
                <w:sz w:val="24"/>
              </w:rPr>
              <w:t>主要设备一览表</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34" w:type="dxa"/>
                <w:bottom w:w="0" w:type="dxa"/>
                <w:right w:w="34" w:type="dxa"/>
              </w:tblCellMar>
            </w:tblPr>
            <w:tblGrid>
              <w:gridCol w:w="787"/>
              <w:gridCol w:w="6512"/>
              <w:gridCol w:w="862"/>
              <w:gridCol w:w="68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31" w:hRule="atLeast"/>
                <w:tblHeader/>
                <w:jc w:val="center"/>
              </w:trPr>
              <w:tc>
                <w:tcPr>
                  <w:tcW w:w="787" w:type="dxa"/>
                  <w:vAlign w:val="bottom"/>
                </w:tcPr>
                <w:p>
                  <w:pPr>
                    <w:jc w:val="center"/>
                    <w:rPr>
                      <w:rFonts w:ascii="Times New Roman" w:hAnsi="Times New Roman"/>
                      <w:szCs w:val="21"/>
                    </w:rPr>
                  </w:pPr>
                  <w:r>
                    <w:rPr>
                      <w:rFonts w:ascii="Times New Roman" w:hAnsi="Times New Roman"/>
                      <w:szCs w:val="21"/>
                    </w:rPr>
                    <w:t>序号</w:t>
                  </w:r>
                </w:p>
              </w:tc>
              <w:tc>
                <w:tcPr>
                  <w:tcW w:w="6512" w:type="dxa"/>
                  <w:vAlign w:val="bottom"/>
                </w:tcPr>
                <w:p>
                  <w:pPr>
                    <w:jc w:val="center"/>
                    <w:rPr>
                      <w:rFonts w:ascii="Times New Roman" w:hAnsi="Times New Roman"/>
                      <w:szCs w:val="21"/>
                    </w:rPr>
                  </w:pPr>
                  <w:r>
                    <w:rPr>
                      <w:rFonts w:hint="eastAsia" w:ascii="Times New Roman" w:hAnsi="Times New Roman"/>
                      <w:szCs w:val="21"/>
                    </w:rPr>
                    <w:t>设备、材料名称</w:t>
                  </w:r>
                </w:p>
              </w:tc>
              <w:tc>
                <w:tcPr>
                  <w:tcW w:w="862" w:type="dxa"/>
                  <w:vAlign w:val="bottom"/>
                </w:tcPr>
                <w:p>
                  <w:pPr>
                    <w:jc w:val="center"/>
                    <w:rPr>
                      <w:rFonts w:ascii="Times New Roman" w:hAnsi="Times New Roman"/>
                      <w:szCs w:val="21"/>
                    </w:rPr>
                  </w:pPr>
                  <w:r>
                    <w:rPr>
                      <w:rFonts w:ascii="Times New Roman" w:hAnsi="Times New Roman"/>
                      <w:szCs w:val="21"/>
                    </w:rPr>
                    <w:t>单位</w:t>
                  </w:r>
                </w:p>
              </w:tc>
              <w:tc>
                <w:tcPr>
                  <w:tcW w:w="683" w:type="dxa"/>
                  <w:vAlign w:val="bottom"/>
                </w:tcPr>
                <w:p>
                  <w:pPr>
                    <w:jc w:val="center"/>
                    <w:rPr>
                      <w:rFonts w:ascii="Times New Roman" w:hAnsi="Times New Roman"/>
                      <w:szCs w:val="21"/>
                    </w:rPr>
                  </w:pPr>
                  <w:r>
                    <w:rPr>
                      <w:rFonts w:ascii="Times New Roman" w:hAnsi="Times New Roman"/>
                      <w:szCs w:val="21"/>
                    </w:rPr>
                    <w:t>数量</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一</w:t>
                  </w:r>
                </w:p>
              </w:tc>
              <w:tc>
                <w:tcPr>
                  <w:tcW w:w="6512" w:type="dxa"/>
                  <w:vAlign w:val="center"/>
                </w:tcPr>
                <w:p>
                  <w:pPr>
                    <w:jc w:val="center"/>
                    <w:rPr>
                      <w:rFonts w:ascii="Times New Roman" w:hAnsi="Times New Roman"/>
                      <w:szCs w:val="21"/>
                    </w:rPr>
                  </w:pPr>
                  <w:r>
                    <w:rPr>
                      <w:rFonts w:hint="eastAsia" w:ascii="Times New Roman" w:hAnsi="Times New Roman"/>
                      <w:szCs w:val="21"/>
                    </w:rPr>
                    <w:t>阀门</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1</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手动球阀（配套法兰、螺栓、螺母）</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w:t>
                  </w:r>
                  <w:r>
                    <w:rPr>
                      <w:rFonts w:hint="eastAsia" w:ascii="Times New Roman" w:hAnsi="Times New Roman"/>
                      <w:szCs w:val="21"/>
                    </w:rPr>
                    <w:t>3</w:t>
                  </w:r>
                  <w:r>
                    <w:rPr>
                      <w:rFonts w:ascii="Times New Roman" w:hAnsi="Times New Roman"/>
                      <w:szCs w:val="21"/>
                      <w:lang w:val="zh-CN"/>
                    </w:rPr>
                    <w:t>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DN250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6</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w:t>
                  </w:r>
                  <w:r>
                    <w:rPr>
                      <w:rFonts w:hint="eastAsia" w:ascii="Times New Roman" w:hAnsi="Times New Roman"/>
                      <w:szCs w:val="21"/>
                    </w:rPr>
                    <w:t>15</w:t>
                  </w:r>
                  <w:r>
                    <w:rPr>
                      <w:rFonts w:ascii="Times New Roman" w:hAnsi="Times New Roman"/>
                      <w:szCs w:val="21"/>
                      <w:lang w:val="zh-CN"/>
                    </w:rPr>
                    <w:t>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11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DN100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26</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2</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手动节流截止阀（配套法兰、螺栓、螺母）</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  DN100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PN63  DN50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3</w:t>
                  </w:r>
                </w:p>
              </w:tc>
              <w:tc>
                <w:tcPr>
                  <w:tcW w:w="6512" w:type="dxa"/>
                  <w:vAlign w:val="center"/>
                </w:tcPr>
                <w:p>
                  <w:pPr>
                    <w:jc w:val="center"/>
                    <w:rPr>
                      <w:rFonts w:ascii="Times New Roman" w:hAnsi="Times New Roman"/>
                      <w:szCs w:val="21"/>
                    </w:rPr>
                  </w:pPr>
                  <w:r>
                    <w:rPr>
                      <w:rFonts w:ascii="Times New Roman" w:hAnsi="Times New Roman"/>
                      <w:szCs w:val="21"/>
                      <w:lang w:val="zh-CN"/>
                    </w:rPr>
                    <w:t>阀套式排污阀（配套法兰、螺栓、螺母）</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PN63 DN</w:t>
                  </w:r>
                  <w:r>
                    <w:rPr>
                      <w:rFonts w:hint="eastAsia" w:ascii="Times New Roman" w:hAnsi="Times New Roman"/>
                      <w:szCs w:val="21"/>
                    </w:rPr>
                    <w:t>1</w:t>
                  </w:r>
                  <w:r>
                    <w:rPr>
                      <w:rFonts w:ascii="Times New Roman" w:hAnsi="Times New Roman"/>
                      <w:szCs w:val="21"/>
                      <w:lang w:val="zh-CN"/>
                    </w:rPr>
                    <w:t>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二</w:t>
                  </w:r>
                </w:p>
              </w:tc>
              <w:tc>
                <w:tcPr>
                  <w:tcW w:w="6512" w:type="dxa"/>
                  <w:vAlign w:val="center"/>
                </w:tcPr>
                <w:p>
                  <w:pPr>
                    <w:jc w:val="center"/>
                    <w:rPr>
                      <w:rFonts w:ascii="Times New Roman" w:hAnsi="Times New Roman"/>
                      <w:szCs w:val="21"/>
                    </w:rPr>
                  </w:pPr>
                  <w:r>
                    <w:rPr>
                      <w:rFonts w:ascii="Times New Roman" w:hAnsi="Times New Roman"/>
                      <w:szCs w:val="21"/>
                      <w:lang w:val="zh-CN"/>
                    </w:rPr>
                    <w:t>管材（选用持证单位生产的压力管道）</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1</w:t>
                  </w:r>
                </w:p>
              </w:tc>
              <w:tc>
                <w:tcPr>
                  <w:tcW w:w="6512" w:type="dxa"/>
                  <w:vAlign w:val="center"/>
                </w:tcPr>
                <w:p>
                  <w:pPr>
                    <w:jc w:val="center"/>
                    <w:rPr>
                      <w:rFonts w:ascii="Times New Roman" w:hAnsi="Times New Roman"/>
                      <w:szCs w:val="21"/>
                    </w:rPr>
                  </w:pPr>
                  <w:r>
                    <w:rPr>
                      <w:rFonts w:ascii="Times New Roman" w:hAnsi="Times New Roman"/>
                      <w:szCs w:val="21"/>
                      <w:lang w:val="zh-CN"/>
                    </w:rPr>
                    <w:t>直缝埋弧焊钢管  L</w:t>
                  </w:r>
                  <w:r>
                    <w:rPr>
                      <w:rFonts w:hint="eastAsia" w:ascii="Times New Roman" w:hAnsi="Times New Roman"/>
                      <w:szCs w:val="21"/>
                    </w:rPr>
                    <w:t>360</w:t>
                  </w:r>
                  <w:r>
                    <w:rPr>
                      <w:rFonts w:ascii="Times New Roman" w:hAnsi="Times New Roman"/>
                      <w:szCs w:val="21"/>
                      <w:lang w:val="zh-CN"/>
                    </w:rPr>
                    <w:t>M</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D</w:t>
                  </w:r>
                  <w:r>
                    <w:rPr>
                      <w:rFonts w:hint="eastAsia" w:ascii="Times New Roman" w:hAnsi="Times New Roman"/>
                      <w:szCs w:val="21"/>
                    </w:rPr>
                    <w:t>406.4</w:t>
                  </w:r>
                  <w:r>
                    <w:rPr>
                      <w:rFonts w:ascii="Times New Roman" w:hAnsi="Times New Roman"/>
                      <w:szCs w:val="21"/>
                      <w:lang w:val="zh-CN"/>
                    </w:rPr>
                    <w:t>×</w:t>
                  </w:r>
                  <w:r>
                    <w:rPr>
                      <w:rFonts w:hint="eastAsia" w:ascii="Times New Roman" w:hAnsi="Times New Roman"/>
                      <w:szCs w:val="21"/>
                    </w:rPr>
                    <w:t>7.1</w:t>
                  </w:r>
                </w:p>
              </w:tc>
              <w:tc>
                <w:tcPr>
                  <w:tcW w:w="862" w:type="dxa"/>
                  <w:vAlign w:val="center"/>
                </w:tcPr>
                <w:p>
                  <w:pPr>
                    <w:jc w:val="center"/>
                    <w:rPr>
                      <w:rFonts w:ascii="Times New Roman" w:hAnsi="Times New Roman"/>
                      <w:szCs w:val="21"/>
                    </w:rPr>
                  </w:pPr>
                  <w:r>
                    <w:rPr>
                      <w:rFonts w:hint="eastAsia" w:ascii="Times New Roman" w:hAnsi="Times New Roman"/>
                      <w:szCs w:val="21"/>
                    </w:rPr>
                    <w:t>m</w:t>
                  </w:r>
                </w:p>
              </w:tc>
              <w:tc>
                <w:tcPr>
                  <w:tcW w:w="683" w:type="dxa"/>
                  <w:vAlign w:val="center"/>
                </w:tcPr>
                <w:p>
                  <w:pPr>
                    <w:jc w:val="center"/>
                    <w:rPr>
                      <w:rFonts w:ascii="Times New Roman" w:hAnsi="Times New Roman"/>
                      <w:szCs w:val="21"/>
                    </w:rPr>
                  </w:pPr>
                  <w:r>
                    <w:rPr>
                      <w:rFonts w:hint="eastAsia" w:ascii="Times New Roman" w:hAnsi="Times New Roman"/>
                      <w:szCs w:val="21"/>
                    </w:rPr>
                    <w:t>20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D</w:t>
                  </w:r>
                  <w:r>
                    <w:rPr>
                      <w:rFonts w:hint="eastAsia" w:ascii="Times New Roman" w:hAnsi="Times New Roman"/>
                      <w:szCs w:val="21"/>
                    </w:rPr>
                    <w:t>323.9</w:t>
                  </w:r>
                  <w:r>
                    <w:rPr>
                      <w:rFonts w:ascii="Times New Roman" w:hAnsi="Times New Roman"/>
                      <w:szCs w:val="21"/>
                      <w:lang w:val="zh-CN"/>
                    </w:rPr>
                    <w:t>×</w:t>
                  </w:r>
                  <w:r>
                    <w:rPr>
                      <w:rFonts w:hint="eastAsia" w:ascii="Times New Roman" w:hAnsi="Times New Roman"/>
                      <w:szCs w:val="21"/>
                    </w:rPr>
                    <w:t>6.3</w:t>
                  </w:r>
                </w:p>
              </w:tc>
              <w:tc>
                <w:tcPr>
                  <w:tcW w:w="862" w:type="dxa"/>
                  <w:vAlign w:val="center"/>
                </w:tcPr>
                <w:p>
                  <w:pPr>
                    <w:jc w:val="center"/>
                    <w:rPr>
                      <w:rFonts w:ascii="Times New Roman" w:hAnsi="Times New Roman"/>
                      <w:szCs w:val="21"/>
                    </w:rPr>
                  </w:pPr>
                  <w:r>
                    <w:rPr>
                      <w:rFonts w:hint="eastAsia" w:ascii="Times New Roman" w:hAnsi="Times New Roman"/>
                      <w:szCs w:val="21"/>
                    </w:rPr>
                    <w:t>m</w:t>
                  </w:r>
                </w:p>
              </w:tc>
              <w:tc>
                <w:tcPr>
                  <w:tcW w:w="683" w:type="dxa"/>
                  <w:vAlign w:val="center"/>
                </w:tcPr>
                <w:p>
                  <w:pPr>
                    <w:jc w:val="center"/>
                    <w:rPr>
                      <w:rFonts w:ascii="Times New Roman" w:hAnsi="Times New Roman"/>
                      <w:szCs w:val="21"/>
                    </w:rPr>
                  </w:pPr>
                  <w:r>
                    <w:rPr>
                      <w:rFonts w:hint="eastAsia" w:ascii="Times New Roman" w:hAnsi="Times New Roman"/>
                      <w:szCs w:val="21"/>
                    </w:rPr>
                    <w:t>80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2</w:t>
                  </w:r>
                </w:p>
              </w:tc>
              <w:tc>
                <w:tcPr>
                  <w:tcW w:w="6512" w:type="dxa"/>
                  <w:vAlign w:val="center"/>
                </w:tcPr>
                <w:p>
                  <w:pPr>
                    <w:jc w:val="center"/>
                    <w:rPr>
                      <w:rFonts w:ascii="Times New Roman" w:hAnsi="Times New Roman"/>
                      <w:szCs w:val="21"/>
                    </w:rPr>
                  </w:pPr>
                  <w:r>
                    <w:rPr>
                      <w:rFonts w:ascii="Times New Roman" w:hAnsi="Times New Roman"/>
                      <w:szCs w:val="21"/>
                      <w:lang w:val="zh-CN"/>
                    </w:rPr>
                    <w:t>无缝钢管 L245N</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D273</w:t>
                  </w:r>
                  <w:r>
                    <w:rPr>
                      <w:rFonts w:hint="eastAsia" w:ascii="Times New Roman" w:hAnsi="Times New Roman"/>
                      <w:szCs w:val="21"/>
                    </w:rPr>
                    <w:t>.1</w:t>
                  </w:r>
                  <w:r>
                    <w:rPr>
                      <w:rFonts w:ascii="Times New Roman" w:hAnsi="Times New Roman"/>
                      <w:szCs w:val="21"/>
                      <w:lang w:val="zh-CN"/>
                    </w:rPr>
                    <w:t>×</w:t>
                  </w:r>
                  <w:r>
                    <w:rPr>
                      <w:rFonts w:hint="eastAsia" w:ascii="Times New Roman" w:hAnsi="Times New Roman"/>
                      <w:szCs w:val="21"/>
                    </w:rPr>
                    <w:t>6.3</w:t>
                  </w:r>
                </w:p>
              </w:tc>
              <w:tc>
                <w:tcPr>
                  <w:tcW w:w="862" w:type="dxa"/>
                  <w:vAlign w:val="center"/>
                </w:tcPr>
                <w:p>
                  <w:pPr>
                    <w:jc w:val="center"/>
                    <w:rPr>
                      <w:rFonts w:ascii="Times New Roman" w:hAnsi="Times New Roman"/>
                      <w:szCs w:val="21"/>
                    </w:rPr>
                  </w:pPr>
                  <w:r>
                    <w:rPr>
                      <w:rFonts w:hint="eastAsia" w:ascii="Times New Roman" w:hAnsi="Times New Roman"/>
                      <w:szCs w:val="21"/>
                    </w:rPr>
                    <w:t>m</w:t>
                  </w:r>
                </w:p>
              </w:tc>
              <w:tc>
                <w:tcPr>
                  <w:tcW w:w="683" w:type="dxa"/>
                  <w:vAlign w:val="center"/>
                </w:tcPr>
                <w:p>
                  <w:pPr>
                    <w:jc w:val="center"/>
                    <w:rPr>
                      <w:rFonts w:ascii="Times New Roman" w:hAnsi="Times New Roman"/>
                      <w:szCs w:val="21"/>
                    </w:rPr>
                  </w:pPr>
                  <w:r>
                    <w:rPr>
                      <w:rFonts w:hint="eastAsia" w:ascii="Times New Roman" w:hAnsi="Times New Roman"/>
                      <w:szCs w:val="21"/>
                    </w:rPr>
                    <w:t>50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08"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D</w:t>
                  </w:r>
                  <w:r>
                    <w:rPr>
                      <w:rFonts w:hint="eastAsia" w:ascii="Times New Roman" w:hAnsi="Times New Roman"/>
                      <w:szCs w:val="21"/>
                    </w:rPr>
                    <w:t>168.3</w:t>
                  </w:r>
                  <w:r>
                    <w:rPr>
                      <w:rFonts w:ascii="Times New Roman" w:hAnsi="Times New Roman"/>
                      <w:szCs w:val="21"/>
                      <w:lang w:val="zh-CN"/>
                    </w:rPr>
                    <w:t>×</w:t>
                  </w:r>
                  <w:r>
                    <w:rPr>
                      <w:rFonts w:hint="eastAsia" w:ascii="Times New Roman" w:hAnsi="Times New Roman"/>
                      <w:szCs w:val="21"/>
                    </w:rPr>
                    <w:t>8</w:t>
                  </w:r>
                </w:p>
              </w:tc>
              <w:tc>
                <w:tcPr>
                  <w:tcW w:w="862" w:type="dxa"/>
                  <w:vAlign w:val="center"/>
                </w:tcPr>
                <w:p>
                  <w:pPr>
                    <w:jc w:val="center"/>
                    <w:rPr>
                      <w:rFonts w:ascii="Times New Roman" w:hAnsi="Times New Roman"/>
                      <w:szCs w:val="21"/>
                    </w:rPr>
                  </w:pPr>
                  <w:r>
                    <w:rPr>
                      <w:rFonts w:hint="eastAsia" w:ascii="Times New Roman" w:hAnsi="Times New Roman"/>
                      <w:szCs w:val="21"/>
                    </w:rPr>
                    <w:t>m</w:t>
                  </w:r>
                </w:p>
              </w:tc>
              <w:tc>
                <w:tcPr>
                  <w:tcW w:w="683" w:type="dxa"/>
                  <w:vAlign w:val="center"/>
                </w:tcPr>
                <w:p>
                  <w:pPr>
                    <w:jc w:val="center"/>
                    <w:rPr>
                      <w:rFonts w:ascii="Times New Roman" w:hAnsi="Times New Roman"/>
                      <w:szCs w:val="21"/>
                    </w:rPr>
                  </w:pPr>
                  <w:r>
                    <w:rPr>
                      <w:rFonts w:hint="eastAsia" w:ascii="Times New Roman" w:hAnsi="Times New Roman"/>
                      <w:szCs w:val="21"/>
                    </w:rPr>
                    <w:t>200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D114.3×</w:t>
                  </w:r>
                  <w:r>
                    <w:rPr>
                      <w:rFonts w:hint="eastAsia" w:ascii="Times New Roman" w:hAnsi="Times New Roman"/>
                      <w:szCs w:val="21"/>
                    </w:rPr>
                    <w:t>5</w:t>
                  </w:r>
                </w:p>
              </w:tc>
              <w:tc>
                <w:tcPr>
                  <w:tcW w:w="862" w:type="dxa"/>
                  <w:vAlign w:val="center"/>
                </w:tcPr>
                <w:p>
                  <w:pPr>
                    <w:jc w:val="center"/>
                    <w:rPr>
                      <w:rFonts w:ascii="Times New Roman" w:hAnsi="Times New Roman"/>
                      <w:szCs w:val="21"/>
                    </w:rPr>
                  </w:pPr>
                  <w:r>
                    <w:rPr>
                      <w:rFonts w:hint="eastAsia" w:ascii="Times New Roman" w:hAnsi="Times New Roman"/>
                      <w:szCs w:val="21"/>
                    </w:rPr>
                    <w:t>m</w:t>
                  </w:r>
                </w:p>
              </w:tc>
              <w:tc>
                <w:tcPr>
                  <w:tcW w:w="683" w:type="dxa"/>
                  <w:vAlign w:val="center"/>
                </w:tcPr>
                <w:p>
                  <w:pPr>
                    <w:jc w:val="center"/>
                    <w:rPr>
                      <w:rFonts w:ascii="Times New Roman" w:hAnsi="Times New Roman"/>
                      <w:szCs w:val="21"/>
                    </w:rPr>
                  </w:pPr>
                  <w:r>
                    <w:rPr>
                      <w:rFonts w:hint="eastAsia" w:ascii="Times New Roman" w:hAnsi="Times New Roman"/>
                      <w:szCs w:val="21"/>
                    </w:rPr>
                    <w:t>350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rPr>
                  </w:pPr>
                  <w:r>
                    <w:rPr>
                      <w:rFonts w:ascii="Times New Roman" w:hAnsi="Times New Roman"/>
                      <w:szCs w:val="21"/>
                      <w:lang w:val="zh-CN"/>
                    </w:rPr>
                    <w:t>D60.3×</w:t>
                  </w:r>
                  <w:r>
                    <w:rPr>
                      <w:rFonts w:hint="eastAsia" w:ascii="Times New Roman" w:hAnsi="Times New Roman"/>
                      <w:szCs w:val="21"/>
                    </w:rPr>
                    <w:t>5</w:t>
                  </w:r>
                </w:p>
              </w:tc>
              <w:tc>
                <w:tcPr>
                  <w:tcW w:w="862" w:type="dxa"/>
                  <w:vAlign w:val="center"/>
                </w:tcPr>
                <w:p>
                  <w:pPr>
                    <w:jc w:val="center"/>
                    <w:rPr>
                      <w:rFonts w:ascii="Times New Roman" w:hAnsi="Times New Roman"/>
                      <w:szCs w:val="21"/>
                    </w:rPr>
                  </w:pPr>
                  <w:r>
                    <w:rPr>
                      <w:rFonts w:hint="eastAsia" w:ascii="Times New Roman" w:hAnsi="Times New Roman"/>
                      <w:szCs w:val="21"/>
                    </w:rPr>
                    <w:t>m</w:t>
                  </w:r>
                </w:p>
              </w:tc>
              <w:tc>
                <w:tcPr>
                  <w:tcW w:w="683" w:type="dxa"/>
                  <w:vAlign w:val="center"/>
                </w:tcPr>
                <w:p>
                  <w:pPr>
                    <w:jc w:val="center"/>
                    <w:rPr>
                      <w:rFonts w:ascii="Times New Roman" w:hAnsi="Times New Roman"/>
                      <w:szCs w:val="21"/>
                    </w:rPr>
                  </w:pPr>
                  <w:r>
                    <w:rPr>
                      <w:rFonts w:hint="eastAsia" w:ascii="Times New Roman" w:hAnsi="Times New Roman"/>
                      <w:szCs w:val="21"/>
                    </w:rPr>
                    <w:t>300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三</w:t>
                  </w:r>
                </w:p>
              </w:tc>
              <w:tc>
                <w:tcPr>
                  <w:tcW w:w="6512" w:type="dxa"/>
                  <w:vAlign w:val="center"/>
                </w:tcPr>
                <w:p>
                  <w:pPr>
                    <w:jc w:val="center"/>
                    <w:rPr>
                      <w:rFonts w:ascii="Times New Roman" w:hAnsi="Times New Roman"/>
                      <w:szCs w:val="21"/>
                    </w:rPr>
                  </w:pPr>
                  <w:r>
                    <w:rPr>
                      <w:rFonts w:ascii="Times New Roman" w:hAnsi="Times New Roman"/>
                      <w:szCs w:val="21"/>
                      <w:lang w:val="zh-CN"/>
                    </w:rPr>
                    <w:t>管件</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1</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热煨弯管</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D</w:t>
                  </w:r>
                  <w:r>
                    <w:rPr>
                      <w:rFonts w:hint="eastAsia" w:ascii="Times New Roman" w:hAnsi="Times New Roman"/>
                      <w:szCs w:val="21"/>
                    </w:rPr>
                    <w:t>406.4</w:t>
                  </w:r>
                  <w:r>
                    <w:rPr>
                      <w:rFonts w:ascii="Times New Roman" w:hAnsi="Times New Roman"/>
                      <w:szCs w:val="21"/>
                      <w:lang w:val="zh-CN"/>
                    </w:rPr>
                    <w:t>×</w:t>
                  </w:r>
                  <w:r>
                    <w:rPr>
                      <w:rFonts w:hint="eastAsia" w:ascii="Times New Roman" w:hAnsi="Times New Roman"/>
                      <w:szCs w:val="21"/>
                    </w:rPr>
                    <w:t>7.1</w:t>
                  </w:r>
                  <w:r>
                    <w:rPr>
                      <w:rFonts w:ascii="Times New Roman" w:hAnsi="Times New Roman"/>
                      <w:szCs w:val="21"/>
                      <w:lang w:val="zh-CN"/>
                    </w:rPr>
                    <w:t xml:space="preserve">  L</w:t>
                  </w:r>
                  <w:r>
                    <w:rPr>
                      <w:rFonts w:hint="eastAsia" w:ascii="Times New Roman" w:hAnsi="Times New Roman"/>
                      <w:szCs w:val="21"/>
                    </w:rPr>
                    <w:t>360</w:t>
                  </w:r>
                  <w:r>
                    <w:rPr>
                      <w:rFonts w:ascii="Times New Roman" w:hAnsi="Times New Roman"/>
                      <w:szCs w:val="21"/>
                      <w:lang w:val="zh-CN"/>
                    </w:rPr>
                    <w:t>M   45</w:t>
                  </w:r>
                  <w:r>
                    <w:rPr>
                      <w:rFonts w:hint="eastAsia" w:ascii="Times New Roman" w:hAnsi="Times New Roman"/>
                      <w:szCs w:val="21"/>
                    </w:rPr>
                    <w:t>°</w:t>
                  </w:r>
                  <w:r>
                    <w:rPr>
                      <w:rFonts w:ascii="Times New Roman" w:hAnsi="Times New Roman"/>
                      <w:szCs w:val="21"/>
                      <w:lang w:val="zh-CN"/>
                    </w:rPr>
                    <w:t>R=6D</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2</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90</w:t>
                  </w:r>
                  <w:r>
                    <w:rPr>
                      <w:rFonts w:hint="eastAsia" w:ascii="Times New Roman" w:hAnsi="Times New Roman"/>
                      <w:szCs w:val="21"/>
                    </w:rPr>
                    <w:t>°</w:t>
                  </w:r>
                  <w:r>
                    <w:rPr>
                      <w:rFonts w:ascii="Times New Roman" w:hAnsi="Times New Roman"/>
                      <w:szCs w:val="21"/>
                      <w:lang w:val="zh-CN"/>
                    </w:rPr>
                    <w:t>弯头</w:t>
                  </w:r>
                  <w:r>
                    <w:rPr>
                      <w:rFonts w:hint="eastAsia" w:ascii="Times New Roman" w:hAnsi="Times New Roman"/>
                      <w:szCs w:val="21"/>
                    </w:rPr>
                    <w:t xml:space="preserve"> </w:t>
                  </w:r>
                  <w:r>
                    <w:rPr>
                      <w:rFonts w:ascii="Times New Roman" w:hAnsi="Times New Roman"/>
                      <w:szCs w:val="21"/>
                      <w:lang w:val="zh-CN"/>
                    </w:rPr>
                    <w:t>R</w:t>
                  </w:r>
                  <w:r>
                    <w:rPr>
                      <w:rFonts w:hint="eastAsia" w:ascii="Times New Roman" w:hAnsi="Times New Roman"/>
                      <w:szCs w:val="21"/>
                    </w:rPr>
                    <w:t>=1</w:t>
                  </w:r>
                  <w:r>
                    <w:rPr>
                      <w:rFonts w:ascii="Times New Roman" w:hAnsi="Times New Roman"/>
                      <w:szCs w:val="21"/>
                      <w:lang w:val="zh-CN"/>
                    </w:rPr>
                    <w:t>.5DN</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DN300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12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DN250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DN150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DN1</w:t>
                  </w:r>
                  <w:r>
                    <w:rPr>
                      <w:rFonts w:hint="eastAsia" w:ascii="Times New Roman" w:hAnsi="Times New Roman"/>
                      <w:szCs w:val="21"/>
                    </w:rPr>
                    <w:t>0</w:t>
                  </w:r>
                  <w:r>
                    <w:rPr>
                      <w:rFonts w:ascii="Times New Roman" w:hAnsi="Times New Roman"/>
                      <w:szCs w:val="21"/>
                      <w:lang w:val="zh-CN"/>
                    </w:rPr>
                    <w:t>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3</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清管三通</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 DN400×</w:t>
                  </w:r>
                  <w:r>
                    <w:rPr>
                      <w:rFonts w:hint="eastAsia" w:ascii="Times New Roman" w:hAnsi="Times New Roman"/>
                      <w:szCs w:val="21"/>
                    </w:rPr>
                    <w:t>4</w:t>
                  </w:r>
                  <w:r>
                    <w:rPr>
                      <w:rFonts w:ascii="Times New Roman" w:hAnsi="Times New Roman"/>
                      <w:szCs w:val="21"/>
                      <w:lang w:val="zh-CN"/>
                    </w:rPr>
                    <w:t>00 ×</w:t>
                  </w:r>
                  <w:r>
                    <w:rPr>
                      <w:rFonts w:hint="eastAsia" w:ascii="Times New Roman" w:hAnsi="Times New Roman"/>
                      <w:szCs w:val="21"/>
                    </w:rPr>
                    <w:t>3</w:t>
                  </w:r>
                  <w:r>
                    <w:rPr>
                      <w:rFonts w:ascii="Times New Roman" w:hAnsi="Times New Roman"/>
                      <w:szCs w:val="21"/>
                      <w:lang w:val="zh-CN"/>
                    </w:rPr>
                    <w:t>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 DN400×</w:t>
                  </w:r>
                  <w:r>
                    <w:rPr>
                      <w:rFonts w:hint="eastAsia" w:ascii="Times New Roman" w:hAnsi="Times New Roman"/>
                      <w:szCs w:val="21"/>
                    </w:rPr>
                    <w:t>4</w:t>
                  </w:r>
                  <w:r>
                    <w:rPr>
                      <w:rFonts w:ascii="Times New Roman" w:hAnsi="Times New Roman"/>
                      <w:szCs w:val="21"/>
                      <w:lang w:val="zh-CN"/>
                    </w:rPr>
                    <w:t>00×150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4</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等径三通</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DN300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DN250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DN150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15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DN100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5</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异径三通</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DN300×</w:t>
                  </w:r>
                  <w:r>
                    <w:rPr>
                      <w:rFonts w:hint="eastAsia" w:ascii="Times New Roman" w:hAnsi="Times New Roman"/>
                      <w:szCs w:val="21"/>
                    </w:rPr>
                    <w:t>3</w:t>
                  </w:r>
                  <w:r>
                    <w:rPr>
                      <w:rFonts w:ascii="Times New Roman" w:hAnsi="Times New Roman"/>
                      <w:szCs w:val="21"/>
                      <w:lang w:val="zh-CN"/>
                    </w:rPr>
                    <w:t>00×</w:t>
                  </w:r>
                  <w:r>
                    <w:rPr>
                      <w:rFonts w:hint="eastAsia" w:ascii="Times New Roman" w:hAnsi="Times New Roman"/>
                      <w:szCs w:val="21"/>
                    </w:rPr>
                    <w:t>2</w:t>
                  </w:r>
                  <w:r>
                    <w:rPr>
                      <w:rFonts w:ascii="Times New Roman" w:hAnsi="Times New Roman"/>
                      <w:szCs w:val="21"/>
                      <w:lang w:val="zh-CN"/>
                    </w:rPr>
                    <w:t>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DN300 ×</w:t>
                  </w:r>
                  <w:r>
                    <w:rPr>
                      <w:rFonts w:hint="eastAsia" w:ascii="Times New Roman" w:hAnsi="Times New Roman"/>
                      <w:szCs w:val="21"/>
                    </w:rPr>
                    <w:t>3</w:t>
                  </w:r>
                  <w:r>
                    <w:rPr>
                      <w:rFonts w:ascii="Times New Roman" w:hAnsi="Times New Roman"/>
                      <w:szCs w:val="21"/>
                      <w:lang w:val="zh-CN"/>
                    </w:rPr>
                    <w:t>00×150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6</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08"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DN300 ×</w:t>
                  </w:r>
                  <w:r>
                    <w:rPr>
                      <w:rFonts w:hint="eastAsia" w:ascii="Times New Roman" w:hAnsi="Times New Roman"/>
                      <w:szCs w:val="21"/>
                    </w:rPr>
                    <w:t>3</w:t>
                  </w:r>
                  <w:r>
                    <w:rPr>
                      <w:rFonts w:ascii="Times New Roman" w:hAnsi="Times New Roman"/>
                      <w:szCs w:val="21"/>
                      <w:lang w:val="zh-CN"/>
                    </w:rPr>
                    <w:t>00×100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DN150×</w:t>
                  </w:r>
                  <w:r>
                    <w:rPr>
                      <w:rFonts w:hint="eastAsia" w:ascii="Times New Roman" w:hAnsi="Times New Roman"/>
                      <w:szCs w:val="21"/>
                    </w:rPr>
                    <w:t>1</w:t>
                  </w:r>
                  <w:r>
                    <w:rPr>
                      <w:rFonts w:ascii="Times New Roman" w:hAnsi="Times New Roman"/>
                      <w:szCs w:val="21"/>
                      <w:lang w:val="zh-CN"/>
                    </w:rPr>
                    <w:t>50×100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r>
                    <w:rPr>
                      <w:rFonts w:hint="eastAsia" w:ascii="Times New Roman" w:hAnsi="Times New Roman"/>
                      <w:szCs w:val="21"/>
                    </w:rPr>
                    <w:t>6</w:t>
                  </w:r>
                </w:p>
              </w:tc>
              <w:tc>
                <w:tcPr>
                  <w:tcW w:w="6512" w:type="dxa"/>
                  <w:vAlign w:val="center"/>
                </w:tcPr>
                <w:p>
                  <w:pPr>
                    <w:jc w:val="center"/>
                    <w:rPr>
                      <w:rFonts w:ascii="Times New Roman" w:hAnsi="Times New Roman"/>
                      <w:szCs w:val="21"/>
                      <w:lang w:val="zh-CN"/>
                    </w:rPr>
                  </w:pPr>
                  <w:r>
                    <w:rPr>
                      <w:rFonts w:ascii="Times New Roman" w:hAnsi="Times New Roman"/>
                      <w:szCs w:val="21"/>
                      <w:lang w:val="zh-CN"/>
                    </w:rPr>
                    <w:t>管帽</w:t>
                  </w:r>
                </w:p>
              </w:tc>
              <w:tc>
                <w:tcPr>
                  <w:tcW w:w="862" w:type="dxa"/>
                  <w:vAlign w:val="center"/>
                </w:tcPr>
                <w:p>
                  <w:pPr>
                    <w:jc w:val="center"/>
                    <w:rPr>
                      <w:rFonts w:ascii="Times New Roman" w:hAnsi="Times New Roman"/>
                      <w:szCs w:val="21"/>
                    </w:rPr>
                  </w:pPr>
                </w:p>
              </w:tc>
              <w:tc>
                <w:tcPr>
                  <w:tcW w:w="683" w:type="dxa"/>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 xml:space="preserve">PN63 </w:t>
                  </w:r>
                  <w:r>
                    <w:rPr>
                      <w:rFonts w:hint="eastAsia" w:ascii="Times New Roman" w:hAnsi="Times New Roman"/>
                      <w:szCs w:val="21"/>
                    </w:rPr>
                    <w:t xml:space="preserve"> </w:t>
                  </w:r>
                  <w:r>
                    <w:rPr>
                      <w:rFonts w:ascii="Times New Roman" w:hAnsi="Times New Roman"/>
                      <w:szCs w:val="21"/>
                      <w:lang w:val="zh-CN"/>
                    </w:rPr>
                    <w:t>DN300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DN250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6</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DN150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251" w:hRule="atLeast"/>
                <w:jc w:val="center"/>
              </w:trPr>
              <w:tc>
                <w:tcPr>
                  <w:tcW w:w="787" w:type="dxa"/>
                  <w:vAlign w:val="center"/>
                </w:tcPr>
                <w:p>
                  <w:pPr>
                    <w:jc w:val="center"/>
                    <w:rPr>
                      <w:rFonts w:ascii="Times New Roman" w:hAnsi="Times New Roman"/>
                      <w:szCs w:val="21"/>
                    </w:rPr>
                  </w:pPr>
                </w:p>
              </w:tc>
              <w:tc>
                <w:tcPr>
                  <w:tcW w:w="6512" w:type="dxa"/>
                  <w:vAlign w:val="center"/>
                </w:tcPr>
                <w:p>
                  <w:pPr>
                    <w:jc w:val="center"/>
                    <w:rPr>
                      <w:rFonts w:ascii="Times New Roman" w:hAnsi="Times New Roman"/>
                      <w:szCs w:val="21"/>
                      <w:lang w:val="zh-CN"/>
                    </w:rPr>
                  </w:pPr>
                  <w:r>
                    <w:rPr>
                      <w:rFonts w:ascii="Times New Roman" w:hAnsi="Times New Roman"/>
                      <w:szCs w:val="21"/>
                      <w:lang w:val="zh-CN"/>
                    </w:rPr>
                    <w:t>PN63</w:t>
                  </w:r>
                  <w:r>
                    <w:rPr>
                      <w:rFonts w:hint="eastAsia" w:ascii="Times New Roman" w:hAnsi="Times New Roman"/>
                      <w:szCs w:val="21"/>
                    </w:rPr>
                    <w:t xml:space="preserve"> </w:t>
                  </w:r>
                  <w:r>
                    <w:rPr>
                      <w:rFonts w:ascii="Times New Roman" w:hAnsi="Times New Roman"/>
                      <w:szCs w:val="21"/>
                      <w:lang w:val="zh-CN"/>
                    </w:rPr>
                    <w:t xml:space="preserve"> DN100</w:t>
                  </w:r>
                </w:p>
              </w:tc>
              <w:tc>
                <w:tcPr>
                  <w:tcW w:w="862" w:type="dxa"/>
                  <w:vAlign w:val="center"/>
                </w:tcPr>
                <w:p>
                  <w:pPr>
                    <w:jc w:val="center"/>
                    <w:rPr>
                      <w:rFonts w:ascii="Times New Roman" w:hAnsi="Times New Roman"/>
                      <w:szCs w:val="21"/>
                    </w:rPr>
                  </w:pPr>
                  <w:r>
                    <w:rPr>
                      <w:rFonts w:hint="eastAsia" w:ascii="Times New Roman" w:hAnsi="Times New Roman"/>
                      <w:szCs w:val="21"/>
                    </w:rPr>
                    <w:t>个</w:t>
                  </w:r>
                </w:p>
              </w:tc>
              <w:tc>
                <w:tcPr>
                  <w:tcW w:w="683" w:type="dxa"/>
                  <w:vAlign w:val="center"/>
                </w:tcPr>
                <w:p>
                  <w:pPr>
                    <w:jc w:val="center"/>
                    <w:rPr>
                      <w:rFonts w:ascii="Times New Roman" w:hAnsi="Times New Roman"/>
                      <w:szCs w:val="21"/>
                    </w:rPr>
                  </w:pPr>
                  <w:r>
                    <w:rPr>
                      <w:rFonts w:hint="eastAsia" w:ascii="Times New Roman" w:hAnsi="Times New Roman"/>
                      <w:szCs w:val="21"/>
                    </w:rPr>
                    <w:t>2</w:t>
                  </w:r>
                </w:p>
              </w:tc>
            </w:tr>
          </w:tbl>
          <w:p>
            <w:pPr>
              <w:spacing w:line="360" w:lineRule="auto"/>
              <w:ind w:firstLine="482" w:firstLineChars="200"/>
              <w:jc w:val="center"/>
              <w:rPr>
                <w:rFonts w:ascii="Times New Roman" w:hAnsi="Times New Roman"/>
                <w:b/>
                <w:sz w:val="24"/>
              </w:rPr>
            </w:pPr>
          </w:p>
          <w:p>
            <w:pPr>
              <w:numPr>
                <w:ilvl w:val="0"/>
                <w:numId w:val="2"/>
              </w:numPr>
              <w:spacing w:line="360" w:lineRule="auto"/>
              <w:rPr>
                <w:rFonts w:ascii="Times New Roman" w:hAnsi="Times New Roman"/>
                <w:sz w:val="24"/>
                <w:szCs w:val="24"/>
              </w:rPr>
            </w:pPr>
            <w:r>
              <w:rPr>
                <w:rFonts w:hint="eastAsia" w:ascii="Times New Roman" w:hAnsi="Times New Roman"/>
                <w:sz w:val="24"/>
                <w:szCs w:val="24"/>
              </w:rPr>
              <w:t>气源</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本项目气源全部来自芜湖长江LNG内河接收（转运）站的气化天然气。</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芜湖长江LNG内河接收（转运）站项目由LNG专用码头和接收站两部分组成。该项目建设3座LNG装卸泊位、1座集装箱泊位，1座LNG加注泊位，后方陆域及相应配套设施：LNG接收站布置有LNG储罐区、工艺装置区、LNG槽车装车站、LNG罐箱加注站、公用工程及辅助生产区、火炬设施、LNG生产管理区，建设2个10万方LNG储罐）、气化、装车、罐箱、外输管网及配套设施等。</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芜湖长江LNG内河接收（转运）站项目一期建设规模100万吨/年（其中44万吨/年气化外输，其他液态分销）；二期建设规模150万吨/年（其中69万吨/年气化外输，其他液态分销）。</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LNG内河接收（转运）站气化外输管道日常输送气量见下表。</w:t>
            </w:r>
          </w:p>
          <w:p>
            <w:pPr>
              <w:spacing w:line="360" w:lineRule="auto"/>
              <w:ind w:firstLine="482" w:firstLineChars="200"/>
              <w:jc w:val="center"/>
              <w:rPr>
                <w:rFonts w:hint="eastAsia" w:ascii="Times New Roman" w:hAnsi="Times New Roman"/>
                <w:b/>
                <w:sz w:val="24"/>
                <w:szCs w:val="22"/>
              </w:rPr>
            </w:pPr>
          </w:p>
          <w:p>
            <w:pPr>
              <w:spacing w:line="360" w:lineRule="auto"/>
              <w:ind w:firstLine="482" w:firstLineChars="200"/>
              <w:jc w:val="center"/>
              <w:rPr>
                <w:rFonts w:hint="eastAsia" w:ascii="Times New Roman" w:hAnsi="Times New Roman"/>
                <w:b/>
                <w:sz w:val="24"/>
                <w:szCs w:val="22"/>
              </w:rPr>
            </w:pPr>
          </w:p>
          <w:p>
            <w:pPr>
              <w:spacing w:line="360" w:lineRule="auto"/>
              <w:ind w:firstLine="482" w:firstLineChars="200"/>
              <w:jc w:val="center"/>
              <w:rPr>
                <w:rFonts w:ascii="Times New Roman" w:hAnsi="Times New Roman"/>
                <w:b/>
                <w:sz w:val="24"/>
                <w:szCs w:val="22"/>
              </w:rPr>
            </w:pPr>
            <w:r>
              <w:rPr>
                <w:rFonts w:hint="eastAsia" w:ascii="Times New Roman" w:hAnsi="Times New Roman"/>
                <w:b/>
                <w:sz w:val="24"/>
                <w:szCs w:val="22"/>
              </w:rPr>
              <w:t>表1-4  芜湖长江LNG内河接收（转运）站日常外输气量统计表</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34" w:type="dxa"/>
                <w:bottom w:w="0" w:type="dxa"/>
                <w:right w:w="34" w:type="dxa"/>
              </w:tblCellMar>
            </w:tblPr>
            <w:tblGrid>
              <w:gridCol w:w="1222"/>
              <w:gridCol w:w="2150"/>
              <w:gridCol w:w="1934"/>
              <w:gridCol w:w="1769"/>
              <w:gridCol w:w="176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69" w:hRule="atLeast"/>
                <w:tblHeader/>
                <w:jc w:val="center"/>
              </w:trPr>
              <w:tc>
                <w:tcPr>
                  <w:tcW w:w="1222" w:type="dxa"/>
                  <w:vAlign w:val="center"/>
                </w:tcPr>
                <w:p>
                  <w:pPr>
                    <w:jc w:val="center"/>
                    <w:rPr>
                      <w:rFonts w:ascii="Times New Roman" w:hAnsi="Times New Roman"/>
                      <w:szCs w:val="21"/>
                    </w:rPr>
                  </w:pPr>
                  <w:r>
                    <w:rPr>
                      <w:rFonts w:hint="eastAsia" w:ascii="Times New Roman" w:hAnsi="Times New Roman"/>
                      <w:szCs w:val="21"/>
                    </w:rPr>
                    <w:t>阶段</w:t>
                  </w:r>
                </w:p>
              </w:tc>
              <w:tc>
                <w:tcPr>
                  <w:tcW w:w="2150" w:type="dxa"/>
                  <w:vAlign w:val="center"/>
                </w:tcPr>
                <w:p>
                  <w:pPr>
                    <w:jc w:val="center"/>
                    <w:rPr>
                      <w:rFonts w:ascii="Times New Roman" w:hAnsi="Times New Roman"/>
                      <w:szCs w:val="21"/>
                    </w:rPr>
                  </w:pPr>
                  <w:r>
                    <w:rPr>
                      <w:rFonts w:hint="eastAsia" w:ascii="Times New Roman" w:hAnsi="Times New Roman"/>
                      <w:szCs w:val="21"/>
                    </w:rPr>
                    <w:t>气化外输量（万吨/年）</w:t>
                  </w:r>
                </w:p>
              </w:tc>
              <w:tc>
                <w:tcPr>
                  <w:tcW w:w="1934" w:type="dxa"/>
                  <w:vAlign w:val="center"/>
                </w:tcPr>
                <w:p>
                  <w:pPr>
                    <w:jc w:val="center"/>
                    <w:rPr>
                      <w:rFonts w:ascii="Times New Roman" w:hAnsi="Times New Roman"/>
                      <w:szCs w:val="21"/>
                    </w:rPr>
                  </w:pPr>
                  <w:r>
                    <w:rPr>
                      <w:rFonts w:hint="eastAsia" w:ascii="Times New Roman" w:hAnsi="Times New Roman"/>
                      <w:szCs w:val="21"/>
                    </w:rPr>
                    <w:t>折合气量</w:t>
                  </w:r>
                </w:p>
                <w:p>
                  <w:pPr>
                    <w:jc w:val="center"/>
                    <w:rPr>
                      <w:rFonts w:ascii="Times New Roman" w:hAnsi="Times New Roman"/>
                      <w:szCs w:val="21"/>
                    </w:rPr>
                  </w:pPr>
                  <w:r>
                    <w:rPr>
                      <w:rFonts w:hint="eastAsia" w:ascii="Times New Roman" w:hAnsi="Times New Roman"/>
                      <w:szCs w:val="21"/>
                    </w:rPr>
                    <w:t>（×10</w:t>
                  </w:r>
                  <w:r>
                    <w:rPr>
                      <w:rFonts w:hint="eastAsia" w:ascii="Times New Roman" w:hAnsi="Times New Roman"/>
                      <w:szCs w:val="21"/>
                      <w:vertAlign w:val="superscript"/>
                    </w:rPr>
                    <w:t>8</w:t>
                  </w:r>
                  <w:r>
                    <w:rPr>
                      <w:rFonts w:hint="eastAsia" w:ascii="Times New Roman" w:hAnsi="Times New Roman"/>
                      <w:szCs w:val="21"/>
                    </w:rPr>
                    <w:t>Nm</w:t>
                  </w:r>
                  <w:r>
                    <w:rPr>
                      <w:rFonts w:hint="eastAsia" w:ascii="Times New Roman" w:hAnsi="Times New Roman"/>
                      <w:szCs w:val="21"/>
                      <w:vertAlign w:val="superscript"/>
                    </w:rPr>
                    <w:t>3</w:t>
                  </w:r>
                  <w:r>
                    <w:rPr>
                      <w:rFonts w:hint="eastAsia" w:ascii="Times New Roman" w:hAnsi="Times New Roman"/>
                      <w:szCs w:val="21"/>
                    </w:rPr>
                    <w:t>/a）</w:t>
                  </w:r>
                </w:p>
              </w:tc>
              <w:tc>
                <w:tcPr>
                  <w:tcW w:w="1769" w:type="dxa"/>
                  <w:vAlign w:val="center"/>
                </w:tcPr>
                <w:p>
                  <w:pPr>
                    <w:jc w:val="center"/>
                    <w:rPr>
                      <w:rFonts w:ascii="Times New Roman" w:hAnsi="Times New Roman"/>
                      <w:szCs w:val="21"/>
                    </w:rPr>
                  </w:pPr>
                  <w:r>
                    <w:rPr>
                      <w:rFonts w:hint="eastAsia" w:ascii="Times New Roman" w:hAnsi="Times New Roman"/>
                      <w:szCs w:val="21"/>
                    </w:rPr>
                    <w:t xml:space="preserve"> 高安—马塘段</w:t>
                  </w:r>
                </w:p>
                <w:p>
                  <w:pPr>
                    <w:jc w:val="center"/>
                    <w:rPr>
                      <w:rFonts w:ascii="Times New Roman" w:hAnsi="Times New Roman"/>
                      <w:szCs w:val="21"/>
                    </w:rPr>
                  </w:pPr>
                  <w:r>
                    <w:rPr>
                      <w:rFonts w:hint="eastAsia" w:ascii="Times New Roman" w:hAnsi="Times New Roman"/>
                      <w:szCs w:val="21"/>
                    </w:rPr>
                    <w:t>（×10</w:t>
                  </w:r>
                  <w:r>
                    <w:rPr>
                      <w:rFonts w:hint="eastAsia" w:ascii="Times New Roman" w:hAnsi="Times New Roman"/>
                      <w:szCs w:val="21"/>
                      <w:vertAlign w:val="superscript"/>
                    </w:rPr>
                    <w:t>8</w:t>
                  </w:r>
                  <w:r>
                    <w:rPr>
                      <w:rFonts w:hint="eastAsia" w:ascii="Times New Roman" w:hAnsi="Times New Roman"/>
                      <w:szCs w:val="21"/>
                    </w:rPr>
                    <w:t>Nm</w:t>
                  </w:r>
                  <w:r>
                    <w:rPr>
                      <w:rFonts w:hint="eastAsia" w:ascii="Times New Roman" w:hAnsi="Times New Roman"/>
                      <w:szCs w:val="21"/>
                      <w:vertAlign w:val="superscript"/>
                    </w:rPr>
                    <w:t>3</w:t>
                  </w:r>
                  <w:r>
                    <w:rPr>
                      <w:rFonts w:hint="eastAsia" w:ascii="Times New Roman" w:hAnsi="Times New Roman"/>
                      <w:szCs w:val="21"/>
                    </w:rPr>
                    <w:t>/a）</w:t>
                  </w:r>
                </w:p>
              </w:tc>
              <w:tc>
                <w:tcPr>
                  <w:tcW w:w="1769" w:type="dxa"/>
                  <w:vAlign w:val="center"/>
                </w:tcPr>
                <w:p>
                  <w:pPr>
                    <w:jc w:val="center"/>
                    <w:rPr>
                      <w:rFonts w:ascii="Times New Roman" w:hAnsi="Times New Roman"/>
                      <w:szCs w:val="21"/>
                    </w:rPr>
                  </w:pPr>
                  <w:r>
                    <w:rPr>
                      <w:rFonts w:hint="eastAsia" w:ascii="Times New Roman" w:hAnsi="Times New Roman"/>
                      <w:szCs w:val="21"/>
                    </w:rPr>
                    <w:t>高安—横山分输段（×10</w:t>
                  </w:r>
                  <w:r>
                    <w:rPr>
                      <w:rFonts w:hint="eastAsia" w:ascii="Times New Roman" w:hAnsi="Times New Roman"/>
                      <w:szCs w:val="21"/>
                      <w:vertAlign w:val="superscript"/>
                    </w:rPr>
                    <w:t>8</w:t>
                  </w:r>
                  <w:r>
                    <w:rPr>
                      <w:rFonts w:hint="eastAsia" w:ascii="Times New Roman" w:hAnsi="Times New Roman"/>
                      <w:szCs w:val="21"/>
                    </w:rPr>
                    <w:t>Nm</w:t>
                  </w:r>
                  <w:r>
                    <w:rPr>
                      <w:rFonts w:hint="eastAsia" w:ascii="Times New Roman" w:hAnsi="Times New Roman"/>
                      <w:szCs w:val="21"/>
                      <w:vertAlign w:val="superscript"/>
                    </w:rPr>
                    <w:t>3</w:t>
                  </w:r>
                  <w:r>
                    <w:rPr>
                      <w:rFonts w:hint="eastAsia" w:ascii="Times New Roman" w:hAnsi="Times New Roman"/>
                      <w:szCs w:val="21"/>
                    </w:rPr>
                    <w:t>/a）</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69" w:hRule="atLeast"/>
                <w:jc w:val="center"/>
              </w:trPr>
              <w:tc>
                <w:tcPr>
                  <w:tcW w:w="1222" w:type="dxa"/>
                  <w:vAlign w:val="center"/>
                </w:tcPr>
                <w:p>
                  <w:pPr>
                    <w:jc w:val="center"/>
                    <w:rPr>
                      <w:rFonts w:ascii="Times New Roman" w:hAnsi="Times New Roman"/>
                      <w:szCs w:val="21"/>
                    </w:rPr>
                  </w:pPr>
                  <w:r>
                    <w:rPr>
                      <w:rFonts w:hint="eastAsia" w:ascii="Times New Roman" w:hAnsi="Times New Roman"/>
                      <w:szCs w:val="21"/>
                    </w:rPr>
                    <w:t>一期</w:t>
                  </w:r>
                </w:p>
              </w:tc>
              <w:tc>
                <w:tcPr>
                  <w:tcW w:w="2150" w:type="dxa"/>
                  <w:vAlign w:val="center"/>
                </w:tcPr>
                <w:p>
                  <w:pPr>
                    <w:jc w:val="center"/>
                    <w:rPr>
                      <w:rFonts w:ascii="Times New Roman" w:hAnsi="Times New Roman"/>
                      <w:szCs w:val="21"/>
                    </w:rPr>
                  </w:pPr>
                  <w:r>
                    <w:rPr>
                      <w:rFonts w:hint="eastAsia" w:ascii="Times New Roman" w:hAnsi="Times New Roman"/>
                      <w:szCs w:val="21"/>
                    </w:rPr>
                    <w:t>44</w:t>
                  </w:r>
                </w:p>
              </w:tc>
              <w:tc>
                <w:tcPr>
                  <w:tcW w:w="1934" w:type="dxa"/>
                  <w:vAlign w:val="center"/>
                </w:tcPr>
                <w:p>
                  <w:pPr>
                    <w:jc w:val="center"/>
                    <w:rPr>
                      <w:rFonts w:ascii="Times New Roman" w:hAnsi="Times New Roman"/>
                      <w:szCs w:val="21"/>
                    </w:rPr>
                  </w:pPr>
                  <w:r>
                    <w:rPr>
                      <w:rFonts w:hint="eastAsia" w:ascii="Times New Roman" w:hAnsi="Times New Roman"/>
                      <w:szCs w:val="21"/>
                    </w:rPr>
                    <w:t>5.90</w:t>
                  </w:r>
                </w:p>
              </w:tc>
              <w:tc>
                <w:tcPr>
                  <w:tcW w:w="1769" w:type="dxa"/>
                  <w:vAlign w:val="center"/>
                </w:tcPr>
                <w:p>
                  <w:pPr>
                    <w:jc w:val="center"/>
                    <w:rPr>
                      <w:rFonts w:ascii="Times New Roman" w:hAnsi="Times New Roman"/>
                      <w:szCs w:val="21"/>
                    </w:rPr>
                  </w:pPr>
                  <w:r>
                    <w:rPr>
                      <w:rFonts w:hint="eastAsia" w:ascii="Times New Roman" w:hAnsi="Times New Roman"/>
                      <w:szCs w:val="21"/>
                    </w:rPr>
                    <w:t>1.75</w:t>
                  </w:r>
                </w:p>
              </w:tc>
              <w:tc>
                <w:tcPr>
                  <w:tcW w:w="1769" w:type="dxa"/>
                  <w:vAlign w:val="center"/>
                </w:tcPr>
                <w:p>
                  <w:pPr>
                    <w:jc w:val="center"/>
                    <w:rPr>
                      <w:rFonts w:ascii="Times New Roman" w:hAnsi="Times New Roman"/>
                      <w:szCs w:val="21"/>
                    </w:rPr>
                  </w:pPr>
                  <w:r>
                    <w:rPr>
                      <w:rFonts w:hint="eastAsia" w:ascii="Times New Roman" w:hAnsi="Times New Roman"/>
                      <w:szCs w:val="21"/>
                    </w:rPr>
                    <w:t>4.15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69" w:hRule="atLeast"/>
                <w:jc w:val="center"/>
              </w:trPr>
              <w:tc>
                <w:tcPr>
                  <w:tcW w:w="1222" w:type="dxa"/>
                  <w:vAlign w:val="center"/>
                </w:tcPr>
                <w:p>
                  <w:pPr>
                    <w:jc w:val="center"/>
                    <w:rPr>
                      <w:rFonts w:ascii="Times New Roman" w:hAnsi="Times New Roman"/>
                      <w:szCs w:val="21"/>
                    </w:rPr>
                  </w:pPr>
                  <w:r>
                    <w:rPr>
                      <w:rFonts w:hint="eastAsia" w:ascii="Times New Roman" w:hAnsi="Times New Roman"/>
                      <w:szCs w:val="21"/>
                    </w:rPr>
                    <w:t>二期</w:t>
                  </w:r>
                </w:p>
              </w:tc>
              <w:tc>
                <w:tcPr>
                  <w:tcW w:w="2150" w:type="dxa"/>
                  <w:vAlign w:val="center"/>
                </w:tcPr>
                <w:p>
                  <w:pPr>
                    <w:jc w:val="center"/>
                    <w:rPr>
                      <w:rFonts w:ascii="Times New Roman" w:hAnsi="Times New Roman"/>
                      <w:szCs w:val="21"/>
                    </w:rPr>
                  </w:pPr>
                  <w:r>
                    <w:rPr>
                      <w:rFonts w:hint="eastAsia" w:ascii="Times New Roman" w:hAnsi="Times New Roman"/>
                      <w:szCs w:val="21"/>
                    </w:rPr>
                    <w:t>69</w:t>
                  </w:r>
                </w:p>
              </w:tc>
              <w:tc>
                <w:tcPr>
                  <w:tcW w:w="1934" w:type="dxa"/>
                  <w:vAlign w:val="center"/>
                </w:tcPr>
                <w:p>
                  <w:pPr>
                    <w:jc w:val="center"/>
                    <w:rPr>
                      <w:rFonts w:ascii="Times New Roman" w:hAnsi="Times New Roman"/>
                      <w:szCs w:val="21"/>
                    </w:rPr>
                  </w:pPr>
                  <w:r>
                    <w:rPr>
                      <w:rFonts w:hint="eastAsia" w:ascii="Times New Roman" w:hAnsi="Times New Roman"/>
                      <w:szCs w:val="21"/>
                    </w:rPr>
                    <w:t>9.24</w:t>
                  </w:r>
                </w:p>
              </w:tc>
              <w:tc>
                <w:tcPr>
                  <w:tcW w:w="1769" w:type="dxa"/>
                  <w:vAlign w:val="center"/>
                </w:tcPr>
                <w:p>
                  <w:pPr>
                    <w:jc w:val="center"/>
                    <w:rPr>
                      <w:rFonts w:ascii="Times New Roman" w:hAnsi="Times New Roman"/>
                      <w:szCs w:val="21"/>
                    </w:rPr>
                  </w:pPr>
                  <w:r>
                    <w:rPr>
                      <w:rFonts w:hint="eastAsia" w:ascii="Times New Roman" w:hAnsi="Times New Roman"/>
                      <w:szCs w:val="21"/>
                    </w:rPr>
                    <w:t>2.38</w:t>
                  </w:r>
                </w:p>
              </w:tc>
              <w:tc>
                <w:tcPr>
                  <w:tcW w:w="1769" w:type="dxa"/>
                  <w:vAlign w:val="center"/>
                </w:tcPr>
                <w:p>
                  <w:pPr>
                    <w:shd w:val="clear" w:color="auto" w:fill="A4A4A4" w:themeFill="background1" w:themeFillShade="A5"/>
                    <w:jc w:val="center"/>
                    <w:rPr>
                      <w:rFonts w:ascii="Times New Roman" w:hAnsi="Times New Roman"/>
                      <w:szCs w:val="21"/>
                    </w:rPr>
                  </w:pPr>
                  <w:r>
                    <w:rPr>
                      <w:rFonts w:hint="eastAsia" w:ascii="Times New Roman" w:hAnsi="Times New Roman"/>
                      <w:szCs w:val="21"/>
                    </w:rPr>
                    <w:t>4.48</w:t>
                  </w:r>
                </w:p>
              </w:tc>
            </w:tr>
          </w:tbl>
          <w:p>
            <w:pPr>
              <w:spacing w:line="360" w:lineRule="auto"/>
              <w:ind w:firstLine="480" w:firstLineChars="200"/>
              <w:rPr>
                <w:rFonts w:ascii="Times New Roman" w:hAnsi="Times New Roman"/>
                <w:sz w:val="24"/>
                <w:szCs w:val="24"/>
              </w:rPr>
            </w:pPr>
          </w:p>
          <w:p>
            <w:pPr>
              <w:numPr>
                <w:ilvl w:val="0"/>
                <w:numId w:val="2"/>
              </w:numPr>
              <w:spacing w:line="520" w:lineRule="exact"/>
              <w:rPr>
                <w:rFonts w:ascii="Times New Roman" w:hAnsi="Times New Roman"/>
                <w:sz w:val="24"/>
                <w:szCs w:val="24"/>
              </w:rPr>
            </w:pPr>
            <w:r>
              <w:rPr>
                <w:rFonts w:hint="eastAsia" w:ascii="Times New Roman" w:hAnsi="Times New Roman"/>
                <w:sz w:val="24"/>
                <w:szCs w:val="24"/>
              </w:rPr>
              <w:t>天然气性质</w:t>
            </w:r>
          </w:p>
          <w:p>
            <w:pPr>
              <w:spacing w:line="520" w:lineRule="exact"/>
              <w:ind w:left="600"/>
              <w:rPr>
                <w:rFonts w:ascii="Times New Roman" w:hAnsi="Times New Roman"/>
                <w:sz w:val="24"/>
                <w:szCs w:val="24"/>
              </w:rPr>
            </w:pPr>
            <w:r>
              <w:rPr>
                <w:rFonts w:ascii="Times New Roman" w:hAnsi="Times New Roman"/>
                <w:sz w:val="24"/>
                <w:szCs w:val="24"/>
              </w:rPr>
              <w:t>天然气组分见</w:t>
            </w:r>
            <w:r>
              <w:rPr>
                <w:rFonts w:hint="eastAsia" w:ascii="Times New Roman" w:hAnsi="Times New Roman"/>
                <w:sz w:val="24"/>
                <w:szCs w:val="24"/>
              </w:rPr>
              <w:t>下</w:t>
            </w:r>
            <w:r>
              <w:rPr>
                <w:rFonts w:ascii="Times New Roman" w:hAnsi="Times New Roman"/>
                <w:sz w:val="24"/>
                <w:szCs w:val="24"/>
              </w:rPr>
              <w:t>表。</w:t>
            </w:r>
          </w:p>
          <w:p>
            <w:pPr>
              <w:spacing w:line="360" w:lineRule="auto"/>
              <w:ind w:firstLine="482" w:firstLineChars="200"/>
              <w:jc w:val="center"/>
              <w:rPr>
                <w:rFonts w:ascii="Times New Roman" w:hAnsi="Times New Roman"/>
                <w:b/>
                <w:sz w:val="24"/>
                <w:szCs w:val="22"/>
              </w:rPr>
            </w:pPr>
            <w:r>
              <w:rPr>
                <w:rFonts w:hint="eastAsia" w:ascii="Times New Roman" w:hAnsi="Times New Roman"/>
                <w:b/>
                <w:sz w:val="24"/>
                <w:szCs w:val="22"/>
              </w:rPr>
              <w:t>表1-5  天然气组分表</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34" w:type="dxa"/>
                <w:bottom w:w="0" w:type="dxa"/>
                <w:right w:w="34" w:type="dxa"/>
              </w:tblCellMar>
            </w:tblPr>
            <w:tblGrid>
              <w:gridCol w:w="982"/>
              <w:gridCol w:w="982"/>
              <w:gridCol w:w="982"/>
              <w:gridCol w:w="982"/>
              <w:gridCol w:w="982"/>
              <w:gridCol w:w="982"/>
              <w:gridCol w:w="982"/>
              <w:gridCol w:w="982"/>
              <w:gridCol w:w="98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69" w:hRule="atLeast"/>
                <w:tblHeader/>
                <w:jc w:val="center"/>
              </w:trPr>
              <w:tc>
                <w:tcPr>
                  <w:tcW w:w="1004" w:type="dxa"/>
                  <w:vAlign w:val="center"/>
                </w:tcPr>
                <w:p>
                  <w:pPr>
                    <w:jc w:val="center"/>
                    <w:rPr>
                      <w:rFonts w:ascii="Times New Roman" w:hAnsi="Times New Roman"/>
                      <w:szCs w:val="21"/>
                    </w:rPr>
                  </w:pPr>
                  <w:r>
                    <w:rPr>
                      <w:rFonts w:ascii="Times New Roman" w:hAnsi="Times New Roman"/>
                      <w:szCs w:val="21"/>
                    </w:rPr>
                    <w:t>组分</w:t>
                  </w:r>
                </w:p>
              </w:tc>
              <w:tc>
                <w:tcPr>
                  <w:tcW w:w="1004" w:type="dxa"/>
                  <w:vAlign w:val="center"/>
                </w:tcPr>
                <w:p>
                  <w:pPr>
                    <w:jc w:val="center"/>
                    <w:rPr>
                      <w:rFonts w:ascii="Times New Roman" w:hAnsi="Times New Roman"/>
                      <w:szCs w:val="21"/>
                    </w:rPr>
                  </w:pPr>
                  <w:r>
                    <w:rPr>
                      <w:rFonts w:ascii="Times New Roman" w:hAnsi="Times New Roman"/>
                      <w:szCs w:val="21"/>
                    </w:rPr>
                    <w:t>C</w:t>
                  </w:r>
                  <w:r>
                    <w:rPr>
                      <w:rFonts w:ascii="Times New Roman" w:hAnsi="Times New Roman"/>
                      <w:szCs w:val="21"/>
                      <w:vertAlign w:val="subscript"/>
                    </w:rPr>
                    <w:t>1</w:t>
                  </w:r>
                </w:p>
              </w:tc>
              <w:tc>
                <w:tcPr>
                  <w:tcW w:w="1004" w:type="dxa"/>
                  <w:vAlign w:val="center"/>
                </w:tcPr>
                <w:p>
                  <w:pPr>
                    <w:jc w:val="center"/>
                    <w:rPr>
                      <w:rFonts w:ascii="Times New Roman" w:hAnsi="Times New Roman"/>
                      <w:szCs w:val="21"/>
                    </w:rPr>
                  </w:pPr>
                  <w:r>
                    <w:rPr>
                      <w:rFonts w:ascii="Times New Roman" w:hAnsi="Times New Roman"/>
                      <w:szCs w:val="21"/>
                    </w:rPr>
                    <w:t>C</w:t>
                  </w:r>
                  <w:r>
                    <w:rPr>
                      <w:rFonts w:ascii="Times New Roman" w:hAnsi="Times New Roman"/>
                      <w:szCs w:val="21"/>
                      <w:vertAlign w:val="subscript"/>
                    </w:rPr>
                    <w:t>2</w:t>
                  </w:r>
                </w:p>
              </w:tc>
              <w:tc>
                <w:tcPr>
                  <w:tcW w:w="1004" w:type="dxa"/>
                  <w:vAlign w:val="center"/>
                </w:tcPr>
                <w:p>
                  <w:pPr>
                    <w:jc w:val="center"/>
                    <w:rPr>
                      <w:rFonts w:ascii="Times New Roman" w:hAnsi="Times New Roman"/>
                      <w:szCs w:val="21"/>
                    </w:rPr>
                  </w:pPr>
                  <w:r>
                    <w:rPr>
                      <w:rFonts w:ascii="Times New Roman" w:hAnsi="Times New Roman"/>
                      <w:szCs w:val="21"/>
                    </w:rPr>
                    <w:t>C</w:t>
                  </w:r>
                  <w:r>
                    <w:rPr>
                      <w:rFonts w:ascii="Times New Roman" w:hAnsi="Times New Roman"/>
                      <w:szCs w:val="21"/>
                      <w:vertAlign w:val="subscript"/>
                    </w:rPr>
                    <w:t>3</w:t>
                  </w:r>
                </w:p>
              </w:tc>
              <w:tc>
                <w:tcPr>
                  <w:tcW w:w="1004" w:type="dxa"/>
                  <w:vAlign w:val="center"/>
                </w:tcPr>
                <w:p>
                  <w:pPr>
                    <w:jc w:val="center"/>
                    <w:rPr>
                      <w:rFonts w:ascii="Times New Roman" w:hAnsi="Times New Roman"/>
                      <w:szCs w:val="21"/>
                    </w:rPr>
                  </w:pPr>
                  <w:r>
                    <w:rPr>
                      <w:rFonts w:ascii="Times New Roman" w:hAnsi="Times New Roman"/>
                      <w:szCs w:val="21"/>
                    </w:rPr>
                    <w:t>iC</w:t>
                  </w:r>
                  <w:r>
                    <w:rPr>
                      <w:rFonts w:ascii="Times New Roman" w:hAnsi="Times New Roman"/>
                      <w:szCs w:val="21"/>
                      <w:vertAlign w:val="subscript"/>
                    </w:rPr>
                    <w:t>4</w:t>
                  </w:r>
                </w:p>
              </w:tc>
              <w:tc>
                <w:tcPr>
                  <w:tcW w:w="1004" w:type="dxa"/>
                  <w:vAlign w:val="center"/>
                </w:tcPr>
                <w:p>
                  <w:pPr>
                    <w:jc w:val="center"/>
                    <w:rPr>
                      <w:rFonts w:ascii="Times New Roman" w:hAnsi="Times New Roman"/>
                      <w:szCs w:val="21"/>
                    </w:rPr>
                  </w:pPr>
                  <w:r>
                    <w:rPr>
                      <w:rFonts w:ascii="Times New Roman" w:hAnsi="Times New Roman"/>
                      <w:szCs w:val="21"/>
                    </w:rPr>
                    <w:t>nC</w:t>
                  </w:r>
                  <w:r>
                    <w:rPr>
                      <w:rFonts w:ascii="Times New Roman" w:hAnsi="Times New Roman"/>
                      <w:szCs w:val="21"/>
                      <w:vertAlign w:val="subscript"/>
                    </w:rPr>
                    <w:t>4</w:t>
                  </w:r>
                </w:p>
              </w:tc>
              <w:tc>
                <w:tcPr>
                  <w:tcW w:w="1004" w:type="dxa"/>
                  <w:vAlign w:val="center"/>
                </w:tcPr>
                <w:p>
                  <w:pPr>
                    <w:jc w:val="center"/>
                    <w:rPr>
                      <w:rFonts w:ascii="Times New Roman" w:hAnsi="Times New Roman"/>
                      <w:szCs w:val="21"/>
                    </w:rPr>
                  </w:pPr>
                  <w:r>
                    <w:rPr>
                      <w:rFonts w:ascii="Times New Roman" w:hAnsi="Times New Roman"/>
                      <w:szCs w:val="21"/>
                    </w:rPr>
                    <w:t>N</w:t>
                  </w:r>
                  <w:r>
                    <w:rPr>
                      <w:rFonts w:ascii="Times New Roman" w:hAnsi="Times New Roman"/>
                      <w:szCs w:val="21"/>
                      <w:vertAlign w:val="subscript"/>
                    </w:rPr>
                    <w:t>2</w:t>
                  </w:r>
                </w:p>
              </w:tc>
              <w:tc>
                <w:tcPr>
                  <w:tcW w:w="1004" w:type="dxa"/>
                  <w:vAlign w:val="center"/>
                </w:tcPr>
                <w:p>
                  <w:pPr>
                    <w:jc w:val="center"/>
                    <w:rPr>
                      <w:rFonts w:ascii="Times New Roman" w:hAnsi="Times New Roman"/>
                      <w:szCs w:val="21"/>
                    </w:rPr>
                  </w:pPr>
                  <w:r>
                    <w:rPr>
                      <w:rFonts w:ascii="Times New Roman" w:hAnsi="Times New Roman"/>
                      <w:szCs w:val="21"/>
                    </w:rPr>
                    <w:t>iC</w:t>
                  </w:r>
                  <w:r>
                    <w:rPr>
                      <w:rFonts w:hint="eastAsia" w:ascii="Times New Roman" w:hAnsi="Times New Roman"/>
                      <w:szCs w:val="21"/>
                      <w:vertAlign w:val="subscript"/>
                    </w:rPr>
                    <w:t>5</w:t>
                  </w:r>
                </w:p>
              </w:tc>
              <w:tc>
                <w:tcPr>
                  <w:tcW w:w="1010" w:type="dxa"/>
                  <w:vAlign w:val="center"/>
                </w:tcPr>
                <w:p>
                  <w:pPr>
                    <w:jc w:val="center"/>
                    <w:rPr>
                      <w:rFonts w:ascii="Times New Roman" w:hAnsi="Times New Roman"/>
                      <w:szCs w:val="21"/>
                    </w:rPr>
                  </w:pPr>
                  <w:r>
                    <w:rPr>
                      <w:rFonts w:hint="eastAsia" w:ascii="Times New Roman" w:hAnsi="Times New Roman"/>
                      <w:szCs w:val="21"/>
                    </w:rPr>
                    <w:t>n</w:t>
                  </w:r>
                  <w:r>
                    <w:rPr>
                      <w:rFonts w:ascii="Times New Roman" w:hAnsi="Times New Roman"/>
                      <w:szCs w:val="21"/>
                    </w:rPr>
                    <w:t>C</w:t>
                  </w:r>
                  <w:r>
                    <w:rPr>
                      <w:rFonts w:hint="eastAsia" w:ascii="Times New Roman" w:hAnsi="Times New Roman"/>
                      <w:szCs w:val="21"/>
                      <w:vertAlign w:val="subscript"/>
                    </w:rPr>
                    <w:t>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34" w:type="dxa"/>
                  <w:bottom w:w="0" w:type="dxa"/>
                  <w:right w:w="34" w:type="dxa"/>
                </w:tblCellMar>
              </w:tblPrEx>
              <w:trPr>
                <w:trHeight w:val="369" w:hRule="atLeast"/>
                <w:jc w:val="center"/>
              </w:trPr>
              <w:tc>
                <w:tcPr>
                  <w:tcW w:w="1004" w:type="dxa"/>
                  <w:vAlign w:val="center"/>
                </w:tcPr>
                <w:p>
                  <w:pPr>
                    <w:jc w:val="center"/>
                    <w:rPr>
                      <w:rFonts w:ascii="Times New Roman" w:hAnsi="Times New Roman"/>
                      <w:szCs w:val="21"/>
                    </w:rPr>
                  </w:pPr>
                  <w:r>
                    <w:rPr>
                      <w:rFonts w:ascii="Times New Roman" w:hAnsi="Times New Roman"/>
                      <w:szCs w:val="21"/>
                    </w:rPr>
                    <w:t>Mol%</w:t>
                  </w:r>
                </w:p>
              </w:tc>
              <w:tc>
                <w:tcPr>
                  <w:tcW w:w="1004" w:type="dxa"/>
                  <w:vAlign w:val="center"/>
                </w:tcPr>
                <w:p>
                  <w:pPr>
                    <w:jc w:val="center"/>
                    <w:rPr>
                      <w:rFonts w:ascii="Times New Roman" w:hAnsi="Times New Roman"/>
                      <w:szCs w:val="21"/>
                    </w:rPr>
                  </w:pPr>
                  <w:r>
                    <w:rPr>
                      <w:rFonts w:ascii="Times New Roman" w:hAnsi="Times New Roman"/>
                      <w:szCs w:val="21"/>
                    </w:rPr>
                    <w:t>9</w:t>
                  </w:r>
                  <w:r>
                    <w:rPr>
                      <w:rFonts w:hint="eastAsia" w:ascii="Times New Roman" w:hAnsi="Times New Roman"/>
                      <w:szCs w:val="21"/>
                    </w:rPr>
                    <w:t>6.299</w:t>
                  </w:r>
                </w:p>
              </w:tc>
              <w:tc>
                <w:tcPr>
                  <w:tcW w:w="1004" w:type="dxa"/>
                  <w:vAlign w:val="center"/>
                </w:tcPr>
                <w:p>
                  <w:pPr>
                    <w:jc w:val="center"/>
                    <w:rPr>
                      <w:rFonts w:ascii="Times New Roman" w:hAnsi="Times New Roman"/>
                      <w:szCs w:val="21"/>
                    </w:rPr>
                  </w:pPr>
                  <w:r>
                    <w:rPr>
                      <w:rFonts w:hint="eastAsia" w:ascii="Times New Roman" w:hAnsi="Times New Roman"/>
                      <w:szCs w:val="21"/>
                    </w:rPr>
                    <w:t>2.582</w:t>
                  </w:r>
                </w:p>
              </w:tc>
              <w:tc>
                <w:tcPr>
                  <w:tcW w:w="1004" w:type="dxa"/>
                  <w:vAlign w:val="center"/>
                </w:tcPr>
                <w:p>
                  <w:pPr>
                    <w:jc w:val="center"/>
                    <w:rPr>
                      <w:rFonts w:ascii="Times New Roman" w:hAnsi="Times New Roman"/>
                      <w:szCs w:val="21"/>
                    </w:rPr>
                  </w:pPr>
                  <w:r>
                    <w:rPr>
                      <w:rFonts w:ascii="Times New Roman" w:hAnsi="Times New Roman"/>
                      <w:szCs w:val="21"/>
                    </w:rPr>
                    <w:t>0.</w:t>
                  </w:r>
                  <w:r>
                    <w:rPr>
                      <w:rFonts w:hint="eastAsia" w:ascii="Times New Roman" w:hAnsi="Times New Roman"/>
                      <w:szCs w:val="21"/>
                    </w:rPr>
                    <w:t>489</w:t>
                  </w:r>
                </w:p>
              </w:tc>
              <w:tc>
                <w:tcPr>
                  <w:tcW w:w="1004" w:type="dxa"/>
                  <w:vAlign w:val="center"/>
                </w:tcPr>
                <w:p>
                  <w:pPr>
                    <w:jc w:val="center"/>
                    <w:rPr>
                      <w:rFonts w:ascii="Times New Roman" w:hAnsi="Times New Roman"/>
                      <w:szCs w:val="21"/>
                    </w:rPr>
                  </w:pPr>
                  <w:r>
                    <w:rPr>
                      <w:rFonts w:ascii="Times New Roman" w:hAnsi="Times New Roman"/>
                      <w:szCs w:val="21"/>
                    </w:rPr>
                    <w:t>0.1</w:t>
                  </w:r>
                </w:p>
              </w:tc>
              <w:tc>
                <w:tcPr>
                  <w:tcW w:w="1004" w:type="dxa"/>
                  <w:vAlign w:val="center"/>
                </w:tcPr>
                <w:p>
                  <w:pPr>
                    <w:jc w:val="center"/>
                    <w:rPr>
                      <w:rFonts w:ascii="Times New Roman" w:hAnsi="Times New Roman"/>
                      <w:szCs w:val="21"/>
                    </w:rPr>
                  </w:pPr>
                  <w:r>
                    <w:rPr>
                      <w:rFonts w:ascii="Times New Roman" w:hAnsi="Times New Roman"/>
                      <w:szCs w:val="21"/>
                    </w:rPr>
                    <w:t>0.</w:t>
                  </w:r>
                  <w:r>
                    <w:rPr>
                      <w:rFonts w:hint="eastAsia" w:ascii="Times New Roman" w:hAnsi="Times New Roman"/>
                      <w:szCs w:val="21"/>
                    </w:rPr>
                    <w:t>118</w:t>
                  </w:r>
                </w:p>
              </w:tc>
              <w:tc>
                <w:tcPr>
                  <w:tcW w:w="1004" w:type="dxa"/>
                  <w:vAlign w:val="center"/>
                </w:tcPr>
                <w:p>
                  <w:pPr>
                    <w:jc w:val="center"/>
                    <w:rPr>
                      <w:rFonts w:ascii="Times New Roman" w:hAnsi="Times New Roman"/>
                      <w:szCs w:val="21"/>
                    </w:rPr>
                  </w:pPr>
                  <w:r>
                    <w:rPr>
                      <w:rFonts w:hint="eastAsia" w:ascii="Times New Roman" w:hAnsi="Times New Roman"/>
                      <w:szCs w:val="21"/>
                    </w:rPr>
                    <w:t>0.4</w:t>
                  </w:r>
                </w:p>
              </w:tc>
              <w:tc>
                <w:tcPr>
                  <w:tcW w:w="1004" w:type="dxa"/>
                  <w:vAlign w:val="center"/>
                </w:tcPr>
                <w:p>
                  <w:pPr>
                    <w:jc w:val="center"/>
                    <w:rPr>
                      <w:rFonts w:ascii="Times New Roman" w:hAnsi="Times New Roman"/>
                      <w:szCs w:val="21"/>
                    </w:rPr>
                  </w:pPr>
                  <w:r>
                    <w:rPr>
                      <w:rFonts w:hint="eastAsia" w:ascii="Times New Roman" w:hAnsi="Times New Roman"/>
                      <w:szCs w:val="21"/>
                    </w:rPr>
                    <w:t>0.003</w:t>
                  </w:r>
                </w:p>
              </w:tc>
              <w:tc>
                <w:tcPr>
                  <w:tcW w:w="1010" w:type="dxa"/>
                  <w:vAlign w:val="center"/>
                </w:tcPr>
                <w:p>
                  <w:pPr>
                    <w:jc w:val="center"/>
                    <w:rPr>
                      <w:rFonts w:ascii="Times New Roman" w:hAnsi="Times New Roman"/>
                      <w:szCs w:val="21"/>
                    </w:rPr>
                  </w:pPr>
                  <w:r>
                    <w:rPr>
                      <w:rFonts w:ascii="Times New Roman" w:hAnsi="Times New Roman"/>
                      <w:szCs w:val="21"/>
                    </w:rPr>
                    <w:t>0.0</w:t>
                  </w:r>
                  <w:r>
                    <w:rPr>
                      <w:rFonts w:hint="eastAsia" w:ascii="Times New Roman" w:hAnsi="Times New Roman"/>
                      <w:szCs w:val="21"/>
                    </w:rPr>
                    <w:t>03</w:t>
                  </w:r>
                </w:p>
              </w:tc>
            </w:tr>
          </w:tbl>
          <w:p>
            <w:pPr>
              <w:pStyle w:val="19"/>
              <w:spacing w:after="0" w:line="360" w:lineRule="auto"/>
              <w:ind w:left="0" w:leftChars="0" w:firstLine="480" w:firstLineChars="200"/>
              <w:rPr>
                <w:rFonts w:ascii="Times New Roman" w:hAnsi="Times New Roman"/>
                <w:sz w:val="24"/>
                <w:szCs w:val="24"/>
              </w:rPr>
            </w:pPr>
          </w:p>
          <w:p>
            <w:pPr>
              <w:pStyle w:val="19"/>
              <w:spacing w:after="0" w:line="360" w:lineRule="auto"/>
              <w:ind w:left="0" w:leftChars="0" w:firstLine="480" w:firstLineChars="200"/>
              <w:rPr>
                <w:rFonts w:ascii="Times New Roman" w:hAnsi="Times New Roman"/>
                <w:sz w:val="24"/>
                <w:szCs w:val="24"/>
              </w:rPr>
            </w:pPr>
            <w:r>
              <w:rPr>
                <w:rFonts w:ascii="Times New Roman" w:hAnsi="Times New Roman"/>
                <w:sz w:val="24"/>
                <w:szCs w:val="24"/>
              </w:rPr>
              <w:t>主要物性参数：</w:t>
            </w:r>
          </w:p>
          <w:p>
            <w:pPr>
              <w:pStyle w:val="19"/>
              <w:spacing w:after="0" w:line="360" w:lineRule="auto"/>
              <w:ind w:left="0" w:leftChars="0" w:firstLine="480" w:firstLineChars="200"/>
              <w:rPr>
                <w:rFonts w:ascii="Times New Roman" w:hAnsi="Times New Roman"/>
                <w:sz w:val="24"/>
                <w:szCs w:val="24"/>
              </w:rPr>
            </w:pPr>
            <w:r>
              <w:rPr>
                <w:rFonts w:ascii="Times New Roman" w:hAnsi="Times New Roman"/>
                <w:sz w:val="24"/>
                <w:szCs w:val="24"/>
              </w:rPr>
              <w:t xml:space="preserve">水露点水露点：≤-13℃； </w:t>
            </w:r>
          </w:p>
          <w:p>
            <w:pPr>
              <w:pStyle w:val="19"/>
              <w:spacing w:after="0" w:line="360" w:lineRule="auto"/>
              <w:ind w:left="0" w:leftChars="0" w:firstLine="480" w:firstLineChars="200"/>
              <w:rPr>
                <w:rFonts w:ascii="Times New Roman" w:hAnsi="Times New Roman"/>
                <w:sz w:val="24"/>
                <w:szCs w:val="24"/>
              </w:rPr>
            </w:pPr>
            <w:r>
              <w:rPr>
                <w:rFonts w:ascii="Times New Roman" w:hAnsi="Times New Roman"/>
                <w:sz w:val="24"/>
                <w:szCs w:val="24"/>
              </w:rPr>
              <w:t>低发热值：32.500MJ/m</w:t>
            </w:r>
            <w:r>
              <w:rPr>
                <w:rFonts w:ascii="Times New Roman" w:hAnsi="Times New Roman"/>
                <w:sz w:val="24"/>
                <w:szCs w:val="24"/>
                <w:vertAlign w:val="superscript"/>
              </w:rPr>
              <w:t>3</w:t>
            </w:r>
            <w:r>
              <w:rPr>
                <w:rFonts w:ascii="Times New Roman" w:hAnsi="Times New Roman"/>
                <w:sz w:val="24"/>
                <w:szCs w:val="24"/>
              </w:rPr>
              <w:t xml:space="preserve">； </w:t>
            </w:r>
          </w:p>
          <w:p>
            <w:pPr>
              <w:pStyle w:val="19"/>
              <w:spacing w:after="0" w:line="360" w:lineRule="auto"/>
              <w:ind w:left="0" w:leftChars="0" w:firstLine="480" w:firstLineChars="200"/>
              <w:rPr>
                <w:rFonts w:ascii="Times New Roman" w:hAnsi="Times New Roman"/>
                <w:sz w:val="24"/>
                <w:szCs w:val="24"/>
              </w:rPr>
            </w:pPr>
            <w:r>
              <w:rPr>
                <w:rFonts w:ascii="Times New Roman" w:hAnsi="Times New Roman"/>
                <w:sz w:val="24"/>
                <w:szCs w:val="24"/>
              </w:rPr>
              <w:t>高发热值：36.088MJ/m</w:t>
            </w:r>
            <w:r>
              <w:rPr>
                <w:rFonts w:ascii="Times New Roman" w:hAnsi="Times New Roman"/>
                <w:sz w:val="24"/>
                <w:szCs w:val="24"/>
                <w:vertAlign w:val="superscript"/>
              </w:rPr>
              <w:t>3</w:t>
            </w:r>
            <w:r>
              <w:rPr>
                <w:rFonts w:ascii="Times New Roman" w:hAnsi="Times New Roman"/>
                <w:sz w:val="24"/>
                <w:szCs w:val="24"/>
              </w:rPr>
              <w:t xml:space="preserve">； </w:t>
            </w:r>
          </w:p>
          <w:p>
            <w:pPr>
              <w:pStyle w:val="19"/>
              <w:spacing w:after="0" w:line="360" w:lineRule="auto"/>
              <w:ind w:left="0" w:leftChars="0" w:firstLine="480" w:firstLineChars="200"/>
              <w:rPr>
                <w:rFonts w:ascii="Times New Roman" w:hAnsi="Times New Roman"/>
                <w:sz w:val="24"/>
                <w:szCs w:val="24"/>
              </w:rPr>
            </w:pPr>
            <w:r>
              <w:rPr>
                <w:rFonts w:ascii="Times New Roman" w:hAnsi="Times New Roman"/>
                <w:sz w:val="24"/>
                <w:szCs w:val="24"/>
              </w:rPr>
              <w:t xml:space="preserve">相对密度：0.5799。 </w:t>
            </w:r>
          </w:p>
          <w:p>
            <w:pPr>
              <w:pStyle w:val="19"/>
              <w:spacing w:after="0" w:line="360" w:lineRule="auto"/>
              <w:ind w:left="0" w:leftChars="0" w:firstLine="480" w:firstLineChars="200"/>
              <w:rPr>
                <w:rFonts w:ascii="Times New Roman" w:hAnsi="Times New Roman"/>
                <w:sz w:val="24"/>
                <w:szCs w:val="24"/>
              </w:rPr>
            </w:pPr>
            <w:r>
              <w:rPr>
                <w:rFonts w:ascii="Times New Roman" w:hAnsi="Times New Roman"/>
                <w:sz w:val="24"/>
                <w:szCs w:val="24"/>
              </w:rPr>
              <w:t>按照《输气管道工程设计规范》（GB50251-2015），管输天然气气质标准应满足《天然气》（GB17820-2012）标准中Ⅱ类要求，即进入输气管道的气体水露点应比输送条件下最低环境温度低5℃；烃露点应低于或等于最低环境温度；气体中硫化氢含量不应大于20mg/m</w:t>
            </w:r>
            <w:r>
              <w:rPr>
                <w:rFonts w:ascii="Times New Roman" w:hAnsi="Times New Roman"/>
                <w:sz w:val="24"/>
                <w:szCs w:val="24"/>
                <w:vertAlign w:val="superscript"/>
              </w:rPr>
              <w:t>3</w:t>
            </w:r>
            <w:r>
              <w:rPr>
                <w:rFonts w:ascii="Times New Roman" w:hAnsi="Times New Roman"/>
                <w:sz w:val="24"/>
                <w:szCs w:val="24"/>
              </w:rPr>
              <w:t xml:space="preserve">等。本工程气源天然气气质符合国标Ⅱ类气要求。 </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（10）供气对象</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本项目目标市场为芜湖市。本工程建成后可实现LNG接收（转运）站与芜湖市周边各燃气公司管网的互联互通，为芜湖市用户输送天然气。</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芜湖长江LNG内河接收（转运）站气态天然气市场分配见下表。</w:t>
            </w:r>
          </w:p>
          <w:p>
            <w:pPr>
              <w:widowControl/>
              <w:spacing w:line="360" w:lineRule="auto"/>
              <w:jc w:val="center"/>
              <w:rPr>
                <w:rFonts w:ascii="Times New Roman" w:hAnsi="Times New Roman"/>
                <w:b/>
                <w:color w:val="000000"/>
                <w:sz w:val="24"/>
                <w:szCs w:val="24"/>
              </w:rPr>
            </w:pPr>
            <w:r>
              <w:rPr>
                <w:rFonts w:ascii="Times New Roman" w:hAnsi="Times New Roman"/>
                <w:b/>
                <w:color w:val="000000"/>
                <w:sz w:val="24"/>
                <w:szCs w:val="24"/>
              </w:rPr>
              <w:t>表1-</w:t>
            </w:r>
            <w:r>
              <w:rPr>
                <w:rFonts w:hint="eastAsia" w:ascii="Times New Roman" w:hAnsi="Times New Roman"/>
                <w:b/>
                <w:color w:val="000000"/>
                <w:sz w:val="24"/>
                <w:szCs w:val="24"/>
              </w:rPr>
              <w:t>6</w:t>
            </w:r>
            <w:r>
              <w:rPr>
                <w:rFonts w:ascii="Times New Roman" w:hAnsi="Times New Roman"/>
                <w:b/>
                <w:color w:val="000000"/>
                <w:sz w:val="24"/>
                <w:szCs w:val="24"/>
              </w:rPr>
              <w:t xml:space="preserve">  </w:t>
            </w:r>
            <w:r>
              <w:rPr>
                <w:rFonts w:hint="eastAsia" w:ascii="Times New Roman" w:hAnsi="Times New Roman"/>
                <w:b/>
                <w:color w:val="000000"/>
                <w:sz w:val="24"/>
                <w:szCs w:val="24"/>
              </w:rPr>
              <w:t>市场分配表</w:t>
            </w:r>
          </w:p>
          <w:tbl>
            <w:tblPr>
              <w:tblStyle w:val="32"/>
              <w:tblW w:w="8844" w:type="dxa"/>
              <w:jc w:val="center"/>
              <w:tblLayout w:type="fixed"/>
              <w:tblCellMar>
                <w:top w:w="0" w:type="dxa"/>
                <w:left w:w="0" w:type="dxa"/>
                <w:bottom w:w="0" w:type="dxa"/>
                <w:right w:w="0" w:type="dxa"/>
              </w:tblCellMar>
            </w:tblPr>
            <w:tblGrid>
              <w:gridCol w:w="1455"/>
              <w:gridCol w:w="3042"/>
              <w:gridCol w:w="4347"/>
            </w:tblGrid>
            <w:tr>
              <w:tblPrEx>
                <w:tblCellMar>
                  <w:top w:w="0" w:type="dxa"/>
                  <w:left w:w="0" w:type="dxa"/>
                  <w:bottom w:w="0" w:type="dxa"/>
                  <w:right w:w="0" w:type="dxa"/>
                </w:tblCellMar>
              </w:tblPrEx>
              <w:trPr>
                <w:trHeight w:val="23" w:hRule="atLeast"/>
                <w:jc w:val="center"/>
              </w:trPr>
              <w:tc>
                <w:tcPr>
                  <w:tcW w:w="959" w:type="dxa"/>
                  <w:tcBorders>
                    <w:top w:val="single" w:color="auto" w:sz="4" w:space="0"/>
                    <w:left w:val="single" w:color="auto" w:sz="12"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序号</w:t>
                  </w:r>
                </w:p>
              </w:tc>
              <w:tc>
                <w:tcPr>
                  <w:tcW w:w="200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hint="eastAsia" w:ascii="Times New Roman" w:hAnsi="Times New Roman"/>
                      <w:szCs w:val="21"/>
                    </w:rPr>
                    <w:t>用户</w:t>
                  </w:r>
                </w:p>
              </w:tc>
              <w:tc>
                <w:tcPr>
                  <w:tcW w:w="286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hint="eastAsia" w:ascii="Times New Roman" w:hAnsi="Times New Roman"/>
                      <w:szCs w:val="21"/>
                    </w:rPr>
                    <w:t>2022年配气量（10</w:t>
                  </w:r>
                  <w:r>
                    <w:rPr>
                      <w:rFonts w:hint="eastAsia" w:ascii="Times New Roman" w:hAnsi="Times New Roman"/>
                      <w:szCs w:val="21"/>
                      <w:vertAlign w:val="superscript"/>
                    </w:rPr>
                    <w:t>8</w:t>
                  </w:r>
                  <w:r>
                    <w:rPr>
                      <w:rFonts w:hint="eastAsia" w:ascii="Times New Roman" w:hAnsi="Times New Roman"/>
                      <w:szCs w:val="21"/>
                    </w:rPr>
                    <w:t>Nm</w:t>
                  </w:r>
                  <w:r>
                    <w:rPr>
                      <w:rFonts w:hint="eastAsia" w:ascii="Times New Roman" w:hAnsi="Times New Roman"/>
                      <w:szCs w:val="21"/>
                      <w:vertAlign w:val="superscript"/>
                    </w:rPr>
                    <w:t>3</w:t>
                  </w:r>
                  <w:r>
                    <w:rPr>
                      <w:rFonts w:hint="eastAsia" w:ascii="Times New Roman" w:hAnsi="Times New Roman"/>
                      <w:szCs w:val="21"/>
                    </w:rPr>
                    <w:t>/a）</w:t>
                  </w:r>
                </w:p>
              </w:tc>
            </w:tr>
            <w:tr>
              <w:tblPrEx>
                <w:tblCellMar>
                  <w:top w:w="0" w:type="dxa"/>
                  <w:left w:w="0" w:type="dxa"/>
                  <w:bottom w:w="0" w:type="dxa"/>
                  <w:right w:w="0" w:type="dxa"/>
                </w:tblCellMar>
              </w:tblPrEx>
              <w:trPr>
                <w:trHeight w:val="23" w:hRule="atLeast"/>
                <w:jc w:val="center"/>
              </w:trPr>
              <w:tc>
                <w:tcPr>
                  <w:tcW w:w="959"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1</w:t>
                  </w:r>
                </w:p>
              </w:tc>
              <w:tc>
                <w:tcPr>
                  <w:tcW w:w="2004"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rPr>
                    <w:t>安徽忠旺铝业</w:t>
                  </w:r>
                </w:p>
              </w:tc>
              <w:tc>
                <w:tcPr>
                  <w:tcW w:w="2864"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2.28</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000000"/>
                      <w:szCs w:val="21"/>
                    </w:rPr>
                  </w:pPr>
                  <w:r>
                    <w:rPr>
                      <w:rFonts w:ascii="Times New Roman" w:hAnsi="Times New Roman"/>
                      <w:color w:val="000000"/>
                      <w:szCs w:val="21"/>
                    </w:rPr>
                    <w:t>2</w:t>
                  </w:r>
                </w:p>
              </w:tc>
              <w:tc>
                <w:tcPr>
                  <w:tcW w:w="200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rPr>
                    <w:t>芜湖中燃</w:t>
                  </w:r>
                </w:p>
              </w:tc>
              <w:tc>
                <w:tcPr>
                  <w:tcW w:w="286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1.07</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3</w:t>
                  </w:r>
                </w:p>
              </w:tc>
              <w:tc>
                <w:tcPr>
                  <w:tcW w:w="200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szCs w:val="22"/>
                    </w:rPr>
                  </w:pPr>
                  <w:r>
                    <w:rPr>
                      <w:szCs w:val="22"/>
                      <w:lang w:val="zh-CN"/>
                    </w:rPr>
                    <w:t>中基燃气</w:t>
                  </w:r>
                </w:p>
              </w:tc>
              <w:tc>
                <w:tcPr>
                  <w:tcW w:w="286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0.59</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4</w:t>
                  </w:r>
                </w:p>
              </w:tc>
              <w:tc>
                <w:tcPr>
                  <w:tcW w:w="200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szCs w:val="22"/>
                    </w:rPr>
                  </w:pPr>
                  <w:r>
                    <w:rPr>
                      <w:szCs w:val="22"/>
                      <w:lang w:val="zh-CN"/>
                    </w:rPr>
                    <w:t>港华燃气</w:t>
                  </w:r>
                </w:p>
              </w:tc>
              <w:tc>
                <w:tcPr>
                  <w:tcW w:w="286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0.54</w:t>
                  </w:r>
                </w:p>
              </w:tc>
            </w:tr>
            <w:tr>
              <w:tblPrEx>
                <w:tblCellMar>
                  <w:top w:w="0" w:type="dxa"/>
                  <w:left w:w="0" w:type="dxa"/>
                  <w:bottom w:w="0" w:type="dxa"/>
                  <w:right w:w="0" w:type="dxa"/>
                </w:tblCellMar>
              </w:tblPrEx>
              <w:trPr>
                <w:trHeight w:val="23" w:hRule="atLeast"/>
                <w:jc w:val="center"/>
              </w:trPr>
              <w:tc>
                <w:tcPr>
                  <w:tcW w:w="2963" w:type="dxa"/>
                  <w:gridSpan w:val="2"/>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合计</w:t>
                  </w:r>
                </w:p>
              </w:tc>
              <w:tc>
                <w:tcPr>
                  <w:tcW w:w="286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4.48</w:t>
                  </w:r>
                </w:p>
              </w:tc>
            </w:tr>
          </w:tbl>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（11）主要技术经济指标</w:t>
            </w:r>
          </w:p>
          <w:p>
            <w:pPr>
              <w:widowControl/>
              <w:spacing w:line="360" w:lineRule="auto"/>
              <w:jc w:val="center"/>
              <w:rPr>
                <w:rFonts w:ascii="Times New Roman" w:hAnsi="Times New Roman"/>
                <w:b/>
                <w:color w:val="000000"/>
                <w:sz w:val="24"/>
                <w:szCs w:val="24"/>
              </w:rPr>
            </w:pPr>
            <w:r>
              <w:rPr>
                <w:rFonts w:ascii="Times New Roman" w:hAnsi="Times New Roman"/>
                <w:b/>
                <w:color w:val="000000"/>
                <w:sz w:val="24"/>
                <w:szCs w:val="24"/>
              </w:rPr>
              <w:t>表1-</w:t>
            </w:r>
            <w:r>
              <w:rPr>
                <w:rFonts w:hint="eastAsia" w:ascii="Times New Roman" w:hAnsi="Times New Roman"/>
                <w:b/>
                <w:color w:val="000000"/>
                <w:sz w:val="24"/>
                <w:szCs w:val="24"/>
              </w:rPr>
              <w:t>7</w:t>
            </w:r>
            <w:r>
              <w:rPr>
                <w:rFonts w:ascii="Times New Roman" w:hAnsi="Times New Roman"/>
                <w:b/>
                <w:color w:val="000000"/>
                <w:sz w:val="24"/>
                <w:szCs w:val="24"/>
              </w:rPr>
              <w:t xml:space="preserve">  </w:t>
            </w:r>
            <w:r>
              <w:rPr>
                <w:rFonts w:hint="eastAsia" w:ascii="Times New Roman" w:hAnsi="Times New Roman"/>
                <w:b/>
                <w:color w:val="000000"/>
                <w:sz w:val="24"/>
                <w:szCs w:val="24"/>
              </w:rPr>
              <w:t>项目主要经济指标表</w:t>
            </w:r>
          </w:p>
          <w:tbl>
            <w:tblPr>
              <w:tblStyle w:val="32"/>
              <w:tblW w:w="8844" w:type="dxa"/>
              <w:jc w:val="center"/>
              <w:tblLayout w:type="fixed"/>
              <w:tblCellMar>
                <w:top w:w="0" w:type="dxa"/>
                <w:left w:w="0" w:type="dxa"/>
                <w:bottom w:w="0" w:type="dxa"/>
                <w:right w:w="0" w:type="dxa"/>
              </w:tblCellMar>
            </w:tblPr>
            <w:tblGrid>
              <w:gridCol w:w="959"/>
              <w:gridCol w:w="4489"/>
              <w:gridCol w:w="1700"/>
              <w:gridCol w:w="1696"/>
            </w:tblGrid>
            <w:tr>
              <w:tblPrEx>
                <w:tblCellMar>
                  <w:top w:w="0" w:type="dxa"/>
                  <w:left w:w="0" w:type="dxa"/>
                  <w:bottom w:w="0" w:type="dxa"/>
                  <w:right w:w="0" w:type="dxa"/>
                </w:tblCellMar>
              </w:tblPrEx>
              <w:trPr>
                <w:trHeight w:val="23" w:hRule="atLeast"/>
                <w:jc w:val="center"/>
              </w:trPr>
              <w:tc>
                <w:tcPr>
                  <w:tcW w:w="959" w:type="dxa"/>
                  <w:tcBorders>
                    <w:top w:val="single" w:color="auto" w:sz="4" w:space="0"/>
                    <w:left w:val="single" w:color="auto" w:sz="12"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序号</w:t>
                  </w:r>
                </w:p>
              </w:tc>
              <w:tc>
                <w:tcPr>
                  <w:tcW w:w="44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项目</w:t>
                  </w:r>
                </w:p>
              </w:tc>
              <w:tc>
                <w:tcPr>
                  <w:tcW w:w="17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单位</w:t>
                  </w:r>
                </w:p>
              </w:tc>
              <w:tc>
                <w:tcPr>
                  <w:tcW w:w="1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数量</w:t>
                  </w:r>
                </w:p>
              </w:tc>
            </w:tr>
            <w:tr>
              <w:tblPrEx>
                <w:tblCellMar>
                  <w:top w:w="0" w:type="dxa"/>
                  <w:left w:w="0" w:type="dxa"/>
                  <w:bottom w:w="0" w:type="dxa"/>
                  <w:right w:w="0" w:type="dxa"/>
                </w:tblCellMar>
              </w:tblPrEx>
              <w:trPr>
                <w:trHeight w:val="23" w:hRule="atLeast"/>
                <w:jc w:val="center"/>
              </w:trPr>
              <w:tc>
                <w:tcPr>
                  <w:tcW w:w="959"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1</w:t>
                  </w:r>
                </w:p>
              </w:tc>
              <w:tc>
                <w:tcPr>
                  <w:tcW w:w="4489"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rPr>
                    <w:t>线路</w:t>
                  </w:r>
                </w:p>
              </w:tc>
              <w:tc>
                <w:tcPr>
                  <w:tcW w:w="1700"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p>
              </w:tc>
              <w:tc>
                <w:tcPr>
                  <w:tcW w:w="1696"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1.1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rPr>
                    <w:t>线路长度</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km</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5.8</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1.2</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管材</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D406.4×</w:t>
                  </w:r>
                  <w:r>
                    <w:rPr>
                      <w:rFonts w:ascii="Times New Roman" w:hAnsi="Times New Roman"/>
                      <w:szCs w:val="22"/>
                    </w:rPr>
                    <w:t>8.</w:t>
                  </w:r>
                  <w:r>
                    <w:rPr>
                      <w:rFonts w:ascii="Times New Roman" w:hAnsi="Times New Roman"/>
                      <w:szCs w:val="22"/>
                      <w:lang w:val="zh-CN"/>
                    </w:rPr>
                    <w:t>7</w:t>
                  </w:r>
                  <w:r>
                    <w:rPr>
                      <w:rFonts w:ascii="Times New Roman" w:hAnsi="Times New Roman"/>
                      <w:szCs w:val="22"/>
                    </w:rPr>
                    <w:t xml:space="preserve"> </w:t>
                  </w:r>
                  <w:r>
                    <w:rPr>
                      <w:rFonts w:ascii="Times New Roman" w:hAnsi="Times New Roman"/>
                      <w:szCs w:val="22"/>
                      <w:lang w:val="zh-CN"/>
                    </w:rPr>
                    <w:t xml:space="preserve"> L415M直缝埋弧焊钢管</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km</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5.8</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1.3</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管道防腐</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km</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5.8</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2</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站场</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2.1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高安首站</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座</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1</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2.2</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横山分输站</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座</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1</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3</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通信</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3.1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通信线路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km</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5.8</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4</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供配电</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4.1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外部供电线路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km</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3</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公用工程</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总图</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5.1.1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征地面积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亩</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27.88</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5.1.2</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绿化面积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m</w:t>
                  </w:r>
                  <w:r>
                    <w:rPr>
                      <w:rFonts w:hint="eastAsia" w:ascii="Times New Roman" w:hAnsi="Times New Roman"/>
                      <w:szCs w:val="22"/>
                      <w:vertAlign w:val="superscript"/>
                    </w:rPr>
                    <w:t>2</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1330</w:t>
                  </w: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5.2</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给排水及消防</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p>
              </w:tc>
            </w:tr>
            <w:tr>
              <w:tblPrEx>
                <w:tblCellMar>
                  <w:top w:w="0" w:type="dxa"/>
                  <w:left w:w="0" w:type="dxa"/>
                  <w:bottom w:w="0" w:type="dxa"/>
                  <w:right w:w="0" w:type="dxa"/>
                </w:tblCellMar>
              </w:tblPrEx>
              <w:trPr>
                <w:trHeight w:val="23" w:hRule="atLeast"/>
                <w:jc w:val="center"/>
              </w:trPr>
              <w:tc>
                <w:tcPr>
                  <w:tcW w:w="95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5.2.1</w:t>
                  </w:r>
                </w:p>
              </w:tc>
              <w:tc>
                <w:tcPr>
                  <w:tcW w:w="448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lang w:val="zh-CN"/>
                    </w:rPr>
                  </w:pPr>
                  <w:r>
                    <w:rPr>
                      <w:rFonts w:ascii="Times New Roman" w:hAnsi="Times New Roman"/>
                      <w:szCs w:val="22"/>
                      <w:lang w:val="zh-CN"/>
                    </w:rPr>
                    <w:t>外部供水管线</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km</w:t>
                  </w:r>
                </w:p>
              </w:tc>
              <w:tc>
                <w:tcPr>
                  <w:tcW w:w="1696"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0.5</w:t>
                  </w:r>
                </w:p>
              </w:tc>
            </w:tr>
          </w:tbl>
          <w:p>
            <w:pPr>
              <w:spacing w:line="360" w:lineRule="auto"/>
              <w:ind w:firstLine="482" w:firstLineChars="200"/>
              <w:rPr>
                <w:rFonts w:ascii="Times New Roman" w:hAnsi="Times New Roman"/>
                <w:b/>
                <w:color w:val="000000"/>
                <w:sz w:val="24"/>
                <w:szCs w:val="24"/>
              </w:rPr>
            </w:pPr>
          </w:p>
          <w:p>
            <w:pPr>
              <w:spacing w:line="360" w:lineRule="auto"/>
              <w:ind w:firstLine="480" w:firstLineChars="200"/>
              <w:rPr>
                <w:rFonts w:ascii="Times New Roman" w:hAnsi="Times New Roman"/>
                <w:b/>
                <w:color w:val="000000"/>
                <w:sz w:val="24"/>
                <w:szCs w:val="24"/>
              </w:rPr>
            </w:pPr>
            <w:r>
              <w:rPr>
                <w:rFonts w:hint="eastAsia" w:ascii="Times New Roman" w:hAnsi="Times New Roman"/>
                <w:bCs/>
                <w:color w:val="000000"/>
                <w:sz w:val="24"/>
                <w:szCs w:val="24"/>
              </w:rPr>
              <w:t>3、管道工程</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管道敷设必须满足《输气管道工程设计规范》GB 50251-2015的要求。敷设方式需要综合分析管道沿线所通过地区的实际地形情况，并考虑管道的施工难度和建成以后的管理、运营安全等因素。</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本工程管道采用沟埋敷设方式，局部特殊穿越地段采用顶管等非开挖方式敷设。线路转角采用弹性敷设、现场冷弯、热煨弯管三种形式来满足管道变向安装要求。在满足最小埋深要求的前提下，管道纵向曲线尽可能少设弯管。</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（1）管沟开挖</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①管沟挖深</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线路一般地段全部采用沟埋敷设。规定如下：</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1）管道一般线路段管顶埋深1.5m；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2）在农田地区开挖管沟时，应严格将表层耕作土和底层生土分层堆放；</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②管沟沟底宽度</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根据《输气管道工程设计规范》（GB50251-2015），结合本工程实际，当管沟深度小于5m时，管沟底部宽度为：</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B=D+b</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其中：B-沟底宽度，m；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D一钢管的结构外径，m；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b一沟底加宽余量，m；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当管沟沟深超过5m时，应根据土壤类别及物理力学性质确定底宽，并将边坡适当放缓或加筑平台。</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③管沟坡度</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管沟允许边坡坡度应根据试挖或土壤的内摩擦角、粘聚力、湿度和密度等物理力学特性确定，一般可按下表取值。</w:t>
            </w:r>
          </w:p>
          <w:p>
            <w:pPr>
              <w:widowControl/>
              <w:spacing w:line="360" w:lineRule="auto"/>
              <w:jc w:val="center"/>
              <w:rPr>
                <w:rFonts w:ascii="Times New Roman" w:hAnsi="Times New Roman"/>
                <w:b/>
                <w:color w:val="000000"/>
                <w:sz w:val="24"/>
                <w:szCs w:val="24"/>
              </w:rPr>
            </w:pPr>
            <w:r>
              <w:rPr>
                <w:rFonts w:ascii="Times New Roman" w:hAnsi="Times New Roman"/>
                <w:b/>
                <w:color w:val="000000"/>
                <w:sz w:val="24"/>
                <w:szCs w:val="24"/>
              </w:rPr>
              <w:t>表1-</w:t>
            </w:r>
            <w:r>
              <w:rPr>
                <w:rFonts w:hint="eastAsia" w:ascii="Times New Roman" w:hAnsi="Times New Roman"/>
                <w:b/>
                <w:color w:val="000000"/>
                <w:sz w:val="24"/>
                <w:szCs w:val="24"/>
              </w:rPr>
              <w:t>8</w:t>
            </w:r>
            <w:r>
              <w:rPr>
                <w:rFonts w:ascii="Times New Roman" w:hAnsi="Times New Roman"/>
                <w:b/>
                <w:color w:val="000000"/>
                <w:sz w:val="24"/>
                <w:szCs w:val="24"/>
              </w:rPr>
              <w:t xml:space="preserve">  </w:t>
            </w:r>
            <w:r>
              <w:rPr>
                <w:rFonts w:hint="eastAsia" w:ascii="Times New Roman" w:hAnsi="Times New Roman"/>
                <w:b/>
                <w:color w:val="000000"/>
                <w:sz w:val="24"/>
                <w:szCs w:val="24"/>
              </w:rPr>
              <w:t>沟深小于5m的管沟边坡最陡坡度表</w:t>
            </w:r>
          </w:p>
          <w:tbl>
            <w:tblPr>
              <w:tblStyle w:val="32"/>
              <w:tblW w:w="8844" w:type="dxa"/>
              <w:jc w:val="center"/>
              <w:tblLayout w:type="fixed"/>
              <w:tblCellMar>
                <w:top w:w="0" w:type="dxa"/>
                <w:left w:w="0" w:type="dxa"/>
                <w:bottom w:w="0" w:type="dxa"/>
                <w:right w:w="0" w:type="dxa"/>
              </w:tblCellMar>
            </w:tblPr>
            <w:tblGrid>
              <w:gridCol w:w="2465"/>
              <w:gridCol w:w="2183"/>
              <w:gridCol w:w="2217"/>
              <w:gridCol w:w="1979"/>
            </w:tblGrid>
            <w:tr>
              <w:tblPrEx>
                <w:tblCellMar>
                  <w:top w:w="0" w:type="dxa"/>
                  <w:left w:w="0" w:type="dxa"/>
                  <w:bottom w:w="0" w:type="dxa"/>
                  <w:right w:w="0" w:type="dxa"/>
                </w:tblCellMar>
              </w:tblPrEx>
              <w:trPr>
                <w:trHeight w:val="23" w:hRule="atLeast"/>
                <w:jc w:val="center"/>
              </w:trPr>
              <w:tc>
                <w:tcPr>
                  <w:tcW w:w="2465" w:type="dxa"/>
                  <w:vMerge w:val="restart"/>
                  <w:tcBorders>
                    <w:top w:val="single" w:color="auto" w:sz="4" w:space="0"/>
                    <w:left w:val="single" w:color="auto" w:sz="12"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hint="eastAsia" w:ascii="Times New Roman" w:hAnsi="Times New Roman"/>
                      <w:szCs w:val="21"/>
                    </w:rPr>
                    <w:t>土壤类别</w:t>
                  </w:r>
                </w:p>
              </w:tc>
              <w:tc>
                <w:tcPr>
                  <w:tcW w:w="6379"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ascii="Times New Roman" w:hAnsi="Times New Roman"/>
                      <w:szCs w:val="21"/>
                    </w:rPr>
                    <w:t>边坡坡度（高：宽）</w:t>
                  </w:r>
                </w:p>
              </w:tc>
            </w:tr>
            <w:tr>
              <w:tblPrEx>
                <w:tblCellMar>
                  <w:top w:w="0" w:type="dxa"/>
                  <w:left w:w="0" w:type="dxa"/>
                  <w:bottom w:w="0" w:type="dxa"/>
                  <w:right w:w="0" w:type="dxa"/>
                </w:tblCellMar>
              </w:tblPrEx>
              <w:trPr>
                <w:trHeight w:val="23" w:hRule="atLeast"/>
                <w:jc w:val="center"/>
              </w:trPr>
              <w:tc>
                <w:tcPr>
                  <w:tcW w:w="2465" w:type="dxa"/>
                  <w:vMerge w:val="continue"/>
                  <w:tcBorders>
                    <w:left w:val="single" w:color="auto" w:sz="12"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p>
              </w:tc>
              <w:tc>
                <w:tcPr>
                  <w:tcW w:w="2183"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rPr>
                    <w:t>坡顶无载荷</w:t>
                  </w:r>
                </w:p>
              </w:tc>
              <w:tc>
                <w:tcPr>
                  <w:tcW w:w="2217"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rPr>
                    <w:t>坡顶有静载荷</w:t>
                  </w:r>
                </w:p>
              </w:tc>
              <w:tc>
                <w:tcPr>
                  <w:tcW w:w="1979"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ascii="Times New Roman" w:hAnsi="Times New Roman"/>
                      <w:szCs w:val="21"/>
                      <w:shd w:val="clear" w:color="000000" w:fill="FFFFFF"/>
                    </w:rPr>
                    <w:t>坡顶有动载荷</w:t>
                  </w:r>
                </w:p>
              </w:tc>
            </w:tr>
            <w:tr>
              <w:tblPrEx>
                <w:tblCellMar>
                  <w:top w:w="0" w:type="dxa"/>
                  <w:left w:w="0" w:type="dxa"/>
                  <w:bottom w:w="0" w:type="dxa"/>
                  <w:right w:w="0" w:type="dxa"/>
                </w:tblCellMar>
              </w:tblPrEx>
              <w:trPr>
                <w:trHeight w:val="23" w:hRule="atLeast"/>
                <w:jc w:val="center"/>
              </w:trPr>
              <w:tc>
                <w:tcPr>
                  <w:tcW w:w="246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中密砂土</w:t>
                  </w:r>
                </w:p>
              </w:tc>
              <w:tc>
                <w:tcPr>
                  <w:tcW w:w="2183"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1.00</w:t>
                  </w:r>
                </w:p>
              </w:tc>
              <w:tc>
                <w:tcPr>
                  <w:tcW w:w="2217"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1.25</w:t>
                  </w:r>
                </w:p>
              </w:tc>
              <w:tc>
                <w:tcPr>
                  <w:tcW w:w="19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1.50</w:t>
                  </w:r>
                </w:p>
              </w:tc>
            </w:tr>
            <w:tr>
              <w:tblPrEx>
                <w:tblCellMar>
                  <w:top w:w="0" w:type="dxa"/>
                  <w:left w:w="0" w:type="dxa"/>
                  <w:bottom w:w="0" w:type="dxa"/>
                  <w:right w:w="0" w:type="dxa"/>
                </w:tblCellMar>
              </w:tblPrEx>
              <w:trPr>
                <w:trHeight w:val="23" w:hRule="atLeast"/>
                <w:jc w:val="center"/>
              </w:trPr>
              <w:tc>
                <w:tcPr>
                  <w:tcW w:w="246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中密的碎石类土</w:t>
                  </w:r>
                </w:p>
              </w:tc>
              <w:tc>
                <w:tcPr>
                  <w:tcW w:w="2183"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0.75</w:t>
                  </w:r>
                </w:p>
              </w:tc>
              <w:tc>
                <w:tcPr>
                  <w:tcW w:w="2217"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1.00</w:t>
                  </w:r>
                </w:p>
              </w:tc>
              <w:tc>
                <w:tcPr>
                  <w:tcW w:w="19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1.25</w:t>
                  </w:r>
                </w:p>
              </w:tc>
            </w:tr>
            <w:tr>
              <w:tblPrEx>
                <w:tblCellMar>
                  <w:top w:w="0" w:type="dxa"/>
                  <w:left w:w="0" w:type="dxa"/>
                  <w:bottom w:w="0" w:type="dxa"/>
                  <w:right w:w="0" w:type="dxa"/>
                </w:tblCellMar>
              </w:tblPrEx>
              <w:trPr>
                <w:trHeight w:val="23" w:hRule="atLeast"/>
                <w:jc w:val="center"/>
              </w:trPr>
              <w:tc>
                <w:tcPr>
                  <w:tcW w:w="246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硬塑的粉质粘土</w:t>
                  </w:r>
                </w:p>
              </w:tc>
              <w:tc>
                <w:tcPr>
                  <w:tcW w:w="2183"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1: 0.67</w:t>
                  </w:r>
                </w:p>
              </w:tc>
              <w:tc>
                <w:tcPr>
                  <w:tcW w:w="2217"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0. 75</w:t>
                  </w:r>
                </w:p>
              </w:tc>
              <w:tc>
                <w:tcPr>
                  <w:tcW w:w="19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1.00</w:t>
                  </w:r>
                </w:p>
              </w:tc>
            </w:tr>
            <w:tr>
              <w:tblPrEx>
                <w:tblCellMar>
                  <w:top w:w="0" w:type="dxa"/>
                  <w:left w:w="0" w:type="dxa"/>
                  <w:bottom w:w="0" w:type="dxa"/>
                  <w:right w:w="0" w:type="dxa"/>
                </w:tblCellMar>
              </w:tblPrEx>
              <w:trPr>
                <w:trHeight w:val="23" w:hRule="atLeast"/>
                <w:jc w:val="center"/>
              </w:trPr>
              <w:tc>
                <w:tcPr>
                  <w:tcW w:w="246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硬塑的粉质粘土、粘土</w:t>
                  </w:r>
                </w:p>
              </w:tc>
              <w:tc>
                <w:tcPr>
                  <w:tcW w:w="2183"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1: 0.33</w:t>
                  </w:r>
                </w:p>
              </w:tc>
              <w:tc>
                <w:tcPr>
                  <w:tcW w:w="2217"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0.50</w:t>
                  </w:r>
                </w:p>
              </w:tc>
              <w:tc>
                <w:tcPr>
                  <w:tcW w:w="19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 0.67</w:t>
                  </w:r>
                </w:p>
              </w:tc>
            </w:tr>
            <w:tr>
              <w:tblPrEx>
                <w:tblCellMar>
                  <w:top w:w="0" w:type="dxa"/>
                  <w:left w:w="0" w:type="dxa"/>
                  <w:bottom w:w="0" w:type="dxa"/>
                  <w:right w:w="0" w:type="dxa"/>
                </w:tblCellMar>
              </w:tblPrEx>
              <w:trPr>
                <w:trHeight w:val="23" w:hRule="atLeast"/>
                <w:jc w:val="center"/>
              </w:trPr>
              <w:tc>
                <w:tcPr>
                  <w:tcW w:w="246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软土</w:t>
                  </w:r>
                </w:p>
              </w:tc>
              <w:tc>
                <w:tcPr>
                  <w:tcW w:w="2183"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1: 1.00</w:t>
                  </w:r>
                </w:p>
              </w:tc>
              <w:tc>
                <w:tcPr>
                  <w:tcW w:w="2217"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w:t>
                  </w:r>
                </w:p>
              </w:tc>
              <w:tc>
                <w:tcPr>
                  <w:tcW w:w="19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w:t>
                  </w:r>
                </w:p>
              </w:tc>
            </w:tr>
            <w:tr>
              <w:tblPrEx>
                <w:tblCellMar>
                  <w:top w:w="0" w:type="dxa"/>
                  <w:left w:w="0" w:type="dxa"/>
                  <w:bottom w:w="0" w:type="dxa"/>
                  <w:right w:w="0" w:type="dxa"/>
                </w:tblCellMar>
              </w:tblPrEx>
              <w:trPr>
                <w:trHeight w:val="23" w:hRule="atLeast"/>
                <w:jc w:val="center"/>
              </w:trPr>
              <w:tc>
                <w:tcPr>
                  <w:tcW w:w="246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ascii="Times New Roman" w:hAnsi="Times New Roman"/>
                      <w:szCs w:val="22"/>
                      <w:lang w:val="zh-CN"/>
                    </w:rPr>
                    <w:t>硬质岩</w:t>
                  </w:r>
                </w:p>
              </w:tc>
              <w:tc>
                <w:tcPr>
                  <w:tcW w:w="2183"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1:0</w:t>
                  </w:r>
                </w:p>
              </w:tc>
              <w:tc>
                <w:tcPr>
                  <w:tcW w:w="2217"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1:0</w:t>
                  </w:r>
                </w:p>
              </w:tc>
              <w:tc>
                <w:tcPr>
                  <w:tcW w:w="19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1:0</w:t>
                  </w:r>
                </w:p>
              </w:tc>
            </w:tr>
          </w:tbl>
          <w:p>
            <w:pPr>
              <w:spacing w:line="360" w:lineRule="auto"/>
              <w:ind w:firstLine="482" w:firstLineChars="200"/>
              <w:rPr>
                <w:rFonts w:ascii="Times New Roman" w:hAnsi="Times New Roman"/>
                <w:b/>
                <w:color w:val="000000"/>
                <w:sz w:val="24"/>
                <w:szCs w:val="24"/>
              </w:rPr>
            </w:pP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地下水埋深浅的地段，管沟边坡应试挖确定；机械开挖时，管沟边坡土壤结构不得被搅动或破坏。</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（2）一般地段管道敷设</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一般线路段管道以沟埋方式敷设为主，管顶覆土为1.5m，石方地段沟底应比土壤区管沟深挖0.3m，并用细土或砂将深挖部分垫平后方可下管，同时管沟回填应先用细土回填至管顶以上0.3m，才允许用土、砾或粒径小于250mm的碎石回填并压实。管沟回填土高度宜高出地面0.3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（3）特殊地段管道敷设</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①城市规划区段管道敷设</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根据地方城市区域现有规划和将来发展情况，管道设计系数提高到0.4，同时线路路由应取得当地政府部门的批准，其设计及施工技术要求除遵循相关标准规范外，还应取得当地政府部门的同意。</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本工程管道局部地段通过城市规划区，除提高设计系数外，还应采取相应的措施：</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1）在地面设置明显的警示牌标志，警示牌按50m间距加密设置；</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2）设置视频监控，加强人口密集型高后果区的安全管理；</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3）施工时采取适当的支护措施来保证已建地下设施的安全；</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4）穿越规划的道路时须预埋足量的混凝土套管对管道进行保护。</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②经济作物区段管道敷设</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管线所经地区以耕地为主，管线将通过一些经济作物区和果园，为减少管线施工对经济作物、果园的损坏，选线过程中尽量选择避绕。对于无法避开区段，管线尽量靠近果树园内农用道路敷设，施工作业带宽度应尽量缩窄，并可考虑采用沟下组焊方式以减小施工作业带宽度和占地赔偿。</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③田间灌溉渠穿越段</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对于田间灌溉渠开挖穿越，这些渠道一般宽度不大（上开口宽度一般小于10m），深度一般1m以内。这些渠道经常不定期的进行清淤，清淤深度可达1.0~1.5m，容易造成局部地段管道裸露甚至悬空，给管道的运行管理带来很大的不便。对于这些小型渠道，需严格控制管道埋深，控制渠底处管顶覆土应不小于3.0m，并在管道上方设置警示带，渠边设置明显的标志桩，必要时在渠底设混凝土盖板保护管道。</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④并行管道段敷设</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本工程管道采取以下原则进行设计：</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1）并行段线路路由符合地方城镇规划，并取得规划部门的批准；</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2）并行段间距不应小于6m；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3）并行段管道的防腐采用三层PE常温型加强级防腐，且按设计要求的检漏电压全面检查防腐层，此段检测不允许出现漏电。如有破损应按相关标准、规范的规定及时补修；</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4）并行管道的水工保护措施应基本保持一致，后建管道水工保护服从先建。后建设管道扰动先建设管道水工保护设施或者对先建设管道的水工保护设施的功能发挥造成影响的，要一并考虑保护方案的设置。</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（4）管道变向</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埋地管道的水平和竖向转变，可根据具体情况分别采用弹性敷设、冷弯弯管和热煨弯管来处理。在地形和地质条件允许的情况下，管道在水平和纵向的转角较小时要优先选用弹性敷设的方式来实现管道方向改变，以减小局部摩阻损失和增强管道的整体柔韧性。在管道平面和纵向发生变化，并且无法采用弹性敷设时可采用冷弯弯管，必要时还可采用热煨弯管。</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本工程管道采用弹性敷设时，弹性弯曲的曲率半径（Re）不宜小于钢管外径的1000倍，即Re&gt;1000D（D为管道外直径），并应满足强度计算要求。对于竖向下凹的弹性弯曲管段，其曲率半径还应满足在管道自重作用下的变形条件。当管道采取弹性敷设时，与相邻的反向弹性弯管之间及弹性弯管和人工弯管之间，采用直管段连接；直管段长度不应小于管子外径，且不应小于500mm。</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在弹性敷设受地形、地物及场地限制难以实现，或虽能施工，但土方量过大时，应优先采取曲率半径为40D的现场冷弯弯管，其次采用曲率半径为6D的热煨弯管。</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采用冷弯弯管敷设时，冷弯弯管的曲率半径应等于40倍的管道外径，两侧各保留2m直管段。</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采用热煨弯管敷设时，热煨弯管的曲率半径应为6倍的管道外径，两侧各保留0.5m直管段。</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（5）施工作业带</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本工程管道一般线路段施工作业带宽度按16m计。施工前，应组织对施工作业带内地上、地下各种建（构）筑物和植（作）物、林木等进行清点造册。施工作业带清理应在放线并办理好征（占）地手续后进行。</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施工作业带清理、平整应遵循保护农田、果林、植被及配套设施，减少或防止产生水土流失的原则。清理和平整施工作业带时，应注意保护线路控制桩，如有损坏应立即补桩灰复。</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施工作业带范围内，对于影响施工机具通行或施工作业的石块、杂草、树木、构筑物等应适当清理，沟、坎应予平整，有积水的地势低注地段应排水填平。</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尽量减少农田、林木地段的占地，应对农田、林木地段注意保护。</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施工完毕之后，要注意施工作业带的复耕工作，使土地回到有用状态。</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（6）公路穿越</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穿越公路时，严格执行《油气输送管道穿越工程设计规范》GB 50423-2013，穿越高速公路、一、二级公路以及重要的沥青公路采用顶钢筋混凝土套管方式，穿越一般水泥路、沥青路采用开挖加套管方式，穿越一般砂石路、土路采用开挖加盖板的方式，穿越乡间土路采用开挖直埋方式。</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对于与待建的道路交叉，可在道路施工方指定的地段预埋套管，以保护管道的安全。</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穿越管道与被穿越的公路的夹角宜为90%，在特殊情况下不宜小于300一般线路段和穿越段管线钢筋混凝土套管规格选用DRCP II1 1200 × 2000，执行《混凝土和钢筋混凝土排水管》GB/T 11836-2009。穿越公路时保护套管顶距路面的距离不小于1.2m，且距公路路边沟底面不小于1.0m。套管端部伸出路基坡脚外不小于2m；当有路边沟时，套管端部伸出边沟外侧顶部不小于2m。套管中的输气管道设置绝缘支撑，并不得损坏管道的防腐涂层。套管内部气体空间全部用细沙填实。</w:t>
            </w:r>
          </w:p>
          <w:p>
            <w:pPr>
              <w:widowControl/>
              <w:spacing w:line="360" w:lineRule="auto"/>
              <w:jc w:val="center"/>
              <w:rPr>
                <w:rFonts w:ascii="Times New Roman" w:hAnsi="Times New Roman"/>
                <w:b/>
                <w:color w:val="000000"/>
                <w:sz w:val="24"/>
                <w:szCs w:val="24"/>
              </w:rPr>
            </w:pPr>
            <w:r>
              <w:rPr>
                <w:rFonts w:ascii="Times New Roman" w:hAnsi="Times New Roman"/>
                <w:b/>
                <w:color w:val="000000"/>
                <w:sz w:val="24"/>
                <w:szCs w:val="24"/>
              </w:rPr>
              <w:t>表1-</w:t>
            </w:r>
            <w:r>
              <w:rPr>
                <w:rFonts w:hint="eastAsia" w:ascii="Times New Roman" w:hAnsi="Times New Roman"/>
                <w:b/>
                <w:color w:val="000000"/>
                <w:sz w:val="24"/>
                <w:szCs w:val="24"/>
              </w:rPr>
              <w:t>9</w:t>
            </w:r>
            <w:r>
              <w:rPr>
                <w:rFonts w:ascii="Times New Roman" w:hAnsi="Times New Roman"/>
                <w:b/>
                <w:color w:val="000000"/>
                <w:sz w:val="24"/>
                <w:szCs w:val="24"/>
              </w:rPr>
              <w:t xml:space="preserve">  </w:t>
            </w:r>
            <w:r>
              <w:rPr>
                <w:rFonts w:hint="eastAsia" w:ascii="Times New Roman" w:hAnsi="Times New Roman"/>
                <w:b/>
                <w:color w:val="000000"/>
                <w:sz w:val="24"/>
                <w:szCs w:val="24"/>
              </w:rPr>
              <w:t>主要公路穿越统计表</w:t>
            </w:r>
          </w:p>
          <w:tbl>
            <w:tblPr>
              <w:tblStyle w:val="32"/>
              <w:tblW w:w="8844" w:type="dxa"/>
              <w:jc w:val="center"/>
              <w:tblLayout w:type="fixed"/>
              <w:tblCellMar>
                <w:top w:w="0" w:type="dxa"/>
                <w:left w:w="0" w:type="dxa"/>
                <w:bottom w:w="0" w:type="dxa"/>
                <w:right w:w="0" w:type="dxa"/>
              </w:tblCellMar>
            </w:tblPr>
            <w:tblGrid>
              <w:gridCol w:w="932"/>
              <w:gridCol w:w="1650"/>
              <w:gridCol w:w="1700"/>
              <w:gridCol w:w="1745"/>
              <w:gridCol w:w="1738"/>
              <w:gridCol w:w="1079"/>
            </w:tblGrid>
            <w:tr>
              <w:tblPrEx>
                <w:tblCellMar>
                  <w:top w:w="0" w:type="dxa"/>
                  <w:left w:w="0" w:type="dxa"/>
                  <w:bottom w:w="0" w:type="dxa"/>
                  <w:right w:w="0" w:type="dxa"/>
                </w:tblCellMar>
              </w:tblPrEx>
              <w:trPr>
                <w:trHeight w:val="369" w:hRule="atLeast"/>
                <w:jc w:val="center"/>
              </w:trPr>
              <w:tc>
                <w:tcPr>
                  <w:tcW w:w="932" w:type="dxa"/>
                  <w:tcBorders>
                    <w:top w:val="single" w:color="auto" w:sz="4" w:space="0"/>
                    <w:left w:val="single" w:color="auto" w:sz="12"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szCs w:val="21"/>
                    </w:rPr>
                  </w:pPr>
                  <w:r>
                    <w:rPr>
                      <w:rFonts w:hint="eastAsia" w:ascii="Times New Roman" w:hAnsi="Times New Roman"/>
                      <w:szCs w:val="21"/>
                    </w:rPr>
                    <w:t>序号</w:t>
                  </w:r>
                </w:p>
              </w:tc>
              <w:tc>
                <w:tcPr>
                  <w:tcW w:w="1650"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公路名称</w:t>
                  </w:r>
                </w:p>
              </w:tc>
              <w:tc>
                <w:tcPr>
                  <w:tcW w:w="1700"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路面宽度（m）</w:t>
                  </w:r>
                </w:p>
              </w:tc>
              <w:tc>
                <w:tcPr>
                  <w:tcW w:w="1745"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穿越方式</w:t>
                  </w:r>
                </w:p>
              </w:tc>
              <w:tc>
                <w:tcPr>
                  <w:tcW w:w="1738"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穿越长度（m/处）</w:t>
                  </w:r>
                </w:p>
              </w:tc>
              <w:tc>
                <w:tcPr>
                  <w:tcW w:w="1079" w:type="dxa"/>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shd w:val="clear" w:color="000000" w:fill="FFFFFF"/>
                    </w:rPr>
                  </w:pPr>
                  <w:r>
                    <w:rPr>
                      <w:rFonts w:hint="eastAsia" w:ascii="Times New Roman" w:hAnsi="Times New Roman"/>
                      <w:szCs w:val="21"/>
                      <w:shd w:val="clear" w:color="000000" w:fill="FFFFFF"/>
                    </w:rPr>
                    <w:t>备注</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1</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巢黄高速</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40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顶管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120/1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2</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疏港路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30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开挖+套管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80/1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规划</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3</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经四路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30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开挖+套管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80/1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规划</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4</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支一路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20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开挖+套管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80/1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规划</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5</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经三路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20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开挖+套管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80/1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规划</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6</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谷家河路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40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开挖+套管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80/1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ascii="Times New Roman" w:hAnsi="Times New Roman"/>
                      <w:szCs w:val="21"/>
                      <w:lang w:val="zh-CN"/>
                    </w:rPr>
                    <w:t>规划</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7</w:t>
                  </w:r>
                </w:p>
              </w:tc>
              <w:tc>
                <w:tcPr>
                  <w:tcW w:w="165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裕民路</w:t>
                  </w:r>
                </w:p>
              </w:tc>
              <w:tc>
                <w:tcPr>
                  <w:tcW w:w="1700"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30</w:t>
                  </w:r>
                </w:p>
              </w:tc>
              <w:tc>
                <w:tcPr>
                  <w:tcW w:w="174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开挖+套管</w:t>
                  </w:r>
                </w:p>
              </w:tc>
              <w:tc>
                <w:tcPr>
                  <w:tcW w:w="1738"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80/1</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规划</w:t>
                  </w:r>
                </w:p>
              </w:tc>
            </w:tr>
            <w:tr>
              <w:tblPrEx>
                <w:tblCellMar>
                  <w:top w:w="0" w:type="dxa"/>
                  <w:left w:w="0" w:type="dxa"/>
                  <w:bottom w:w="0" w:type="dxa"/>
                  <w:right w:w="0" w:type="dxa"/>
                </w:tblCellMar>
              </w:tblPrEx>
              <w:trPr>
                <w:trHeight w:val="369" w:hRule="atLeast"/>
                <w:jc w:val="center"/>
              </w:trPr>
              <w:tc>
                <w:tcPr>
                  <w:tcW w:w="932" w:type="dxa"/>
                  <w:tcBorders>
                    <w:top w:val="single" w:color="000000"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szCs w:val="22"/>
                    </w:rPr>
                  </w:pPr>
                  <w:r>
                    <w:rPr>
                      <w:rFonts w:hint="eastAsia" w:ascii="Times New Roman" w:hAnsi="Times New Roman"/>
                      <w:szCs w:val="22"/>
                    </w:rPr>
                    <w:t>8</w:t>
                  </w:r>
                </w:p>
              </w:tc>
              <w:tc>
                <w:tcPr>
                  <w:tcW w:w="1650" w:type="dxa"/>
                  <w:tcBorders>
                    <w:top w:val="single" w:color="000000"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沥青路</w:t>
                  </w:r>
                </w:p>
              </w:tc>
              <w:tc>
                <w:tcPr>
                  <w:tcW w:w="1700" w:type="dxa"/>
                  <w:tcBorders>
                    <w:top w:val="single" w:color="000000"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20</w:t>
                  </w:r>
                </w:p>
              </w:tc>
              <w:tc>
                <w:tcPr>
                  <w:tcW w:w="1745" w:type="dxa"/>
                  <w:tcBorders>
                    <w:top w:val="single" w:color="000000"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顶管</w:t>
                  </w:r>
                </w:p>
              </w:tc>
              <w:tc>
                <w:tcPr>
                  <w:tcW w:w="1738" w:type="dxa"/>
                  <w:tcBorders>
                    <w:top w:val="single" w:color="000000"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lang w:val="zh-CN"/>
                    </w:rPr>
                  </w:pPr>
                  <w:r>
                    <w:rPr>
                      <w:rFonts w:ascii="Times New Roman" w:hAnsi="Times New Roman"/>
                      <w:szCs w:val="21"/>
                      <w:lang w:val="zh-CN"/>
                    </w:rPr>
                    <w:t>440/7</w:t>
                  </w:r>
                </w:p>
              </w:tc>
              <w:tc>
                <w:tcPr>
                  <w:tcW w:w="1079"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jc w:val="center"/>
                    <w:rPr>
                      <w:rFonts w:ascii="Times New Roman" w:hAnsi="Times New Roman"/>
                      <w:szCs w:val="21"/>
                    </w:rPr>
                  </w:pPr>
                  <w:r>
                    <w:rPr>
                      <w:rFonts w:hint="eastAsia" w:ascii="Times New Roman" w:hAnsi="Times New Roman"/>
                      <w:szCs w:val="21"/>
                    </w:rPr>
                    <w:t>/</w:t>
                  </w:r>
                </w:p>
              </w:tc>
            </w:tr>
          </w:tbl>
          <w:p>
            <w:pPr>
              <w:spacing w:line="360" w:lineRule="auto"/>
              <w:ind w:firstLine="480" w:firstLineChars="200"/>
              <w:rPr>
                <w:rFonts w:ascii="Times New Roman" w:hAnsi="Times New Roman"/>
                <w:bCs/>
                <w:color w:val="000000"/>
                <w:sz w:val="24"/>
                <w:szCs w:val="24"/>
              </w:rPr>
            </w:pP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（7）沟渠穿越</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沟渠小型穿越一般采用大开挖沟埋方式通过，管道用管一般与穿越管道所在线路段的用管相同，并采用混凝土加重块覆盖或现浇水下不分散混凝土稳管。穿越段管道应在50年一遇洪水最大冲刷深度线1.0m以下，管道埋设于非基岩河床时，管道应埋设在冲刷深度以下不小于1.0m，并视水文条件，河流形态，设置护坡、护底、配重块稳管等水工保护措施；河床为基岩时管顶嵌入基岩深度不小于0.5m，并用混凝土覆盖封顶，防止淘刷，并设置必要的水工防护措施。应保证管顶最小埋深不小于2.5m，同时根据与地方水务局详细沟通管道沿线穿越水渠规划的情况，应满足水利主管部门对水渠扩宽加深等规划要求。两岸护坡及护岸的宽度应大于被松动过的地表宽度，以确保管线运行安全。</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穿越鱼塘及水塘，采用大开挖沟埋方式通过时，埋设深度要保证管顶处在清淤之后塘底深度1.2米以下。管道用管一般与穿越管道所在线路段的用管相同，并采用混凝土压重块、连续覆盖或现浇水下不分散混凝土稳管。当水深较深或不允许开挖，且场地、地质条件允许时可采用定向钻穿越。</w:t>
            </w:r>
          </w:p>
          <w:p>
            <w:pPr>
              <w:numPr>
                <w:ilvl w:val="0"/>
                <w:numId w:val="3"/>
              </w:num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与已建埋地管道、电（光）缆的交叉</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一般情况下，管道与地下光缆（电缆）、地下管道交叉，原则上应位于其下方。</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与管道交叉时，两管间净距不小于0.3m，并在交叉位置放置废旧轮胎等方法将两管道隔离；当与现役管道（尤其是输气管道、城镇燃气管道）交叉时，应按权属单位的管道要求采取相应的保护措施。</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与电缆交叉时，管道与电缆净距不小于0.5m，还要对电缆采取保护措施，如用角钢围裹住电缆，在电缆上方铺一层砖等。</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与架空高压线交叉时，交叉点两侧管道要采取加强防腐措施。</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管道施工前应首先了解原有地下管道、电（光）缆的位置及埋设深度，并与所属主管部门协商配合，避免对原有设施的损坏。</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（9）管道标志</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根据《油气管道线路标识设置技术规范》SY/T 6064-2017规定，管道沿线设置以下标志：里程桩：管线每km设置1个，一般与阴极保护测试桩合用。</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转角桩：在管线水平方向改变位置，应设置转角桩，转角桩上要标明管线里程、转角角度等。</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标志桩：当管道穿越二级以上公路、重要水渠时，应在两侧设置穿越标志桩，穿越桩应标明管线名称、公路或河流的名称、线路里程、穿越长度，有套管的应注明套管长度、规格和材质等。</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交叉桩：凡是与地下管道、电（光）缆交叉的位置，应设置交叉桩。交叉桩上应注明线路里程、交叉物名称、与交叉物的关系等。</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结构桩：当管道外防腐层或管壁发生长距离变化时，在变化位置处设置结构桩，桩上要标明线路里程及变化前后的结构属性等。</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设施桩：当管道上有特殊设施（如：固定墩）时应设置设施桩，桩上要标明管线里程、设施的名称及规格。</w:t>
            </w:r>
          </w:p>
          <w:p>
            <w:pPr>
              <w:spacing w:line="360" w:lineRule="auto"/>
              <w:ind w:firstLine="480" w:firstLineChars="200"/>
              <w:rPr>
                <w:rFonts w:ascii="Times New Roman" w:hAnsi="Times New Roman"/>
                <w:bCs/>
                <w:color w:val="000000"/>
                <w:sz w:val="24"/>
                <w:szCs w:val="24"/>
              </w:rPr>
            </w:pPr>
            <w:r>
              <w:rPr>
                <w:rFonts w:hint="eastAsia" w:ascii="Times New Roman" w:hAnsi="Times New Roman"/>
                <w:bCs/>
                <w:color w:val="000000"/>
                <w:sz w:val="24"/>
                <w:szCs w:val="24"/>
              </w:rPr>
              <w:t>加密桩：管道沿线每50m设置一个加密桩。</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bCs/>
                <w:color w:val="000000"/>
                <w:sz w:val="24"/>
                <w:szCs w:val="24"/>
              </w:rPr>
            </w:pPr>
            <w:r>
              <w:rPr>
                <w:rFonts w:hint="eastAsia" w:ascii="Times New Roman" w:hAnsi="Times New Roman"/>
                <w:bCs/>
                <w:color w:val="000000"/>
                <w:sz w:val="24"/>
                <w:szCs w:val="24"/>
              </w:rPr>
              <w:t>警示牌：管道通过人群聚集场所设警示牌，管道靠近人口集中居住区、工业建设地段等需加强管道安全保护的地方设警示牌（设置地点应优先考虑道路穿越处附近）。标识带：本工程沿线村庄、企业密集，除有套管地段外管道全线设置标识带，标识带设于管顶上方500mm处。</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Times New Roman" w:hAnsi="Times New Roman"/>
                <w:b/>
                <w:color w:val="000000"/>
                <w:sz w:val="24"/>
                <w:szCs w:val="24"/>
              </w:rPr>
            </w:pPr>
            <w:r>
              <w:rPr>
                <w:rFonts w:ascii="Times New Roman" w:hAnsi="Times New Roman"/>
                <w:b/>
                <w:color w:val="000000"/>
                <w:sz w:val="24"/>
                <w:szCs w:val="24"/>
              </w:rPr>
              <w:t>3、</w:t>
            </w:r>
            <w:r>
              <w:rPr>
                <w:rFonts w:hint="eastAsia" w:ascii="Times New Roman" w:hAnsi="Times New Roman"/>
                <w:b/>
                <w:color w:val="000000"/>
                <w:sz w:val="24"/>
                <w:szCs w:val="24"/>
              </w:rPr>
              <w:t>劳动</w:t>
            </w:r>
            <w:r>
              <w:rPr>
                <w:rFonts w:ascii="Times New Roman" w:hAnsi="Times New Roman"/>
                <w:b/>
                <w:color w:val="000000"/>
                <w:sz w:val="24"/>
                <w:szCs w:val="24"/>
              </w:rPr>
              <w:t>人数和工作制度</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color w:val="000000"/>
                <w:sz w:val="24"/>
                <w:szCs w:val="24"/>
              </w:rPr>
            </w:pPr>
            <w:r>
              <w:rPr>
                <w:rFonts w:hint="eastAsia" w:ascii="Times New Roman" w:hAnsi="Times New Roman"/>
                <w:color w:val="000000"/>
                <w:sz w:val="24"/>
                <w:szCs w:val="24"/>
              </w:rPr>
              <w:t>本项目高安首站劳动定员8人，人员设置情况为专业技术岗位：站长1人、生产技术员1人；操作岗位：站场操作员4人、管道巡线工2人。站场操作员通过站控系统监管站场的日常运行，年工作365天，横山分输站不配备劳动定员。</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color w:val="000000"/>
                <w:sz w:val="24"/>
                <w:szCs w:val="24"/>
              </w:rPr>
            </w:pPr>
            <w:r>
              <w:rPr>
                <w:rFonts w:hint="eastAsia" w:ascii="Times New Roman" w:hAnsi="Times New Roman"/>
                <w:color w:val="000000"/>
                <w:sz w:val="24"/>
                <w:szCs w:val="24"/>
              </w:rPr>
              <w:t>本项目总施工周期为1年，施工期劳动定员</w:t>
            </w:r>
            <w:r>
              <w:rPr>
                <w:rFonts w:hint="eastAsia" w:ascii="Times New Roman" w:hAnsi="Times New Roman"/>
                <w:color w:val="000000"/>
                <w:sz w:val="24"/>
                <w:szCs w:val="24"/>
                <w:lang w:val="en-US" w:eastAsia="zh-CN"/>
              </w:rPr>
              <w:t>5</w:t>
            </w:r>
            <w:r>
              <w:rPr>
                <w:rFonts w:hint="eastAsia" w:ascii="Times New Roman" w:hAnsi="Times New Roman"/>
                <w:color w:val="000000"/>
                <w:sz w:val="24"/>
                <w:szCs w:val="24"/>
              </w:rPr>
              <w:t>0人，不</w:t>
            </w:r>
            <w:r>
              <w:rPr>
                <w:rFonts w:hint="eastAsia" w:ascii="Times New Roman" w:hAnsi="Times New Roman"/>
                <w:sz w:val="24"/>
              </w:rPr>
              <w:t>设置施工营地</w:t>
            </w:r>
            <w:r>
              <w:rPr>
                <w:rFonts w:ascii="Times New Roman" w:hAnsi="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imes New Roman" w:hAnsi="Times New Roman"/>
                <w:b/>
                <w:bCs/>
                <w:sz w:val="24"/>
                <w:szCs w:val="24"/>
              </w:rPr>
            </w:pPr>
            <w:r>
              <w:rPr>
                <w:rFonts w:hint="eastAsia" w:ascii="Times New Roman" w:hAnsi="Times New Roman"/>
                <w:b/>
                <w:bCs/>
                <w:sz w:val="24"/>
                <w:szCs w:val="24"/>
              </w:rPr>
              <w:t>4</w:t>
            </w:r>
            <w:r>
              <w:rPr>
                <w:rFonts w:ascii="Times New Roman" w:hAnsi="Times New Roman"/>
                <w:b/>
                <w:bCs/>
                <w:sz w:val="24"/>
                <w:szCs w:val="24"/>
              </w:rPr>
              <w:t>、总平面布置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sz w:val="24"/>
                <w:szCs w:val="24"/>
              </w:rPr>
            </w:pPr>
            <w:r>
              <w:rPr>
                <w:rFonts w:hint="eastAsia" w:ascii="Times New Roman" w:hAnsi="Times New Roman"/>
                <w:sz w:val="24"/>
                <w:szCs w:val="24"/>
              </w:rPr>
              <w:t>（1）</w:t>
            </w:r>
            <w:r>
              <w:rPr>
                <w:rFonts w:ascii="Times New Roman" w:hAnsi="Times New Roman"/>
                <w:sz w:val="24"/>
                <w:szCs w:val="24"/>
              </w:rPr>
              <w:t>站场布置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sz w:val="24"/>
                <w:szCs w:val="24"/>
              </w:rPr>
            </w:pPr>
            <w:r>
              <w:rPr>
                <w:rFonts w:hint="eastAsia" w:ascii="Times New Roman" w:hAnsi="Times New Roman"/>
                <w:sz w:val="24"/>
                <w:szCs w:val="24"/>
              </w:rPr>
              <w:t>高安输气站</w:t>
            </w:r>
            <w:r>
              <w:rPr>
                <w:rFonts w:ascii="Times New Roman" w:hAnsi="Times New Roman"/>
                <w:sz w:val="24"/>
                <w:szCs w:val="24"/>
              </w:rPr>
              <w:t>主要包括生产区、辅助生产区及放空区。</w:t>
            </w:r>
            <w:r>
              <w:rPr>
                <w:rFonts w:hint="eastAsia" w:ascii="Times New Roman" w:hAnsi="Times New Roman"/>
                <w:sz w:val="24"/>
                <w:szCs w:val="24"/>
              </w:rPr>
              <w:t>高安首站</w:t>
            </w:r>
            <w:r>
              <w:rPr>
                <w:rFonts w:ascii="Times New Roman" w:hAnsi="Times New Roman"/>
                <w:sz w:val="24"/>
                <w:szCs w:val="24"/>
              </w:rPr>
              <w:t>生产区位于站场的</w:t>
            </w:r>
            <w:r>
              <w:rPr>
                <w:rFonts w:hint="eastAsia" w:ascii="Times New Roman" w:hAnsi="Times New Roman"/>
                <w:sz w:val="24"/>
                <w:szCs w:val="24"/>
              </w:rPr>
              <w:t>西</w:t>
            </w:r>
            <w:r>
              <w:rPr>
                <w:rFonts w:ascii="Times New Roman" w:hAnsi="Times New Roman"/>
                <w:sz w:val="24"/>
                <w:szCs w:val="24"/>
              </w:rPr>
              <w:t>北侧，主要包括交接计量区、工艺设备区、排污池等，排污池布置在工艺区的</w:t>
            </w:r>
            <w:r>
              <w:rPr>
                <w:rFonts w:hint="eastAsia" w:ascii="Times New Roman" w:hAnsi="Times New Roman"/>
                <w:sz w:val="24"/>
                <w:szCs w:val="24"/>
              </w:rPr>
              <w:t>西南侧</w:t>
            </w:r>
            <w:r>
              <w:rPr>
                <w:rFonts w:ascii="Times New Roman" w:hAnsi="Times New Roman"/>
                <w:sz w:val="24"/>
                <w:szCs w:val="24"/>
              </w:rPr>
              <w:t>，临近消防道路便于清理。辅助生产区位于生产区南侧主要包括综合值班室，临近站场主出入口，方便日常管理。同时辅助生产区与生产区之间用铁艺围墙隔离并设铁艺大门，生产生活互不干扰，为站场建成后的安全高效运营创造条件。放空区位于站场的东北角处，位于站场全年最小风频的下风侧，并单独设置实体围墙及1.5m宽小门方便管理。分输站在围墙西侧设一主出入口，为6.0m宽铁艺大门，能够满足消防及检修车辆的进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bCs/>
                <w:sz w:val="24"/>
                <w:szCs w:val="24"/>
              </w:rPr>
            </w:pPr>
            <w:r>
              <w:rPr>
                <w:rFonts w:hint="eastAsia" w:ascii="Times New Roman" w:hAnsi="Times New Roman"/>
                <w:sz w:val="24"/>
                <w:szCs w:val="24"/>
              </w:rPr>
              <w:t>（2）</w:t>
            </w:r>
            <w:r>
              <w:rPr>
                <w:rFonts w:ascii="Times New Roman" w:hAnsi="Times New Roman"/>
                <w:sz w:val="24"/>
                <w:szCs w:val="24"/>
              </w:rPr>
              <w:t>管线布置</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bCs/>
                <w:color w:val="000000"/>
                <w:sz w:val="24"/>
                <w:szCs w:val="24"/>
              </w:rPr>
            </w:pPr>
            <w:r>
              <w:rPr>
                <w:rFonts w:hint="eastAsia" w:ascii="Times New Roman" w:hAnsi="Times New Roman"/>
                <w:bCs/>
                <w:color w:val="000000"/>
                <w:sz w:val="24"/>
                <w:szCs w:val="24"/>
              </w:rPr>
              <w:t>本工程起点为芜湖长江LNG接收（转运）站内的高安首站围墙外2m，管道出首站后随即穿越疏港路及路边明渠，而后沿疏港路路边明渠南侧向东敷设，顶管穿越巢黄高速后折向南沿该高速东侧绿化带敷设至横山河路和裕民路交叉口西南侧的横山分输站。管道位于安徽芜湖三山经济开发区境内，线路长约5.8km。</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Times New Roman" w:hAnsi="Times New Roman"/>
                <w:b/>
                <w:color w:val="000000"/>
                <w:sz w:val="24"/>
                <w:szCs w:val="24"/>
              </w:rPr>
            </w:pPr>
            <w:r>
              <w:rPr>
                <w:rFonts w:ascii="Times New Roman" w:hAnsi="Times New Roman"/>
                <w:b/>
                <w:color w:val="000000"/>
                <w:sz w:val="24"/>
                <w:szCs w:val="24"/>
              </w:rPr>
              <w:t>4、公用工程</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bCs/>
                <w:color w:val="000000"/>
                <w:kern w:val="0"/>
                <w:sz w:val="24"/>
                <w:szCs w:val="24"/>
              </w:rPr>
            </w:pPr>
            <w:r>
              <w:rPr>
                <w:rFonts w:ascii="Times New Roman" w:hAnsi="Times New Roman"/>
                <w:bCs/>
                <w:color w:val="000000"/>
                <w:kern w:val="0"/>
                <w:sz w:val="24"/>
                <w:szCs w:val="24"/>
              </w:rPr>
              <w:t>（1）给水</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sz w:val="24"/>
              </w:rPr>
            </w:pPr>
            <w:r>
              <w:rPr>
                <w:rFonts w:hint="eastAsia" w:ascii="Times New Roman" w:hAnsi="Times New Roman"/>
                <w:sz w:val="24"/>
              </w:rPr>
              <w:t>本次项目给水包括施工人员生活用水，施工用水，站场运营用水等，均由开发区</w:t>
            </w:r>
            <w:r>
              <w:rPr>
                <w:rFonts w:ascii="Times New Roman" w:hAnsi="Times New Roman"/>
                <w:sz w:val="24"/>
              </w:rPr>
              <w:t>管网提供。</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sz w:val="24"/>
              </w:rPr>
            </w:pPr>
            <w:r>
              <w:rPr>
                <w:rFonts w:ascii="Times New Roman" w:hAnsi="Times New Roman"/>
                <w:sz w:val="24"/>
              </w:rPr>
              <w:t>（2）排水</w:t>
            </w:r>
          </w:p>
          <w:p>
            <w:pPr>
              <w:spacing w:line="360" w:lineRule="auto"/>
              <w:ind w:firstLine="480" w:firstLineChars="200"/>
              <w:rPr>
                <w:rFonts w:hint="eastAsia" w:ascii="Times New Roman" w:hAnsi="Times New Roman" w:eastAsia="宋体"/>
                <w:sz w:val="24"/>
                <w:lang w:eastAsia="zh-CN"/>
              </w:rPr>
            </w:pPr>
            <w:r>
              <w:rPr>
                <w:rFonts w:hint="eastAsia" w:ascii="Times New Roman" w:hAnsi="Times New Roman"/>
                <w:sz w:val="24"/>
              </w:rPr>
              <w:t>本项目施工期废水主要来自施工人员在施工作业中产生的生活污水、定向钻穿越工程产生的泥浆废水和管道安装完成后清管试压排放的废水。设置沉淀池，</w:t>
            </w:r>
            <w:r>
              <w:rPr>
                <w:rFonts w:hint="eastAsia" w:ascii="Times New Roman" w:hAnsi="Times New Roman"/>
                <w:sz w:val="24"/>
                <w:lang w:val="en-US" w:eastAsia="zh-CN"/>
              </w:rPr>
              <w:t>用以</w:t>
            </w:r>
            <w:r>
              <w:rPr>
                <w:rFonts w:hint="eastAsia" w:ascii="Times New Roman" w:hAnsi="Times New Roman"/>
                <w:sz w:val="24"/>
              </w:rPr>
              <w:t>处理管道试压水；堆管场旁设置沉淀池，施工废水经沉淀后回用</w:t>
            </w:r>
            <w:r>
              <w:rPr>
                <w:rFonts w:hint="eastAsia" w:ascii="Times New Roman" w:hAnsi="Times New Roman"/>
                <w:sz w:val="24"/>
                <w:lang w:eastAsia="zh-CN"/>
              </w:rPr>
              <w:t>，</w:t>
            </w:r>
            <w:r>
              <w:rPr>
                <w:rFonts w:hint="eastAsia" w:ascii="Times New Roman" w:hAnsi="Times New Roman"/>
                <w:sz w:val="24"/>
              </w:rPr>
              <w:t>施工作业带设立截排水沟和沉淀池，雨水经处理后尽量回用</w:t>
            </w:r>
            <w:r>
              <w:rPr>
                <w:rFonts w:hint="eastAsia" w:ascii="Times New Roman" w:hAnsi="Times New Roman"/>
                <w:sz w:val="24"/>
                <w:lang w:eastAsia="zh-CN"/>
              </w:rPr>
              <w:t>，</w:t>
            </w:r>
            <w:r>
              <w:rPr>
                <w:rFonts w:hint="eastAsia" w:ascii="Times New Roman" w:hAnsi="Times New Roman"/>
                <w:sz w:val="24"/>
              </w:rPr>
              <w:t>采用定向钻方式穿越河流设置泥浆收集池，并配泥浆回收装置，废弃泥浆经沉淀后上清液收集进蓄水池，经处理后回用于道路抑尘洒水</w:t>
            </w:r>
            <w:r>
              <w:rPr>
                <w:rFonts w:hint="eastAsia" w:ascii="Times New Roman" w:hAnsi="Times New Roman"/>
                <w:sz w:val="24"/>
                <w:lang w:eastAsia="zh-CN"/>
              </w:rPr>
              <w:t>。</w:t>
            </w:r>
          </w:p>
          <w:p>
            <w:pPr>
              <w:spacing w:line="360" w:lineRule="auto"/>
              <w:ind w:firstLine="480" w:firstLineChars="200"/>
              <w:rPr>
                <w:rFonts w:hint="eastAsia" w:ascii="Times New Roman" w:hAnsi="Times New Roman"/>
                <w:sz w:val="24"/>
              </w:rPr>
            </w:pPr>
            <w:r>
              <w:rPr>
                <w:rFonts w:hint="eastAsia" w:ascii="Times New Roman" w:hAnsi="Times New Roman"/>
                <w:sz w:val="24"/>
              </w:rPr>
              <w:t>本项目不设施工营地，施工队伍吃住一般依托附近的居住点，污水依托当地的排水系统，不会对水体水质造成明显的不利影响。</w:t>
            </w:r>
          </w:p>
          <w:p>
            <w:pPr>
              <w:spacing w:line="360" w:lineRule="auto"/>
              <w:ind w:firstLine="480" w:firstLineChars="200"/>
              <w:rPr>
                <w:rFonts w:ascii="Times New Roman" w:hAnsi="Times New Roman"/>
                <w:sz w:val="24"/>
              </w:rPr>
            </w:pPr>
            <w:r>
              <w:rPr>
                <w:rFonts w:hint="eastAsia" w:ascii="Times New Roman" w:hAnsi="Times New Roman"/>
                <w:sz w:val="24"/>
                <w:lang w:val="en-US" w:eastAsia="zh-CN"/>
              </w:rPr>
              <w:t>清洗残夜排放至排污池内（5m</w:t>
            </w:r>
            <w:r>
              <w:rPr>
                <w:rFonts w:hint="eastAsia" w:ascii="Times New Roman" w:hAnsi="Times New Roman"/>
                <w:sz w:val="24"/>
                <w:vertAlign w:val="superscript"/>
                <w:lang w:val="en-US" w:eastAsia="zh-CN"/>
              </w:rPr>
              <w:t>2</w:t>
            </w:r>
            <w:r>
              <w:rPr>
                <w:rFonts w:hint="eastAsia" w:ascii="Times New Roman" w:hAnsi="Times New Roman"/>
                <w:sz w:val="24"/>
                <w:lang w:val="en-US" w:eastAsia="zh-CN"/>
              </w:rPr>
              <w:t>），作为危废处置，不外排；</w:t>
            </w:r>
            <w:r>
              <w:rPr>
                <w:rFonts w:hint="eastAsia" w:ascii="Times New Roman" w:hAnsi="Times New Roman"/>
                <w:sz w:val="24"/>
              </w:rPr>
              <w:t>站场工作人员生活污水经隔油池、化粪池处置，废水污染物处理满足《污水综合排放标准》（GB8978-1996）表4中的三级标准，其中氨氮参照《污水排入城镇下水道水质标准》（GB/T31962-2015中的标准，排放至芜湖大桥综合经济开发区污水处理厂处置，尾水排放满足《城镇污水处理厂污染物排放标准》（GB18918-2002）一级标准中 A 类标准。</w:t>
            </w:r>
          </w:p>
          <w:p>
            <w:pPr>
              <w:spacing w:line="360" w:lineRule="auto"/>
              <w:ind w:firstLine="480" w:firstLineChars="200"/>
              <w:rPr>
                <w:rFonts w:ascii="Times New Roman" w:hAnsi="Times New Roman"/>
                <w:sz w:val="24"/>
              </w:rPr>
            </w:pPr>
            <w:r>
              <w:rPr>
                <w:rFonts w:ascii="Times New Roman" w:hAnsi="Times New Roman"/>
                <w:sz w:val="24"/>
              </w:rPr>
              <w:t>（3）供电</w:t>
            </w:r>
          </w:p>
          <w:p>
            <w:pPr>
              <w:spacing w:line="360" w:lineRule="auto"/>
              <w:ind w:firstLine="480" w:firstLineChars="200"/>
              <w:rPr>
                <w:rFonts w:ascii="Times New Roman" w:hAnsi="Times New Roman"/>
                <w:sz w:val="24"/>
              </w:rPr>
            </w:pPr>
            <w:r>
              <w:rPr>
                <w:rFonts w:hint="eastAsia" w:ascii="Times New Roman" w:hAnsi="Times New Roman"/>
                <w:sz w:val="24"/>
              </w:rPr>
              <w:t>本项目设备生产均使用电能，供电由外部市政供电供整个项目部使用。</w:t>
            </w:r>
          </w:p>
          <w:p>
            <w:pPr>
              <w:spacing w:line="360" w:lineRule="auto"/>
              <w:ind w:firstLine="482" w:firstLineChars="200"/>
              <w:rPr>
                <w:rFonts w:ascii="Times New Roman" w:hAnsi="Times New Roman"/>
                <w:b/>
                <w:sz w:val="24"/>
                <w:szCs w:val="24"/>
              </w:rPr>
            </w:pPr>
            <w:r>
              <w:rPr>
                <w:rFonts w:ascii="Times New Roman" w:hAnsi="Times New Roman"/>
                <w:b/>
                <w:sz w:val="24"/>
                <w:szCs w:val="24"/>
              </w:rPr>
              <w:t>5、产业政策分析</w:t>
            </w:r>
          </w:p>
          <w:p>
            <w:pPr>
              <w:spacing w:line="360" w:lineRule="auto"/>
              <w:ind w:firstLine="480" w:firstLineChars="200"/>
              <w:rPr>
                <w:rFonts w:ascii="Times New Roman" w:hAnsi="Times New Roman"/>
                <w:sz w:val="24"/>
                <w:szCs w:val="22"/>
              </w:rPr>
            </w:pPr>
            <w:r>
              <w:rPr>
                <w:rFonts w:ascii="Times New Roman" w:hAnsi="Times New Roman"/>
                <w:sz w:val="24"/>
              </w:rPr>
              <w:t>对照国家发展和改革委员会令第9号令《产业结构调整指导目录（201</w:t>
            </w:r>
            <w:r>
              <w:rPr>
                <w:rFonts w:hint="eastAsia" w:ascii="Times New Roman" w:hAnsi="Times New Roman"/>
                <w:sz w:val="24"/>
              </w:rPr>
              <w:t>9</w:t>
            </w:r>
            <w:r>
              <w:rPr>
                <w:rFonts w:ascii="Times New Roman" w:hAnsi="Times New Roman"/>
                <w:sz w:val="24"/>
              </w:rPr>
              <w:t>年本）》，本项目属于鼓励类</w:t>
            </w:r>
            <w:r>
              <w:rPr>
                <w:rFonts w:hint="eastAsia" w:ascii="Times New Roman" w:hAnsi="Times New Roman"/>
                <w:sz w:val="24"/>
              </w:rPr>
              <w:t>—七石油、天然气—3、原油、天然气、液化天然气、成品油的储运和管道输送设施、网络和液化天然气加注设施建设。</w:t>
            </w:r>
            <w:r>
              <w:rPr>
                <w:rFonts w:ascii="Times New Roman" w:hAnsi="Times New Roman"/>
                <w:sz w:val="24"/>
              </w:rPr>
              <w:t>因此本项目符合国家产业政策，项目已经于20</w:t>
            </w:r>
            <w:r>
              <w:rPr>
                <w:rFonts w:hint="eastAsia" w:ascii="Times New Roman" w:hAnsi="Times New Roman"/>
                <w:sz w:val="24"/>
              </w:rPr>
              <w:t>20</w:t>
            </w:r>
            <w:r>
              <w:rPr>
                <w:rFonts w:ascii="Times New Roman" w:hAnsi="Times New Roman"/>
                <w:sz w:val="24"/>
              </w:rPr>
              <w:t>年</w:t>
            </w:r>
            <w:r>
              <w:rPr>
                <w:rFonts w:hint="eastAsia" w:ascii="Times New Roman" w:hAnsi="Times New Roman"/>
                <w:sz w:val="24"/>
              </w:rPr>
              <w:t>12</w:t>
            </w:r>
            <w:r>
              <w:rPr>
                <w:rFonts w:ascii="Times New Roman" w:hAnsi="Times New Roman"/>
                <w:sz w:val="24"/>
              </w:rPr>
              <w:t>月</w:t>
            </w:r>
            <w:r>
              <w:rPr>
                <w:rFonts w:hint="eastAsia" w:ascii="Times New Roman" w:hAnsi="Times New Roman"/>
                <w:sz w:val="24"/>
              </w:rPr>
              <w:t>10</w:t>
            </w:r>
            <w:r>
              <w:rPr>
                <w:rFonts w:ascii="Times New Roman" w:hAnsi="Times New Roman"/>
                <w:sz w:val="24"/>
              </w:rPr>
              <w:t>日取得</w:t>
            </w:r>
            <w:r>
              <w:rPr>
                <w:rFonts w:hint="eastAsia" w:ascii="Times New Roman" w:hAnsi="Times New Roman"/>
                <w:kern w:val="0"/>
                <w:sz w:val="24"/>
              </w:rPr>
              <w:t>安徽芜湖三山经济开发区管委会</w:t>
            </w:r>
            <w:r>
              <w:rPr>
                <w:rFonts w:ascii="Times New Roman" w:hAnsi="Times New Roman"/>
                <w:kern w:val="0"/>
                <w:sz w:val="24"/>
              </w:rPr>
              <w:t>文件“关于同意</w:t>
            </w:r>
            <w:r>
              <w:rPr>
                <w:rFonts w:hint="eastAsia" w:ascii="Times New Roman" w:hAnsi="Times New Roman"/>
                <w:sz w:val="24"/>
                <w:szCs w:val="24"/>
              </w:rPr>
              <w:t>芜湖长江LNG内河接收（转运）站配套天然气外输管道高安-横山分输站段</w:t>
            </w:r>
            <w:r>
              <w:rPr>
                <w:rFonts w:ascii="Times New Roman" w:hAnsi="Times New Roman"/>
                <w:sz w:val="24"/>
                <w:szCs w:val="24"/>
              </w:rPr>
              <w:t>项目</w:t>
            </w:r>
            <w:r>
              <w:rPr>
                <w:rFonts w:ascii="Times New Roman" w:hAnsi="Times New Roman"/>
                <w:kern w:val="0"/>
                <w:sz w:val="24"/>
              </w:rPr>
              <w:t>备案的通知”</w:t>
            </w:r>
            <w:r>
              <w:rPr>
                <w:rFonts w:ascii="Times New Roman" w:hAnsi="Times New Roman"/>
                <w:sz w:val="24"/>
                <w:szCs w:val="22"/>
              </w:rPr>
              <w:t xml:space="preserve">，因此项目符合国家和当地的相关产业政策。 </w:t>
            </w:r>
          </w:p>
          <w:p>
            <w:pPr>
              <w:spacing w:line="360" w:lineRule="auto"/>
              <w:ind w:firstLine="482" w:firstLineChars="200"/>
              <w:rPr>
                <w:rFonts w:ascii="Times New Roman" w:hAnsi="Times New Roman"/>
                <w:sz w:val="24"/>
                <w:szCs w:val="22"/>
              </w:rPr>
            </w:pPr>
            <w:r>
              <w:rPr>
                <w:rFonts w:ascii="Times New Roman" w:hAnsi="Times New Roman"/>
                <w:b/>
                <w:bCs/>
                <w:sz w:val="24"/>
                <w:szCs w:val="22"/>
              </w:rPr>
              <w:t>6、</w:t>
            </w:r>
            <w:r>
              <w:rPr>
                <w:rFonts w:ascii="Times New Roman" w:hAnsi="Times New Roman"/>
                <w:b/>
                <w:sz w:val="24"/>
                <w:szCs w:val="24"/>
              </w:rPr>
              <w:t>选址可行性</w:t>
            </w:r>
            <w:r>
              <w:rPr>
                <w:rFonts w:hint="eastAsia" w:ascii="Times New Roman" w:hAnsi="Times New Roman"/>
                <w:b/>
                <w:sz w:val="24"/>
                <w:szCs w:val="24"/>
              </w:rPr>
              <w:t>分析</w:t>
            </w:r>
          </w:p>
          <w:p>
            <w:pPr>
              <w:spacing w:line="360" w:lineRule="auto"/>
              <w:ind w:firstLine="439" w:firstLineChars="183"/>
              <w:rPr>
                <w:rFonts w:ascii="Times New Roman" w:hAnsi="Times New Roman"/>
                <w:color w:val="000000"/>
                <w:sz w:val="24"/>
                <w:szCs w:val="24"/>
              </w:rPr>
            </w:pPr>
            <w:r>
              <w:rPr>
                <w:rFonts w:ascii="Times New Roman" w:hAnsi="Times New Roman"/>
                <w:color w:val="000000"/>
                <w:sz w:val="24"/>
                <w:szCs w:val="24"/>
              </w:rPr>
              <w:t>本项目</w:t>
            </w:r>
            <w:r>
              <w:rPr>
                <w:rFonts w:hint="eastAsia" w:ascii="Times New Roman" w:hAnsi="Times New Roman"/>
                <w:color w:val="000000"/>
                <w:sz w:val="24"/>
                <w:szCs w:val="24"/>
              </w:rPr>
              <w:t>位于芜湖三山经济开发区境内</w:t>
            </w:r>
            <w:r>
              <w:rPr>
                <w:rFonts w:ascii="Times New Roman" w:hAnsi="Times New Roman"/>
                <w:color w:val="000000"/>
                <w:sz w:val="24"/>
                <w:szCs w:val="24"/>
              </w:rPr>
              <w:t>，</w:t>
            </w:r>
            <w:r>
              <w:rPr>
                <w:rFonts w:hint="eastAsia" w:ascii="Times New Roman" w:hAnsi="Times New Roman"/>
                <w:color w:val="000000"/>
                <w:sz w:val="24"/>
                <w:szCs w:val="24"/>
              </w:rPr>
              <w:t>根据2012年5月23日国土资源部、国家发展和改革委员“会关于发布实施《限制用地项目目录（2012年本）》和《禁止用地项目目录（2012年本）》的通知"，本管道工程为天然气生产和供应业，属于国家扶持的能源基础设施用地项目，不属于国家限制和禁止供地项目，可以以</w:t>
            </w:r>
            <w:r>
              <w:rPr>
                <w:rFonts w:hint="eastAsia" w:ascii="Times New Roman" w:hAnsi="Times New Roman"/>
                <w:color w:val="000000"/>
                <w:sz w:val="24"/>
                <w:szCs w:val="24"/>
                <w:lang w:val="en-US" w:eastAsia="zh-CN"/>
              </w:rPr>
              <w:t>出让</w:t>
            </w:r>
            <w:r>
              <w:rPr>
                <w:rFonts w:hint="eastAsia" w:ascii="Times New Roman" w:hAnsi="Times New Roman"/>
                <w:color w:val="000000"/>
                <w:sz w:val="24"/>
                <w:szCs w:val="24"/>
              </w:rPr>
              <w:t>的方式取得土地使用权的有关规定，符合国家供地政策。</w:t>
            </w:r>
          </w:p>
          <w:p>
            <w:pPr>
              <w:spacing w:line="360" w:lineRule="auto"/>
              <w:ind w:firstLine="439" w:firstLineChars="183"/>
              <w:rPr>
                <w:rFonts w:ascii="Times New Roman" w:hAnsi="Times New Roman"/>
                <w:color w:val="000000"/>
                <w:sz w:val="24"/>
                <w:szCs w:val="24"/>
              </w:rPr>
            </w:pPr>
            <w:r>
              <w:rPr>
                <w:rFonts w:hint="eastAsia" w:ascii="Times New Roman" w:hAnsi="Times New Roman"/>
                <w:color w:val="000000"/>
                <w:sz w:val="24"/>
                <w:szCs w:val="24"/>
              </w:rPr>
              <w:t>本工程项目选线符合沿线地方的总体规划，管道、站场选址不涉及生态红线区域。在施工作业带、穿越工程、施工临时通道选址时，尽量选址荒地，减少对基本农田的占用，提高土地综合利用率。</w:t>
            </w:r>
          </w:p>
          <w:p>
            <w:pPr>
              <w:spacing w:line="360" w:lineRule="auto"/>
              <w:ind w:firstLine="439" w:firstLineChars="183"/>
              <w:rPr>
                <w:rFonts w:ascii="Times New Roman" w:hAnsi="Times New Roman"/>
                <w:sz w:val="24"/>
                <w:szCs w:val="24"/>
              </w:rPr>
            </w:pPr>
            <w:r>
              <w:rPr>
                <w:rFonts w:hint="eastAsia" w:ascii="Times New Roman" w:hAnsi="Times New Roman"/>
                <w:sz w:val="24"/>
                <w:szCs w:val="24"/>
              </w:rPr>
              <w:t>因此，本项目的选址是可行的。</w:t>
            </w:r>
          </w:p>
          <w:p>
            <w:pPr>
              <w:numPr>
                <w:ilvl w:val="0"/>
                <w:numId w:val="4"/>
              </w:numPr>
              <w:spacing w:line="360" w:lineRule="auto"/>
              <w:ind w:firstLine="482" w:firstLineChars="200"/>
              <w:rPr>
                <w:rFonts w:hint="eastAsia" w:ascii="Times New Roman" w:hAnsi="Times New Roman"/>
                <w:b/>
                <w:bCs/>
                <w:sz w:val="24"/>
                <w:szCs w:val="22"/>
              </w:rPr>
            </w:pPr>
            <w:r>
              <w:rPr>
                <w:rFonts w:hint="eastAsia" w:ascii="Times New Roman" w:hAnsi="Times New Roman"/>
                <w:b/>
                <w:bCs/>
                <w:sz w:val="24"/>
                <w:szCs w:val="22"/>
              </w:rPr>
              <w:t>与《芜湖长江大桥综合经济开发区总体规划（2014-2030年）》相符性分析</w:t>
            </w:r>
          </w:p>
          <w:p>
            <w:pPr>
              <w:numPr>
                <w:ilvl w:val="0"/>
                <w:numId w:val="0"/>
              </w:num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芜湖长江大桥综合经济开发区总体规划用地西接繁昌县新港镇，北临长江，东南为繁阳北区，东北接三山临港工业园；用地规模约为17.14平方公里，其规划用地范围分为东西两部分：东部规划建设用地规模约为3.66平方公里，西部规划建设用地规模约13.48平方公里。其主要功能确定为：全国重要的临港产业示范基地；皖江示范区出口贸易和物流中心；芜湖中心城区西南部产业新城。开发区主导产业主要为：（1）装备制造业、新材料产业、节能环保产业；（2）物流和生产性服务贸易。</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总体功能结构为“一心、四区、一环、二带”，其中：“一心”：新区城市中心。</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“四区”分别为：西部临港产业区；北部综合保税区；东北部现代物流区；南部生活配套区。“一环”：外围滨水生态绿环。“二带”：分别为高速防护绿带和谷家河滨水绿带。</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开发区规划共形成六个产业园区，分别为：装备制造产业园、新材料产业园、节能环保产业园、电子电器产业园、综合保税区和现代物流区。</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开发区用地类型包括：居住用地，总面积为280.15ha；公共管理与公共服务设施用地，用地总面积为63.43ha；商业服务业设施用地，用地总面积为109.54ha；道路交通用地，规划主干道路路网密度为0.62km/km</w:t>
            </w:r>
            <w:r>
              <w:rPr>
                <w:rFonts w:hint="eastAsia" w:ascii="Times New Roman" w:hAnsi="Times New Roman"/>
                <w:b w:val="0"/>
                <w:bCs w:val="0"/>
                <w:sz w:val="24"/>
                <w:szCs w:val="22"/>
                <w:vertAlign w:val="superscript"/>
              </w:rPr>
              <w:t>2</w:t>
            </w:r>
            <w:r>
              <w:rPr>
                <w:rFonts w:hint="eastAsia" w:ascii="Times New Roman" w:hAnsi="Times New Roman"/>
                <w:b w:val="0"/>
                <w:bCs w:val="0"/>
                <w:sz w:val="24"/>
                <w:szCs w:val="22"/>
              </w:rPr>
              <w:t>，次干道的路网密度达到1.05km/km</w:t>
            </w:r>
            <w:r>
              <w:rPr>
                <w:rFonts w:hint="eastAsia" w:ascii="Times New Roman" w:hAnsi="Times New Roman"/>
                <w:b w:val="0"/>
                <w:bCs w:val="0"/>
                <w:sz w:val="24"/>
                <w:szCs w:val="22"/>
                <w:vertAlign w:val="superscript"/>
              </w:rPr>
              <w:t>2</w:t>
            </w:r>
            <w:r>
              <w:rPr>
                <w:rFonts w:hint="eastAsia" w:ascii="Times New Roman" w:hAnsi="Times New Roman"/>
                <w:b w:val="0"/>
                <w:bCs w:val="0"/>
                <w:sz w:val="24"/>
                <w:szCs w:val="22"/>
              </w:rPr>
              <w:t>；商住混合用地，总用地总面积为116.72ha；工业用地，用地总面积为1376.19ha；物流仓储用地，用地面积为351.40ha；工业物流仓储混合用地，用地面积为194.69ha；公用设施用地，用地面积为46.93ha；绿地及发展备用地，用地总面积为112.95ha。芜湖大桥综合经济开发区用地规划见</w:t>
            </w:r>
            <w:r>
              <w:rPr>
                <w:rFonts w:hint="eastAsia" w:ascii="Times New Roman" w:hAnsi="Times New Roman"/>
                <w:b w:val="0"/>
                <w:bCs w:val="0"/>
                <w:sz w:val="24"/>
                <w:szCs w:val="22"/>
                <w:lang w:val="en-US" w:eastAsia="zh-CN"/>
              </w:rPr>
              <w:t>下</w:t>
            </w:r>
            <w:r>
              <w:rPr>
                <w:rFonts w:hint="eastAsia" w:ascii="Times New Roman" w:hAnsi="Times New Roman"/>
                <w:b w:val="0"/>
                <w:bCs w:val="0"/>
                <w:sz w:val="24"/>
                <w:szCs w:val="22"/>
              </w:rPr>
              <w:t>图。</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目前开发区基础配套已逐步完善，且大部分已投入使用；日处理3万吨的污水处理厂、220KVA喻村变电站、年吞吐量500万吨的散杂货码头均已建成；高安河路、横山河路、疏港路、经六路、白象路、裕民路等园区主次干道相继建成，园区框架已经形成。</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本项目</w:t>
            </w:r>
            <w:r>
              <w:rPr>
                <w:rFonts w:hint="eastAsia" w:ascii="Times New Roman" w:hAnsi="Times New Roman"/>
                <w:b w:val="0"/>
                <w:bCs w:val="0"/>
                <w:sz w:val="24"/>
                <w:szCs w:val="22"/>
                <w:lang w:val="en-US" w:eastAsia="zh-CN"/>
              </w:rPr>
              <w:t>属于</w:t>
            </w:r>
            <w:r>
              <w:rPr>
                <w:rFonts w:hint="eastAsia" w:ascii="Times New Roman" w:hAnsi="Times New Roman"/>
                <w:b w:val="0"/>
                <w:bCs w:val="0"/>
                <w:sz w:val="24"/>
                <w:szCs w:val="22"/>
              </w:rPr>
              <w:t>天然气生产和供应业</w:t>
            </w:r>
            <w:r>
              <w:rPr>
                <w:rFonts w:hint="eastAsia" w:ascii="Times New Roman" w:hAnsi="Times New Roman"/>
                <w:b w:val="0"/>
                <w:bCs w:val="0"/>
                <w:sz w:val="24"/>
                <w:szCs w:val="22"/>
                <w:lang w:eastAsia="zh-CN"/>
              </w:rPr>
              <w:t>，</w:t>
            </w:r>
            <w:r>
              <w:rPr>
                <w:rFonts w:hint="eastAsia" w:ascii="Times New Roman" w:hAnsi="Times New Roman"/>
                <w:b w:val="0"/>
                <w:bCs w:val="0"/>
                <w:sz w:val="24"/>
                <w:szCs w:val="22"/>
              </w:rPr>
              <w:t>项目符合《芜湖长江大桥综合经济开发区总体规划（2014-2030年）》要求。</w:t>
            </w:r>
          </w:p>
          <w:p>
            <w:pPr>
              <w:spacing w:line="360" w:lineRule="auto"/>
              <w:ind w:firstLine="480" w:firstLineChars="200"/>
              <w:rPr>
                <w:rFonts w:hint="eastAsia" w:ascii="Times New Roman" w:hAnsi="Times New Roman"/>
                <w:b w:val="0"/>
                <w:bCs w:val="0"/>
                <w:sz w:val="24"/>
                <w:szCs w:val="22"/>
              </w:rPr>
            </w:pPr>
          </w:p>
          <w:p>
            <w:pPr>
              <w:spacing w:line="360" w:lineRule="auto"/>
              <w:ind w:firstLine="482" w:firstLineChars="200"/>
              <w:rPr>
                <w:rFonts w:hint="eastAsia" w:ascii="Times New Roman" w:hAnsi="Times New Roman"/>
                <w:b/>
                <w:bCs/>
                <w:sz w:val="24"/>
                <w:szCs w:val="22"/>
                <w:lang w:val="en-US" w:eastAsia="zh-CN"/>
              </w:rPr>
            </w:pPr>
          </w:p>
          <w:p>
            <w:pPr>
              <w:spacing w:line="360" w:lineRule="auto"/>
              <w:ind w:firstLine="482" w:firstLineChars="200"/>
              <w:rPr>
                <w:rFonts w:hint="eastAsia" w:ascii="Times New Roman" w:hAnsi="Times New Roman"/>
                <w:b/>
                <w:bCs/>
                <w:sz w:val="24"/>
                <w:szCs w:val="22"/>
                <w:lang w:val="en-US" w:eastAsia="zh-CN"/>
              </w:rPr>
            </w:pPr>
          </w:p>
          <w:p>
            <w:pPr>
              <w:spacing w:line="360" w:lineRule="auto"/>
              <w:ind w:firstLine="482" w:firstLineChars="200"/>
              <w:rPr>
                <w:rFonts w:hint="eastAsia" w:ascii="Times New Roman" w:hAnsi="Times New Roman"/>
                <w:b/>
                <w:bCs/>
                <w:sz w:val="24"/>
                <w:szCs w:val="22"/>
              </w:rPr>
            </w:pPr>
            <w:r>
              <w:rPr>
                <w:rFonts w:hint="eastAsia" w:ascii="Times New Roman" w:hAnsi="Times New Roman"/>
                <w:b/>
                <w:bCs/>
                <w:sz w:val="24"/>
                <w:szCs w:val="22"/>
                <w:lang w:val="en-US" w:eastAsia="zh-CN"/>
              </w:rPr>
              <w:t>9、</w:t>
            </w:r>
            <w:r>
              <w:rPr>
                <w:rFonts w:hint="eastAsia" w:ascii="Times New Roman" w:hAnsi="Times New Roman"/>
                <w:b/>
                <w:bCs/>
                <w:sz w:val="24"/>
                <w:szCs w:val="22"/>
              </w:rPr>
              <w:t>与《芜湖长江大桥综合经济开发区总体规划环境影响报告书》及其审查意见符合性分析</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芜湖市环保局于2015年10月23日出具了&lt;关于《芜湖长江大桥综合经济开发区总体规划环境影响报告书》审查意见&gt;（环行审[2015]055号）。</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根据《芜湖长江大桥综合经济开发区总体规划环境影响报告书》及其审查意见，芜湖长江大桥开发区2001年经安徽省政府批准设立，芜湖市人民政府于2009年12月颁发《关于调整三山区与繁昌县行政区划的通知》（芜政秘[2009]245号）文，将原繁昌县新港镇的高安、义合、矶山、草山、裕民、白象6个行政村和泥埠居委会划归三山区管辖，总用地面积为43.7平方公里，设立三山区高安街道办事处，委托长江大桥综合经济开发区管委会管辖。2013年3月，芜湖市人民政府以芜湖秘[2013]53号文（芜湖市人民政府关于芜湖长江大桥综合经济开发区总体规划的批复）进行了批复。规划城市建设用地面积约17.14平方公里，分为东西两部分，东部规划建设用地规模约为3.66平方公里，西部规划建设用地规模约为13.48平方公里，其中西部临港产业区建设用地规模4.71平方公里（安徽省国土资源厅关于芜湖长江大桥综合开发区区域调整后四至范围及面积的复函-皖国土资函[2014]1641号）。《芜湖长江大桥综合经济开发区总体规划（2014-2030年）》（本次）规划时序为近期2014年至2020年，远期2020年至2030年，规划范围为：东组团：东至横山河、西至横山河路、南至象山路、北至裕民路；西组团：长江、谷家河路、狮山西路、支三路、经三路、疏港路所围合的区域。主导产业为装备制造业、新材料产业、节能环保产业、物流和生产性服务贸易。</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坚持环保优先原则，强化环保基础设施建设。生产所需供热设施必须使用电、天然气、低硫燃料油等清洁燃料，优化园区的能源结构，园区应优先考滤利用周边资源实施集中供热、供气，减少大气污染源。生产工艺过程中有组织排放废气须经处理达标排放，并严格控制工艺尾气无组织排放。全面落实《安徽省大气污染防治行动计划实施方案》</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各项要求，环境空气质量标准采用《环境空气质量标准》（GB3095-2012）。园区新建项目必须符合报告书提出的大气污染物排放总量限值，通过区域大气污染物总量控制、能源结构调整等措施，实现园区大气环境质量控制目标。</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入园区企业要在园区内环境风险应急处置框架下，制定环境风险应急预案，在具体项目建设中细化落实。在园内油品等危险品储存库区建设中，应设置安全防护距离，制定事故防范对策措施和应急预案，定期演练，防止污染事故发生，确保不对当地水质、空气环境质量造成影响。</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本项目</w:t>
            </w:r>
            <w:r>
              <w:rPr>
                <w:rFonts w:hint="eastAsia" w:ascii="Times New Roman" w:hAnsi="Times New Roman"/>
                <w:b w:val="0"/>
                <w:bCs w:val="0"/>
                <w:sz w:val="24"/>
                <w:szCs w:val="22"/>
                <w:lang w:val="en-US" w:eastAsia="zh-CN"/>
              </w:rPr>
              <w:t>为</w:t>
            </w:r>
            <w:r>
              <w:rPr>
                <w:rFonts w:hint="eastAsia" w:ascii="Times New Roman" w:hAnsi="Times New Roman"/>
                <w:b w:val="0"/>
                <w:bCs w:val="0"/>
                <w:sz w:val="24"/>
                <w:szCs w:val="22"/>
              </w:rPr>
              <w:t>天然气生产和供应业，天然气属于清洁能源，</w:t>
            </w:r>
            <w:r>
              <w:rPr>
                <w:rFonts w:hint="eastAsia" w:ascii="Times New Roman" w:hAnsi="Times New Roman"/>
                <w:b w:val="0"/>
                <w:bCs w:val="0"/>
                <w:sz w:val="24"/>
                <w:szCs w:val="22"/>
                <w:lang w:val="en-US" w:eastAsia="zh-CN"/>
              </w:rPr>
              <w:t>营运期</w:t>
            </w:r>
            <w:r>
              <w:rPr>
                <w:rFonts w:hint="eastAsia" w:ascii="Times New Roman" w:hAnsi="Times New Roman"/>
                <w:b w:val="0"/>
                <w:bCs w:val="0"/>
                <w:sz w:val="24"/>
                <w:szCs w:val="22"/>
              </w:rPr>
              <w:t>外排</w:t>
            </w:r>
            <w:r>
              <w:rPr>
                <w:rFonts w:hint="eastAsia" w:ascii="Times New Roman" w:hAnsi="Times New Roman"/>
                <w:b w:val="0"/>
                <w:bCs w:val="0"/>
                <w:sz w:val="24"/>
                <w:szCs w:val="22"/>
                <w:lang w:val="en-US" w:eastAsia="zh-CN"/>
              </w:rPr>
              <w:t>废气主要为检修过程中排放的天然气，天然气中非甲烷总烃</w:t>
            </w:r>
            <w:r>
              <w:rPr>
                <w:rFonts w:hint="eastAsia" w:ascii="Times New Roman" w:hAnsi="Times New Roman"/>
                <w:b w:val="0"/>
                <w:bCs w:val="0"/>
                <w:sz w:val="24"/>
                <w:szCs w:val="22"/>
              </w:rPr>
              <w:t>污染物浓度较低，能满足相应的排放标准达标排放。满足《芜湖长江大桥综合经济开发区总体规划（2014-2030年）》及其审查意见要求。本项目制定了一系列风险防范及管理措施，防止污染事故发生，确保不对当地水质、空气环境质量造成影响。满足《芜湖长江大桥综合经济开发区总体规划（2014-2030年）》及其审查意见要求。</w:t>
            </w:r>
          </w:p>
          <w:p>
            <w:pPr>
              <w:spacing w:line="360" w:lineRule="auto"/>
              <w:ind w:firstLine="482" w:firstLineChars="200"/>
              <w:rPr>
                <w:rFonts w:hint="eastAsia" w:ascii="Times New Roman" w:hAnsi="Times New Roman"/>
                <w:b/>
                <w:bCs/>
                <w:sz w:val="24"/>
                <w:szCs w:val="22"/>
              </w:rPr>
            </w:pPr>
            <w:r>
              <w:rPr>
                <w:rFonts w:hint="eastAsia" w:ascii="Times New Roman" w:hAnsi="Times New Roman"/>
                <w:b/>
                <w:bCs/>
                <w:sz w:val="24"/>
                <w:szCs w:val="22"/>
                <w:lang w:val="en-US" w:eastAsia="zh-CN"/>
              </w:rPr>
              <w:t>10、</w:t>
            </w:r>
            <w:r>
              <w:rPr>
                <w:rFonts w:hint="eastAsia" w:ascii="Times New Roman" w:hAnsi="Times New Roman"/>
                <w:b/>
                <w:bCs/>
                <w:sz w:val="24"/>
                <w:szCs w:val="22"/>
              </w:rPr>
              <w:t>与《能源发展战略行动计划（2014-2020年）》的相符性分析</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能源发展战略行动计划（2014-2020年）》指出“加强储备应急能力建设。提高天然气储备能力。加快天然气储气库建设，鼓励发展企业商业储备，支持天然气生产企业参与调峰，提高储气规模和应急调峰能力。“优化能源结构。积极发展天然气、核电、可再生能源等清洁能源，降低煤炭消费比重，推动能源结构持续优化。削减京津冀鲁、长三角和珠三角等区域煤炭消费总量。加大高耗能产业落后产能淘汰力度，扩大外来电、天然气及非化石能源供应规模，耗煤项目实现煤炭减量替代。到2020年，京津冀鲁四省市煤炭消费比2012年净削减1亿吨，长三角和珠三角地区煤炭消费总量负增长。”“提高天然气消费比重。持增加供应与提高能效相结合，加强供气设施建设，扩大天然气进口，有序拓展天然气城镇燃气应用。“稳步发展天然气交通运输。结合国家天然气发展规划布局，制定天然气交通发展中长期规划，加快天然气加气站设施建设，以城市出租车、公交车为重点，积极有序发展液化天然气汽车和压缩天然气汽车，稳妥发展天然气家庭轿车、城际客车、重型卡车和轮船。”“加快天然气管网和储气设施建设。按照西气东输、北气南下、海气登陆的供气格局，加快天然气管道及储气设施建设，形成进口通道、主要生产区和消费区相连接的全国天然气主干管网。”</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本项目的建设加强了天然气</w:t>
            </w:r>
            <w:r>
              <w:rPr>
                <w:rFonts w:hint="eastAsia" w:ascii="Times New Roman" w:hAnsi="Times New Roman"/>
                <w:b w:val="0"/>
                <w:bCs w:val="0"/>
                <w:sz w:val="24"/>
                <w:szCs w:val="22"/>
                <w:lang w:val="en-US" w:eastAsia="zh-CN"/>
              </w:rPr>
              <w:t>管网覆盖范围</w:t>
            </w:r>
            <w:r>
              <w:rPr>
                <w:rFonts w:hint="eastAsia" w:ascii="Times New Roman" w:hAnsi="Times New Roman"/>
                <w:b w:val="0"/>
                <w:bCs w:val="0"/>
                <w:sz w:val="24"/>
                <w:szCs w:val="22"/>
              </w:rPr>
              <w:t>，形成了天然气的进口通道，并与主要生产区和消费区相连接。综上，本项目的建设符合《能源发展战略行动计划（2014-2020年）》的要求。</w:t>
            </w:r>
          </w:p>
          <w:p>
            <w:pPr>
              <w:numPr>
                <w:ilvl w:val="0"/>
                <w:numId w:val="5"/>
              </w:numPr>
              <w:spacing w:line="360" w:lineRule="auto"/>
              <w:ind w:firstLine="482" w:firstLineChars="200"/>
              <w:rPr>
                <w:rFonts w:hint="eastAsia" w:ascii="Times New Roman" w:hAnsi="Times New Roman"/>
                <w:b/>
                <w:bCs/>
                <w:sz w:val="24"/>
                <w:szCs w:val="22"/>
              </w:rPr>
            </w:pPr>
            <w:r>
              <w:rPr>
                <w:rFonts w:hint="eastAsia" w:ascii="Times New Roman" w:hAnsi="Times New Roman"/>
                <w:b/>
                <w:bCs/>
                <w:sz w:val="24"/>
                <w:szCs w:val="22"/>
              </w:rPr>
              <w:t>与《中长期油气管网规划》的相符性分析</w:t>
            </w:r>
          </w:p>
          <w:p>
            <w:pPr>
              <w:numPr>
                <w:ilvl w:val="0"/>
                <w:numId w:val="0"/>
              </w:num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规划指出：“坚持适度超前、适时建设的原则，优化沿海LNG接收站布局，在天然气需求量大、应急调峰能力要求高的环渤海、长三角、东南沿海地区，有限扩大已建LNG接收站储转能力，规划一批LNG接收站，适时建设。开展LNG江海联运试点，规划建设芜湖等长江LNG内河接收（转运）站。”“加快区域管网和支线管道建设，全面实施互联互通工程，打通用气“最后一公里”。全面推进符合条件的市县和乡镇管网覆盖，并探索推动天然气管道接入人口规模较大、距离气源或主干管网较近的农村地区。加快建设配套输气管网，结合港口规划和LNG接收站建设，新建一批LNG接收站外输管道。以京津冀及周边地区、长三角、珠三角、东北、海南岛等地区为重点，加快建设区域管网和支线管道，推动“煤改气”工程。适时建设煤层气田与天然气输气于线间的联络输气管道。”“加快LNG接收站储气能力建设。新建、扩建LNG接收站储气量应达到设计年接收能力的10%以上，已建LNG接收站扩建项目优先考虑增加储气能力，以满足中心城市及辐射地区的应急调峰需求。在用气负荷中心城市，加快建设小型LNG储罐、CNG球罐及配套储气设施，解决重点城市的日、小时调峰和应急用气要求。”</w:t>
            </w:r>
          </w:p>
          <w:p>
            <w:pPr>
              <w:spacing w:line="360" w:lineRule="auto"/>
              <w:ind w:firstLine="480" w:firstLineChars="200"/>
              <w:rPr>
                <w:rFonts w:hint="eastAsia" w:ascii="Times New Roman" w:hAnsi="Times New Roman"/>
                <w:b w:val="0"/>
                <w:bCs w:val="0"/>
                <w:sz w:val="24"/>
                <w:szCs w:val="22"/>
              </w:rPr>
            </w:pPr>
            <w:r>
              <w:rPr>
                <w:rFonts w:hint="eastAsia" w:ascii="Times New Roman" w:hAnsi="Times New Roman"/>
                <w:b w:val="0"/>
                <w:bCs w:val="0"/>
                <w:sz w:val="24"/>
                <w:szCs w:val="22"/>
              </w:rPr>
              <w:t>本项目选址位于长三角地区中的芜湖市，该地区工业较为发达，天然气需求量较大。项目建成后打通了用气“最后一公里”，项目的建设符合相关港口规划，项目本次建设内容及预留储气能力能够满足皖南天然气储配调峰需求。因此本项目的建设符合《中长期油气管网规划》的要求。</w:t>
            </w:r>
          </w:p>
          <w:p>
            <w:pPr>
              <w:spacing w:line="360" w:lineRule="auto"/>
              <w:ind w:firstLine="482" w:firstLineChars="200"/>
              <w:rPr>
                <w:rFonts w:hint="eastAsia" w:ascii="Times New Roman" w:hAnsi="Times New Roman"/>
                <w:b/>
                <w:bCs/>
                <w:sz w:val="24"/>
                <w:szCs w:val="22"/>
                <w:lang w:val="en-US" w:eastAsia="zh-CN"/>
              </w:rPr>
            </w:pPr>
            <w:r>
              <w:rPr>
                <w:rFonts w:hint="eastAsia" w:ascii="Times New Roman" w:hAnsi="Times New Roman"/>
                <w:b/>
                <w:bCs/>
                <w:sz w:val="24"/>
                <w:szCs w:val="22"/>
                <w:lang w:val="en-US" w:eastAsia="zh-CN"/>
              </w:rPr>
              <w:t>12、与《安徽省油气管网基础设施建设规划（2017-2021年）》的相符性分析</w:t>
            </w:r>
          </w:p>
          <w:p>
            <w:pPr>
              <w:spacing w:line="360" w:lineRule="auto"/>
              <w:ind w:firstLine="480" w:firstLineChars="200"/>
              <w:rPr>
                <w:rFonts w:hint="eastAsia" w:ascii="Times New Roman" w:hAnsi="Times New Roman"/>
                <w:b w:val="0"/>
                <w:bCs w:val="0"/>
                <w:sz w:val="24"/>
                <w:szCs w:val="22"/>
                <w:lang w:val="en-US" w:eastAsia="zh-CN"/>
              </w:rPr>
            </w:pPr>
            <w:r>
              <w:rPr>
                <w:rFonts w:hint="eastAsia" w:ascii="Times New Roman" w:hAnsi="Times New Roman"/>
                <w:b w:val="0"/>
                <w:bCs w:val="0"/>
                <w:sz w:val="24"/>
                <w:szCs w:val="22"/>
                <w:lang w:val="en-US" w:eastAsia="zh-CN"/>
              </w:rPr>
              <w:t>规划指出：“增强天然气保供能力。在长输管道沿线配套建设储备调峰设施，保障天然气调峰应急需求。推进中海油苏皖干线、淮南煤制气、芜湖LNG接收站等气源工程建设。2017-2021年，建成合肥北城应急LNG储配站，建设皖北、皖南、皖中区域LNG储配调峰中心，新增储备调峰能力7000万立方米；发挥省级主干管网、独立供气设施等储气功能，落实城市燃气企业和用气大户储备责任，增强应急保障能力，计划投资80亿元。”“天然气利用重点项目。建设合肥空港、合肥北城、居巢开发区、寿县新桥产业园、芜湖市北工业区等分布式能源项目。建设合肥、芜湖、滁州等天然气热电联产项目。建设马鞍山、芜湖、铜陵、池州、安庆等长江干线水上LNG加注服务区。”</w:t>
            </w:r>
          </w:p>
          <w:p>
            <w:pPr>
              <w:spacing w:line="360" w:lineRule="auto"/>
              <w:ind w:firstLine="480" w:firstLineChars="200"/>
              <w:rPr>
                <w:rFonts w:hint="eastAsia" w:ascii="Times New Roman" w:hAnsi="Times New Roman"/>
                <w:b w:val="0"/>
                <w:bCs w:val="0"/>
                <w:sz w:val="24"/>
                <w:szCs w:val="22"/>
                <w:lang w:val="en-US" w:eastAsia="zh-CN"/>
              </w:rPr>
            </w:pPr>
            <w:r>
              <w:rPr>
                <w:rFonts w:hint="eastAsia" w:ascii="Times New Roman" w:hAnsi="Times New Roman"/>
                <w:b w:val="0"/>
                <w:bCs w:val="0"/>
                <w:sz w:val="24"/>
                <w:szCs w:val="22"/>
                <w:lang w:val="en-US" w:eastAsia="zh-CN"/>
              </w:rPr>
              <w:t>本项目建设内容包括输气站、天然气管网建设，选址位于芜湖三山区，本项目作为重点天然气气源工程，同时作为皖南LNG储备调峰中心，符合《安徽省油气管网基础设施建设规划（2017-2021年）》的要求。</w:t>
            </w:r>
          </w:p>
          <w:p>
            <w:pPr>
              <w:spacing w:line="360" w:lineRule="auto"/>
              <w:ind w:firstLine="482" w:firstLineChars="200"/>
              <w:rPr>
                <w:rFonts w:hint="eastAsia" w:ascii="Times New Roman" w:hAnsi="Times New Roman"/>
                <w:b/>
                <w:bCs/>
                <w:sz w:val="24"/>
                <w:szCs w:val="22"/>
                <w:lang w:val="en-US" w:eastAsia="zh-CN"/>
              </w:rPr>
            </w:pPr>
          </w:p>
          <w:p>
            <w:pPr>
              <w:spacing w:line="360" w:lineRule="auto"/>
              <w:ind w:firstLine="482" w:firstLineChars="200"/>
              <w:rPr>
                <w:rFonts w:hint="eastAsia" w:ascii="Times New Roman" w:hAnsi="Times New Roman"/>
                <w:b/>
                <w:bCs/>
                <w:sz w:val="24"/>
                <w:szCs w:val="22"/>
                <w:lang w:val="en-US" w:eastAsia="zh-CN"/>
              </w:rPr>
            </w:pPr>
          </w:p>
          <w:p>
            <w:pPr>
              <w:spacing w:line="360" w:lineRule="auto"/>
              <w:ind w:firstLine="482" w:firstLineChars="200"/>
              <w:rPr>
                <w:rFonts w:hint="eastAsia" w:ascii="Times New Roman" w:hAnsi="Times New Roman"/>
                <w:b/>
                <w:bCs/>
                <w:sz w:val="24"/>
                <w:szCs w:val="22"/>
                <w:lang w:val="en-US" w:eastAsia="zh-CN"/>
              </w:rPr>
            </w:pPr>
          </w:p>
          <w:p>
            <w:pPr>
              <w:spacing w:line="360" w:lineRule="auto"/>
              <w:rPr>
                <w:rFonts w:hint="eastAsia" w:ascii="Times New Roman" w:hAnsi="Times New Roman"/>
                <w:b/>
                <w:bCs/>
                <w:sz w:val="24"/>
                <w:szCs w:val="22"/>
                <w:lang w:val="en-US" w:eastAsia="zh-CN"/>
              </w:rPr>
            </w:pPr>
            <w:r>
              <w:rPr>
                <w:sz w:val="24"/>
              </w:rPr>
              <mc:AlternateContent>
                <mc:Choice Requires="wps">
                  <w:drawing>
                    <wp:anchor distT="0" distB="0" distL="114300" distR="114300" simplePos="0" relativeHeight="251736064" behindDoc="0" locked="0" layoutInCell="1" allowOverlap="1">
                      <wp:simplePos x="0" y="0"/>
                      <wp:positionH relativeFrom="column">
                        <wp:posOffset>2413000</wp:posOffset>
                      </wp:positionH>
                      <wp:positionV relativeFrom="paragraph">
                        <wp:posOffset>5588000</wp:posOffset>
                      </wp:positionV>
                      <wp:extent cx="1524000" cy="535940"/>
                      <wp:effectExtent l="12700" t="207010" r="311150" b="19050"/>
                      <wp:wrapNone/>
                      <wp:docPr id="19" name="矩形标注 19"/>
                      <wp:cNvGraphicFramePr/>
                      <a:graphic xmlns:a="http://schemas.openxmlformats.org/drawingml/2006/main">
                        <a:graphicData uri="http://schemas.microsoft.com/office/word/2010/wordprocessingShape">
                          <wps:wsp>
                            <wps:cNvSpPr/>
                            <wps:spPr>
                              <a:xfrm>
                                <a:off x="5375275" y="5615305"/>
                                <a:ext cx="1524000" cy="535940"/>
                              </a:xfrm>
                              <a:prstGeom prst="wedgeRectCallout">
                                <a:avLst>
                                  <a:gd name="adj1" fmla="val 69291"/>
                                  <a:gd name="adj2" fmla="val -8625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90pt;margin-top:440pt;height:42.2pt;width:120pt;z-index:251736064;v-text-anchor:middle;mso-width-relative:page;mso-height-relative:page;" filled="f" stroked="t" coordsize="21600,21600" o:gfxdata="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5m3t51wAAAAsBAAAPAAAAAAAAAAEAIAAAACIAAABkcnMvZG93bnJl&#10;di54bWxQSwECFAAUAAAACACHTuJAx6Hll6kCAAAxBQAADgAAAAAAAAABACAAAAAmAQAAZHJzL2Uy&#10;b0RvYy54bWxQSwUGAAAAAAYABgBZAQAAQQYAAAAA&#10;" adj="25767,-7831">
                      <v:fill on="f" focussize="0,0"/>
                      <v:stroke weight="2pt" color="#000000 [3213]" joinstyle="round"/>
                      <v:imagedata o:title=""/>
                      <o:lock v:ext="edit" aspectratio="f"/>
                      <v:textbox>
                        <w:txbxContent>
                          <w:p>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项目所在地</w:t>
                            </w:r>
                          </w:p>
                        </w:txbxContent>
                      </v:textbox>
                    </v:shape>
                  </w:pict>
                </mc:Fallback>
              </mc:AlternateContent>
            </w:r>
            <w:r>
              <w:rPr>
                <w:rFonts w:hint="eastAsia" w:ascii="Times New Roman" w:hAnsi="Times New Roman"/>
                <w:b/>
                <w:bCs/>
                <w:sz w:val="24"/>
                <w:szCs w:val="22"/>
                <w:lang w:val="en-US" w:eastAsia="zh-CN"/>
              </w:rPr>
              <w:drawing>
                <wp:inline distT="0" distB="0" distL="114300" distR="114300">
                  <wp:extent cx="5581650" cy="7915275"/>
                  <wp:effectExtent l="0" t="0" r="0" b="9525"/>
                  <wp:docPr id="17" name="图片 17" descr="微信截图_20210222205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截图_20210222205033"/>
                          <pic:cNvPicPr>
                            <a:picLocks noChangeAspect="1"/>
                          </pic:cNvPicPr>
                        </pic:nvPicPr>
                        <pic:blipFill>
                          <a:blip r:embed="rId8"/>
                          <a:stretch>
                            <a:fillRect/>
                          </a:stretch>
                        </pic:blipFill>
                        <pic:spPr>
                          <a:xfrm>
                            <a:off x="0" y="0"/>
                            <a:ext cx="5581650" cy="7915275"/>
                          </a:xfrm>
                          <a:prstGeom prst="rect">
                            <a:avLst/>
                          </a:prstGeom>
                        </pic:spPr>
                      </pic:pic>
                    </a:graphicData>
                  </a:graphic>
                </wp:inline>
              </w:drawing>
            </w:r>
          </w:p>
          <w:p>
            <w:pPr>
              <w:spacing w:line="360" w:lineRule="auto"/>
              <w:ind w:firstLine="482" w:firstLineChars="200"/>
              <w:jc w:val="center"/>
              <w:rPr>
                <w:rFonts w:hint="eastAsia" w:ascii="Times New Roman" w:hAnsi="Times New Roman"/>
                <w:b/>
                <w:bCs/>
                <w:sz w:val="24"/>
                <w:szCs w:val="22"/>
                <w:lang w:val="en-US" w:eastAsia="zh-CN"/>
              </w:rPr>
            </w:pPr>
            <w:r>
              <w:rPr>
                <w:rFonts w:hint="eastAsia" w:ascii="Times New Roman" w:hAnsi="Times New Roman"/>
                <w:b/>
                <w:bCs/>
                <w:sz w:val="24"/>
                <w:szCs w:val="22"/>
                <w:lang w:val="en-US" w:eastAsia="zh-CN"/>
              </w:rPr>
              <w:t>图1-1 安徽省天然气管网规划示意图</w:t>
            </w:r>
          </w:p>
          <w:p>
            <w:pPr>
              <w:spacing w:line="360" w:lineRule="auto"/>
              <w:ind w:firstLine="482" w:firstLineChars="200"/>
              <w:rPr>
                <w:rFonts w:hint="eastAsia" w:ascii="Times New Roman" w:hAnsi="Times New Roman"/>
                <w:b/>
                <w:bCs/>
                <w:sz w:val="24"/>
                <w:szCs w:val="22"/>
                <w:lang w:val="en-US" w:eastAsia="zh-CN"/>
              </w:rPr>
            </w:pPr>
          </w:p>
          <w:p>
            <w:pPr>
              <w:spacing w:line="360" w:lineRule="auto"/>
              <w:ind w:firstLine="482" w:firstLineChars="200"/>
              <w:rPr>
                <w:rFonts w:hint="eastAsia" w:ascii="Times New Roman" w:hAnsi="Times New Roman"/>
                <w:b/>
                <w:bCs/>
                <w:sz w:val="24"/>
                <w:szCs w:val="22"/>
                <w:lang w:val="en-US" w:eastAsia="zh-CN"/>
              </w:rPr>
            </w:pPr>
          </w:p>
          <w:p>
            <w:pPr>
              <w:spacing w:line="360" w:lineRule="auto"/>
              <w:ind w:firstLine="482" w:firstLineChars="200"/>
              <w:rPr>
                <w:rFonts w:ascii="Times New Roman" w:hAnsi="Times New Roman"/>
                <w:b/>
                <w:bCs/>
                <w:sz w:val="24"/>
                <w:szCs w:val="22"/>
                <w:lang w:val="zh-CN"/>
              </w:rPr>
            </w:pPr>
            <w:bookmarkStart w:id="10" w:name="_GoBack"/>
            <w:bookmarkEnd w:id="10"/>
            <w:r>
              <w:rPr>
                <w:rFonts w:hint="eastAsia" w:ascii="Times New Roman" w:hAnsi="Times New Roman"/>
                <w:b/>
                <w:bCs/>
                <w:sz w:val="24"/>
                <w:szCs w:val="22"/>
                <w:lang w:val="en-US" w:eastAsia="zh-CN"/>
              </w:rPr>
              <w:t>13</w:t>
            </w:r>
            <w:r>
              <w:rPr>
                <w:rFonts w:ascii="Times New Roman" w:hAnsi="Times New Roman"/>
                <w:b/>
                <w:bCs/>
                <w:sz w:val="24"/>
                <w:szCs w:val="22"/>
              </w:rPr>
              <w:t>、</w:t>
            </w:r>
            <w:r>
              <w:rPr>
                <w:rFonts w:ascii="Times New Roman" w:hAnsi="Times New Roman"/>
                <w:b/>
                <w:bCs/>
                <w:sz w:val="24"/>
                <w:szCs w:val="22"/>
                <w:lang w:val="zh-CN"/>
              </w:rPr>
              <w:t>《安徽省打赢蓝天保卫战三年行动计划实施方案》符合性分析</w:t>
            </w:r>
          </w:p>
          <w:p>
            <w:pPr>
              <w:spacing w:line="360" w:lineRule="auto"/>
              <w:ind w:firstLine="480" w:firstLineChars="200"/>
              <w:rPr>
                <w:rFonts w:ascii="Times New Roman" w:hAnsi="Times New Roman" w:eastAsia="Times New Roman"/>
                <w:sz w:val="24"/>
                <w:szCs w:val="22"/>
                <w:lang w:val="zh-CN"/>
              </w:rPr>
            </w:pPr>
            <w:r>
              <w:rPr>
                <w:rFonts w:ascii="Times New Roman" w:hAnsi="Times New Roman" w:eastAsia="Times New Roman"/>
                <w:sz w:val="24"/>
                <w:szCs w:val="22"/>
                <w:lang w:val="zh-CN"/>
              </w:rPr>
              <w:t>根据文件精神，与本项目相关的内容如下：</w:t>
            </w:r>
          </w:p>
          <w:p>
            <w:pPr>
              <w:spacing w:line="360" w:lineRule="auto"/>
              <w:ind w:firstLine="480" w:firstLineChars="200"/>
              <w:rPr>
                <w:rFonts w:ascii="Times New Roman" w:hAnsi="Times New Roman" w:eastAsia="Times New Roman"/>
                <w:sz w:val="24"/>
                <w:szCs w:val="22"/>
                <w:lang w:val="zh-CN"/>
              </w:rPr>
            </w:pPr>
            <w:r>
              <w:rPr>
                <w:rFonts w:ascii="Times New Roman" w:hAnsi="Times New Roman" w:eastAsia="Times New Roman"/>
                <w:sz w:val="24"/>
                <w:szCs w:val="22"/>
                <w:lang w:val="zh-CN"/>
              </w:rPr>
              <w:t>①优化产业布局。完成生态保护红线、环境质量底线、资源利用上线、环境准入清单编制工作，明确禁止和限制发展的行业、生产工艺和产业目录。严格执行国家高耗能、高污染和资源型行业准入条件，环境空气质量未达标城市应制定更严格的产业准入门槛。积极推行区域、规划环境影响评价，新、改、扩建钢铁、石化、化工、焦化、建材、有色等项目的环境影响评价，应满足区域、规划环评要求。加快区域产业调整。加快城市建成区重污染企业搬迁改造或关闭退出，推动实施一批水泥、平板玻璃、焦化、化工等重污染企业搬迁工程；城市钢铁企业要切实采取彻底关停、转型发展、就地改造、域外搬迁等方式，推动转型升级。禁止新增化工园区，加大现有化工园区整治力度。各地已明确的退城企业，要明确时间表，逾期不退城的予以停产。</w:t>
            </w:r>
          </w:p>
          <w:p>
            <w:pPr>
              <w:spacing w:line="360" w:lineRule="auto"/>
              <w:ind w:firstLine="480" w:firstLineChars="200"/>
              <w:rPr>
                <w:rFonts w:ascii="Times New Roman" w:hAnsi="Times New Roman" w:eastAsia="Times New Roman"/>
                <w:sz w:val="24"/>
                <w:szCs w:val="22"/>
                <w:lang w:val="zh-CN"/>
              </w:rPr>
            </w:pPr>
            <w:r>
              <w:rPr>
                <w:rFonts w:ascii="Times New Roman" w:hAnsi="Times New Roman" w:eastAsia="Times New Roman"/>
                <w:sz w:val="24"/>
                <w:szCs w:val="22"/>
                <w:lang w:val="zh-CN"/>
              </w:rPr>
              <w:t>②严控“两高”行业产能。严格执行国家关于“两高”产业准入目录和产能总量控制政策措施。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严格按照《产业结构调整指导目录》，执行过剩产能淘汰标准。严防“地条钢”死灰复燃。</w:t>
            </w:r>
          </w:p>
          <w:p>
            <w:pPr>
              <w:spacing w:line="360" w:lineRule="auto"/>
              <w:ind w:firstLine="480" w:firstLineChars="200"/>
              <w:rPr>
                <w:rFonts w:ascii="Times New Roman" w:hAnsi="Times New Roman" w:eastAsia="Times New Roman"/>
                <w:sz w:val="24"/>
                <w:szCs w:val="22"/>
                <w:lang w:val="zh-CN"/>
              </w:rPr>
            </w:pPr>
            <w:r>
              <w:rPr>
                <w:rFonts w:ascii="Times New Roman" w:hAnsi="Times New Roman" w:eastAsia="Times New Roman"/>
                <w:sz w:val="24"/>
                <w:szCs w:val="22"/>
                <w:lang w:val="zh-CN"/>
              </w:rPr>
              <w:t>③强化“散乱污”企业综合整治。全面开展“散乱污”企业及集群综合整治行动。年产155台起重设备生产线项目环境影响报告表根据国家规定，细化“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合规工业园区并实施升级改造；列入升级改造类的，树立行业标杆，实施清洁生产技术改造，全面提升污染治理水平。建立“散乱污”企业动态管理机制，坚决杜绝“散乱污”企业项目建设和已取缔的“散乱污”企业异地转移、死灰复燃。以上工作任务2019年底前全面完成。</w:t>
            </w:r>
          </w:p>
          <w:p>
            <w:pPr>
              <w:spacing w:line="360" w:lineRule="auto"/>
              <w:ind w:firstLine="480" w:firstLineChars="200"/>
              <w:rPr>
                <w:rFonts w:ascii="Times New Roman" w:hAnsi="Times New Roman" w:eastAsia="Times New Roman"/>
                <w:sz w:val="24"/>
                <w:szCs w:val="22"/>
                <w:lang w:val="zh-CN"/>
              </w:rPr>
            </w:pPr>
            <w:r>
              <w:rPr>
                <w:rFonts w:ascii="Times New Roman" w:hAnsi="Times New Roman" w:eastAsia="Times New Roman"/>
                <w:sz w:val="24"/>
                <w:szCs w:val="22"/>
                <w:lang w:val="zh-CN"/>
              </w:rPr>
              <w:t>④深化工业污染治理。持续推进工业污染源全面达标排放，将烟气在线监测数据作为执法依据，加大超标处罚和联合惩戒力度，未达标排放的企业一律依法停产整治。建立覆盖所有固定污染源的企业排放许可制度，2020年底前，完成排污许可管理名录规定的行业许可证核发。</w:t>
            </w:r>
          </w:p>
          <w:p>
            <w:pPr>
              <w:spacing w:line="360" w:lineRule="auto"/>
              <w:ind w:firstLine="480" w:firstLineChars="200"/>
              <w:rPr>
                <w:rFonts w:ascii="Times New Roman" w:hAnsi="Times New Roman" w:eastAsia="Times New Roman"/>
                <w:sz w:val="24"/>
                <w:szCs w:val="22"/>
                <w:lang w:val="zh-CN"/>
              </w:rPr>
            </w:pPr>
            <w:r>
              <w:rPr>
                <w:rFonts w:ascii="Times New Roman" w:hAnsi="Times New Roman" w:eastAsia="Times New Roman"/>
                <w:sz w:val="24"/>
                <w:szCs w:val="22"/>
                <w:lang w:val="zh-CN"/>
              </w:rPr>
              <w:t>⑤推进重点行业污染治理升级改造。二氧化硫、氮氧化物、颗粒物、挥发性有机物全面执行大气污染物特别排放限值。推动实施钢铁等行业超低排放改造，城市建成区内焦炉实施炉体加罩封闭，并对废气进行收集处理。强化工业企业无组织排放管控。开展钢铁、建材、有色、火电、焦化、铸造等重点行业及燃煤锅炉无组织排放排查，建立管理台账，对物料（含废渣）运输、装卸、储存、转移和工艺过程等无组织排放实施深度治理。推进各类园区循环化改造、规范发展和提质增效。大力推进企业清洁生产。对各类开发区、工业园区、高新区等进行集中整治，限期进行达标改造，减少工业集聚区污染。完善园区集中供热设施，积极推广集中供热，2020年底前基本完成。有条件的工业集聚区建设集中喷涂工程中心，配备高效治污设施，替代企业独立喷涂工序。</w:t>
            </w:r>
          </w:p>
          <w:p>
            <w:pPr>
              <w:spacing w:line="360" w:lineRule="auto"/>
              <w:ind w:firstLine="480" w:firstLineChars="200"/>
              <w:rPr>
                <w:rFonts w:ascii="Times New Roman" w:hAnsi="Times New Roman"/>
                <w:b/>
                <w:bCs/>
                <w:sz w:val="24"/>
                <w:szCs w:val="22"/>
              </w:rPr>
            </w:pPr>
            <w:r>
              <w:rPr>
                <w:rFonts w:ascii="Times New Roman" w:hAnsi="Times New Roman" w:eastAsia="Times New Roman"/>
                <w:b/>
                <w:bCs/>
                <w:sz w:val="24"/>
                <w:lang w:val="zh-CN"/>
              </w:rPr>
              <w:t>本项目位于</w:t>
            </w:r>
            <w:r>
              <w:rPr>
                <w:rFonts w:hint="eastAsia" w:ascii="Times New Roman" w:hAnsi="Times New Roman" w:eastAsia="Times New Roman"/>
                <w:b/>
                <w:bCs/>
                <w:sz w:val="24"/>
                <w:lang w:val="zh-CN"/>
              </w:rPr>
              <w:t>芜湖三山经济开发区境内</w:t>
            </w:r>
            <w:r>
              <w:rPr>
                <w:rFonts w:ascii="Times New Roman" w:hAnsi="Times New Roman" w:eastAsia="Times New Roman"/>
                <w:b/>
                <w:bCs/>
                <w:sz w:val="24"/>
                <w:lang w:val="zh-CN"/>
              </w:rPr>
              <w:t>，</w:t>
            </w:r>
            <w:r>
              <w:rPr>
                <w:rFonts w:ascii="Times New Roman" w:hAnsi="Times New Roman"/>
                <w:b/>
                <w:sz w:val="24"/>
                <w:szCs w:val="24"/>
                <w:lang w:val="zh-CN"/>
              </w:rPr>
              <w:t>本项目不属于“两高”行业，项目</w:t>
            </w:r>
            <w:r>
              <w:rPr>
                <w:rFonts w:hint="eastAsia" w:ascii="Times New Roman" w:hAnsi="Times New Roman"/>
                <w:b/>
                <w:sz w:val="24"/>
                <w:szCs w:val="24"/>
              </w:rPr>
              <w:t>所属行业</w:t>
            </w:r>
            <w:r>
              <w:rPr>
                <w:rFonts w:ascii="Times New Roman" w:hAnsi="Times New Roman"/>
                <w:b/>
                <w:sz w:val="24"/>
                <w:szCs w:val="24"/>
                <w:lang w:val="zh-CN"/>
              </w:rPr>
              <w:t>为</w:t>
            </w:r>
            <w:r>
              <w:rPr>
                <w:rFonts w:hint="eastAsia" w:ascii="Times New Roman" w:hAnsi="Times New Roman"/>
                <w:b/>
                <w:sz w:val="24"/>
                <w:szCs w:val="24"/>
              </w:rPr>
              <w:t>天然气生产和供应业</w:t>
            </w:r>
            <w:r>
              <w:rPr>
                <w:rFonts w:ascii="Times New Roman" w:hAnsi="Times New Roman"/>
                <w:b/>
                <w:sz w:val="24"/>
                <w:szCs w:val="24"/>
                <w:lang w:val="zh-CN"/>
              </w:rPr>
              <w:t>，符合</w:t>
            </w:r>
            <w:r>
              <w:rPr>
                <w:rFonts w:hint="eastAsia" w:ascii="Times New Roman" w:hAnsi="Times New Roman"/>
                <w:b/>
                <w:sz w:val="24"/>
                <w:szCs w:val="24"/>
                <w:lang w:val="zh-CN"/>
              </w:rPr>
              <w:t>《打高蓝天保卫战三年行动计划的通知》（国发[2018]22号）</w:t>
            </w:r>
            <w:r>
              <w:rPr>
                <w:rFonts w:hint="eastAsia" w:ascii="Times New Roman" w:hAnsi="Times New Roman"/>
                <w:b/>
                <w:sz w:val="24"/>
                <w:szCs w:val="24"/>
              </w:rPr>
              <w:t>中的要求</w:t>
            </w:r>
            <w:r>
              <w:rPr>
                <w:rFonts w:ascii="Times New Roman" w:hAnsi="Times New Roman"/>
                <w:b/>
                <w:sz w:val="24"/>
                <w:szCs w:val="24"/>
                <w:lang w:val="zh-CN"/>
              </w:rPr>
              <w:t>。</w:t>
            </w:r>
          </w:p>
          <w:p>
            <w:pPr>
              <w:spacing w:line="360" w:lineRule="auto"/>
              <w:ind w:firstLine="482" w:firstLineChars="200"/>
              <w:rPr>
                <w:rFonts w:ascii="Times New Roman" w:hAnsi="Times New Roman"/>
                <w:b/>
                <w:sz w:val="24"/>
                <w:szCs w:val="24"/>
                <w:lang w:val="zh-CN"/>
              </w:rPr>
            </w:pPr>
            <w:r>
              <w:rPr>
                <w:rFonts w:hint="eastAsia" w:ascii="Times New Roman" w:hAnsi="Times New Roman"/>
                <w:b/>
                <w:sz w:val="24"/>
                <w:szCs w:val="24"/>
                <w:lang w:val="en-US" w:eastAsia="zh-CN"/>
              </w:rPr>
              <w:t>14</w:t>
            </w:r>
            <w:r>
              <w:rPr>
                <w:rFonts w:ascii="Times New Roman" w:hAnsi="Times New Roman"/>
                <w:b/>
                <w:sz w:val="24"/>
                <w:szCs w:val="24"/>
              </w:rPr>
              <w:t>、</w:t>
            </w:r>
            <w:r>
              <w:rPr>
                <w:rFonts w:ascii="Times New Roman" w:hAnsi="Times New Roman"/>
                <w:b/>
                <w:sz w:val="24"/>
                <w:szCs w:val="24"/>
                <w:lang w:val="zh-CN"/>
              </w:rPr>
              <w:t>与《中共安徽省委安徽省人民政府关于全面打造水清岸绿产业优美丽长江（安徽）经济带的实施意见》相符性分析</w:t>
            </w:r>
          </w:p>
          <w:p>
            <w:pPr>
              <w:spacing w:line="360" w:lineRule="auto"/>
              <w:ind w:firstLine="480" w:firstLineChars="200"/>
              <w:rPr>
                <w:rFonts w:ascii="Times New Roman" w:hAnsi="Times New Roman" w:eastAsia="Times New Roman"/>
                <w:sz w:val="24"/>
                <w:lang w:val="zh-CN"/>
              </w:rPr>
            </w:pPr>
            <w:r>
              <w:rPr>
                <w:rFonts w:ascii="Times New Roman" w:hAnsi="Times New Roman" w:eastAsia="Times New Roman"/>
                <w:sz w:val="24"/>
                <w:lang w:val="zh-CN"/>
              </w:rPr>
              <w:t>根据《中共安徽省委安徽省人民政府关于全面打造水清岸绿产业优美丽长江（安徽）经济带的实施意见》</w:t>
            </w:r>
          </w:p>
          <w:p>
            <w:pPr>
              <w:spacing w:line="360" w:lineRule="auto"/>
              <w:ind w:firstLine="480" w:firstLineChars="200"/>
              <w:rPr>
                <w:rFonts w:ascii="Times New Roman" w:hAnsi="Times New Roman" w:eastAsia="Times New Roman"/>
                <w:sz w:val="24"/>
                <w:lang w:val="zh-CN"/>
              </w:rPr>
            </w:pPr>
            <w:r>
              <w:rPr>
                <w:rFonts w:ascii="Times New Roman" w:hAnsi="Times New Roman" w:eastAsia="Times New Roman"/>
                <w:sz w:val="24"/>
                <w:lang w:val="zh-CN"/>
              </w:rPr>
              <w:t>1、严禁1公里范围内新建项目。自2018年7月起，长江干流及主要支流岸线1公里范围内，除必须实施的防洪护岸、河道治理、供水、航道整治、港口码头及集疏运通道、道路及跨江桥隧、公共管理、生态环境治理、国家重要基础设施等事关公共安全和公众利益建设项目，以及长江岸线规划确定的城市建设区内非工业项目外，不得新批建设项目，不得布局新的工业园区。已批未建设的项目，严格进行检查评估，不符合岸线规划和环保、安全要求的，全部依法依规停建搬迁。</w:t>
            </w:r>
          </w:p>
          <w:p>
            <w:pPr>
              <w:spacing w:line="360" w:lineRule="auto"/>
              <w:ind w:firstLine="480" w:firstLineChars="200"/>
              <w:rPr>
                <w:rFonts w:ascii="Times New Roman" w:hAnsi="Times New Roman"/>
                <w:sz w:val="24"/>
                <w:szCs w:val="22"/>
              </w:rPr>
            </w:pPr>
            <w:r>
              <w:rPr>
                <w:rFonts w:ascii="Times New Roman" w:hAnsi="Times New Roman" w:eastAsia="Times New Roman"/>
                <w:b/>
                <w:bCs/>
                <w:sz w:val="24"/>
                <w:szCs w:val="22"/>
                <w:lang w:val="zh-CN"/>
              </w:rPr>
              <w:t>本项目</w:t>
            </w:r>
            <w:r>
              <w:rPr>
                <w:rFonts w:hint="eastAsia" w:ascii="Times New Roman" w:hAnsi="Times New Roman"/>
                <w:b/>
                <w:bCs/>
                <w:sz w:val="24"/>
                <w:szCs w:val="22"/>
              </w:rPr>
              <w:t>位于长江最近距离为280m</w:t>
            </w:r>
            <w:r>
              <w:rPr>
                <w:rFonts w:hint="eastAsia" w:ascii="Times New Roman" w:hAnsi="Times New Roman"/>
                <w:b/>
                <w:bCs/>
                <w:sz w:val="24"/>
                <w:szCs w:val="22"/>
                <w:lang w:eastAsia="zh-CN"/>
              </w:rPr>
              <w:t>，选址位于芜湖港三山区，</w:t>
            </w:r>
            <w:r>
              <w:rPr>
                <w:rFonts w:hint="eastAsia" w:ascii="Times New Roman" w:hAnsi="Times New Roman"/>
                <w:b w:val="0"/>
                <w:bCs w:val="0"/>
                <w:sz w:val="24"/>
                <w:szCs w:val="22"/>
                <w:lang w:eastAsia="zh-CN"/>
              </w:rPr>
              <w:t>芜湖港三山区功能定位为：形成以干散货、石油及制品、LNG为主，兼顾件杂货和集装箱等运输的综合性港区，为临港工业、现代物流和清洁能源储运服务，承担装卸、物流仓储、中转配送、临港工业等功能</w:t>
            </w:r>
            <w:r>
              <w:rPr>
                <w:rFonts w:hint="eastAsia" w:ascii="Times New Roman" w:hAnsi="Times New Roman" w:eastAsia="Times New Roman"/>
                <w:b w:val="0"/>
                <w:bCs w:val="0"/>
                <w:sz w:val="24"/>
                <w:szCs w:val="22"/>
                <w:lang w:val="zh-CN"/>
              </w:rPr>
              <w:t>。</w:t>
            </w:r>
            <w:r>
              <w:rPr>
                <w:rFonts w:hint="eastAsia" w:ascii="Times New Roman" w:hAnsi="Times New Roman"/>
                <w:b/>
                <w:bCs/>
                <w:sz w:val="24"/>
                <w:szCs w:val="22"/>
              </w:rPr>
              <w:t>根据1公里范围内要求，本项目属于</w:t>
            </w:r>
            <w:r>
              <w:rPr>
                <w:rFonts w:hint="eastAsia" w:ascii="Times New Roman" w:hAnsi="Times New Roman"/>
                <w:sz w:val="24"/>
                <w:szCs w:val="22"/>
              </w:rPr>
              <w:t>“</w:t>
            </w:r>
            <w:r>
              <w:rPr>
                <w:rFonts w:ascii="Times New Roman" w:hAnsi="Times New Roman" w:eastAsia="Times New Roman"/>
                <w:sz w:val="24"/>
                <w:lang w:val="zh-CN"/>
              </w:rPr>
              <w:t>除必须实施的防洪护岸、河道治理、供水、航道整治、港口码头及集疏运通道、道路及跨江桥隧、公共管理、生态环境治理、</w:t>
            </w:r>
            <w:r>
              <w:rPr>
                <w:rFonts w:ascii="Times New Roman" w:hAnsi="Times New Roman" w:eastAsia="Times New Roman"/>
                <w:b/>
                <w:bCs/>
                <w:sz w:val="24"/>
                <w:lang w:val="zh-CN"/>
              </w:rPr>
              <w:t>国家重要基础设施等事关公共安全和公众利益建设项目</w:t>
            </w:r>
            <w:r>
              <w:rPr>
                <w:rFonts w:ascii="Times New Roman" w:hAnsi="Times New Roman" w:eastAsia="Times New Roman"/>
                <w:sz w:val="24"/>
                <w:lang w:val="zh-CN"/>
              </w:rPr>
              <w:t>，以及长江岸线规划确定的城市建设区内非工业项目外</w:t>
            </w:r>
            <w:r>
              <w:rPr>
                <w:rFonts w:hint="eastAsia" w:ascii="Times New Roman" w:hAnsi="Times New Roman"/>
                <w:sz w:val="24"/>
                <w:szCs w:val="22"/>
              </w:rPr>
              <w:t>”中的生态环境治理行业。</w:t>
            </w:r>
          </w:p>
          <w:p>
            <w:pPr>
              <w:spacing w:line="360" w:lineRule="auto"/>
              <w:ind w:firstLine="480" w:firstLineChars="200"/>
              <w:rPr>
                <w:rFonts w:ascii="Times New Roman" w:hAnsi="Times New Roman"/>
                <w:bCs/>
                <w:sz w:val="24"/>
                <w:szCs w:val="22"/>
              </w:rPr>
            </w:pPr>
            <w:r>
              <w:rPr>
                <w:rFonts w:hint="eastAsia" w:ascii="Times New Roman" w:hAnsi="Times New Roman"/>
                <w:sz w:val="24"/>
                <w:szCs w:val="22"/>
              </w:rPr>
              <w:t>因此，本项目的建设与</w:t>
            </w:r>
            <w:r>
              <w:rPr>
                <w:rFonts w:ascii="Times New Roman" w:hAnsi="Times New Roman"/>
                <w:bCs/>
                <w:sz w:val="24"/>
                <w:szCs w:val="24"/>
                <w:lang w:val="zh-CN"/>
              </w:rPr>
              <w:t>《中共安徽省委安徽省人民政府关于全面打造水清岸绿产业优美丽长江（安徽）经济带的实施意见》</w:t>
            </w:r>
            <w:r>
              <w:rPr>
                <w:rFonts w:hint="eastAsia" w:ascii="Times New Roman" w:hAnsi="Times New Roman"/>
                <w:bCs/>
                <w:sz w:val="24"/>
                <w:szCs w:val="24"/>
              </w:rPr>
              <w:t>要求相符。</w:t>
            </w:r>
          </w:p>
          <w:p>
            <w:pPr>
              <w:spacing w:line="360" w:lineRule="auto"/>
              <w:ind w:firstLine="482" w:firstLineChars="200"/>
              <w:rPr>
                <w:rFonts w:ascii="Times New Roman" w:hAnsi="Times New Roman"/>
                <w:b/>
                <w:sz w:val="24"/>
                <w:szCs w:val="24"/>
                <w:lang w:val="zh-CN"/>
              </w:rPr>
            </w:pPr>
            <w:r>
              <w:rPr>
                <w:rFonts w:hint="eastAsia" w:ascii="Times New Roman" w:hAnsi="Times New Roman"/>
                <w:b/>
                <w:sz w:val="24"/>
                <w:szCs w:val="24"/>
                <w:lang w:val="en-US" w:eastAsia="zh-CN"/>
              </w:rPr>
              <w:t>15</w:t>
            </w:r>
            <w:r>
              <w:rPr>
                <w:rFonts w:ascii="Times New Roman" w:hAnsi="Times New Roman"/>
                <w:b/>
                <w:sz w:val="24"/>
                <w:szCs w:val="24"/>
              </w:rPr>
              <w:t>、</w:t>
            </w:r>
            <w:r>
              <w:rPr>
                <w:rFonts w:ascii="Times New Roman" w:hAnsi="Times New Roman"/>
                <w:b/>
                <w:sz w:val="24"/>
                <w:szCs w:val="24"/>
                <w:lang w:val="zh-CN"/>
              </w:rPr>
              <w:t>与《中共安徽省委安徽省人民政府关于全面打造水清岸绿产业优美丽长江（</w:t>
            </w:r>
            <w:r>
              <w:rPr>
                <w:rFonts w:ascii="Times New Roman" w:hAnsi="Times New Roman"/>
                <w:b/>
                <w:sz w:val="24"/>
                <w:szCs w:val="24"/>
              </w:rPr>
              <w:t>芜湖</w:t>
            </w:r>
            <w:r>
              <w:rPr>
                <w:rFonts w:ascii="Times New Roman" w:hAnsi="Times New Roman"/>
                <w:b/>
                <w:sz w:val="24"/>
                <w:szCs w:val="24"/>
                <w:lang w:val="zh-CN"/>
              </w:rPr>
              <w:t>）经济带的实施意见》相符性分析</w:t>
            </w:r>
          </w:p>
          <w:p>
            <w:pPr>
              <w:spacing w:line="360" w:lineRule="auto"/>
              <w:ind w:firstLine="480" w:firstLineChars="200"/>
              <w:rPr>
                <w:rFonts w:ascii="Times New Roman" w:hAnsi="Times New Roman" w:eastAsia="Times New Roman"/>
                <w:sz w:val="24"/>
                <w:lang w:val="zh-CN"/>
              </w:rPr>
            </w:pPr>
            <w:r>
              <w:rPr>
                <w:rFonts w:ascii="Times New Roman" w:hAnsi="Times New Roman" w:eastAsia="Times New Roman"/>
                <w:sz w:val="24"/>
                <w:lang w:val="zh-CN"/>
              </w:rPr>
              <w:t>1、划定1公里范围内禁建区。2018年7月起，长江干流及主要支流岸线1公里范围内，除必须实施的防洪护岸、河道治理、供水、航道整治、港口码头及集疏运通道、道路及跨江桥隧、公共管理、生态环境治理、国家及省重要基础设施等事关公共安全及公众利益的建设项目，以及环境治理、技术改造升级项目，长江岸线规划、主要支流岸线规划、城（镇）总体规划确定的城市建设区内非工业项目外，不得新批建设项目，不得布局新的工业园区。已批未开工的项目，依法停止建设，支持重新选址：已经开工建设的项目，严格进行检查评估，不符合岸线规划和环保、安全要求的，全部依法依规停建搬迁。</w:t>
            </w:r>
          </w:p>
          <w:p>
            <w:pPr>
              <w:spacing w:line="360" w:lineRule="auto"/>
              <w:ind w:firstLine="480" w:firstLineChars="200"/>
              <w:rPr>
                <w:rFonts w:ascii="Times New Roman" w:hAnsi="Times New Roman"/>
                <w:sz w:val="24"/>
                <w:szCs w:val="22"/>
              </w:rPr>
            </w:pPr>
            <w:r>
              <w:rPr>
                <w:rFonts w:ascii="Times New Roman" w:hAnsi="Times New Roman" w:eastAsia="Times New Roman"/>
                <w:b/>
                <w:bCs/>
                <w:sz w:val="24"/>
                <w:szCs w:val="22"/>
                <w:lang w:val="zh-CN"/>
              </w:rPr>
              <w:t>本项目</w:t>
            </w:r>
            <w:r>
              <w:rPr>
                <w:rFonts w:hint="eastAsia" w:ascii="Times New Roman" w:hAnsi="Times New Roman"/>
                <w:b/>
                <w:bCs/>
                <w:sz w:val="24"/>
                <w:szCs w:val="22"/>
              </w:rPr>
              <w:t>位于长江最近距离为280m</w:t>
            </w:r>
            <w:r>
              <w:rPr>
                <w:rFonts w:hint="eastAsia" w:ascii="Times New Roman" w:hAnsi="Times New Roman" w:eastAsia="Times New Roman"/>
                <w:b/>
                <w:bCs/>
                <w:sz w:val="24"/>
                <w:szCs w:val="22"/>
                <w:lang w:val="zh-CN"/>
              </w:rPr>
              <w:t>。</w:t>
            </w:r>
            <w:r>
              <w:rPr>
                <w:rFonts w:ascii="Times New Roman" w:hAnsi="Times New Roman" w:eastAsia="Times New Roman"/>
                <w:b/>
                <w:bCs/>
                <w:sz w:val="24"/>
                <w:szCs w:val="22"/>
                <w:lang w:val="zh-CN"/>
              </w:rPr>
              <w:t>本项目</w:t>
            </w:r>
            <w:r>
              <w:rPr>
                <w:rFonts w:hint="eastAsia" w:ascii="Times New Roman" w:hAnsi="Times New Roman"/>
                <w:b/>
                <w:bCs/>
                <w:sz w:val="24"/>
                <w:szCs w:val="22"/>
              </w:rPr>
              <w:t>位于长江最近距离为280m</w:t>
            </w:r>
            <w:r>
              <w:rPr>
                <w:rFonts w:hint="eastAsia" w:ascii="Times New Roman" w:hAnsi="Times New Roman"/>
                <w:b/>
                <w:bCs/>
                <w:sz w:val="24"/>
                <w:szCs w:val="22"/>
                <w:lang w:eastAsia="zh-CN"/>
              </w:rPr>
              <w:t>，选址位于芜湖港三山区，</w:t>
            </w:r>
            <w:r>
              <w:rPr>
                <w:rFonts w:hint="eastAsia" w:ascii="Times New Roman" w:hAnsi="Times New Roman"/>
                <w:b w:val="0"/>
                <w:bCs w:val="0"/>
                <w:sz w:val="24"/>
                <w:szCs w:val="22"/>
                <w:lang w:eastAsia="zh-CN"/>
              </w:rPr>
              <w:t>芜湖港三山区功能定位为：形成以干散货、石油及制品、LNG为主，兼顾件杂货和集装箱等运输的综合性港区，为临港工业、现代物流和清洁能源储运服务，承担装卸、物流仓储、中转配送、临港工业等功能</w:t>
            </w:r>
            <w:r>
              <w:rPr>
                <w:rFonts w:hint="eastAsia" w:ascii="Times New Roman" w:hAnsi="Times New Roman" w:eastAsia="Times New Roman"/>
                <w:b w:val="0"/>
                <w:bCs w:val="0"/>
                <w:sz w:val="24"/>
                <w:szCs w:val="22"/>
                <w:lang w:val="zh-CN"/>
              </w:rPr>
              <w:t>。</w:t>
            </w:r>
            <w:r>
              <w:rPr>
                <w:rFonts w:hint="eastAsia" w:ascii="Times New Roman" w:hAnsi="Times New Roman"/>
                <w:b/>
                <w:bCs/>
                <w:sz w:val="24"/>
                <w:szCs w:val="22"/>
              </w:rPr>
              <w:t>根据1公里范围内要求，本项目属于</w:t>
            </w:r>
            <w:r>
              <w:rPr>
                <w:rFonts w:hint="eastAsia" w:ascii="Times New Roman" w:hAnsi="Times New Roman"/>
                <w:sz w:val="24"/>
                <w:szCs w:val="22"/>
              </w:rPr>
              <w:t>“</w:t>
            </w:r>
            <w:r>
              <w:rPr>
                <w:rFonts w:hint="eastAsia" w:ascii="Times New Roman" w:hAnsi="Times New Roman" w:eastAsia="Times New Roman"/>
                <w:sz w:val="24"/>
                <w:lang w:val="zh-CN"/>
              </w:rPr>
              <w:t>除必须实施的防洪护岸、河道治理、供水、航道整治、港口码头及集疏运通道、道路及跨江桥隧、公共管理、生态环境治理、</w:t>
            </w:r>
            <w:r>
              <w:rPr>
                <w:rFonts w:hint="eastAsia" w:ascii="Times New Roman" w:hAnsi="Times New Roman" w:eastAsia="Times New Roman"/>
                <w:b/>
                <w:bCs/>
                <w:sz w:val="24"/>
                <w:lang w:val="zh-CN"/>
              </w:rPr>
              <w:t>国家及省重要基础设施等事关公共安全及公众利益的建设项目</w:t>
            </w:r>
            <w:r>
              <w:rPr>
                <w:rFonts w:hint="eastAsia" w:ascii="Times New Roman" w:hAnsi="Times New Roman" w:eastAsia="Times New Roman"/>
                <w:sz w:val="24"/>
                <w:lang w:val="zh-CN"/>
              </w:rPr>
              <w:t>，以及环境治理、技术改造升级项目，长江岸线规划、主要支流岸线规划、城（镇）总体规划确定的城市建设区内非工业项目外，不得新批建设项目，不得布局新的工业园区</w:t>
            </w:r>
            <w:r>
              <w:rPr>
                <w:rFonts w:hint="eastAsia" w:ascii="Times New Roman" w:hAnsi="Times New Roman"/>
                <w:sz w:val="24"/>
                <w:szCs w:val="22"/>
              </w:rPr>
              <w:t>”中的生态环境治理行业。</w:t>
            </w:r>
          </w:p>
          <w:p>
            <w:pPr>
              <w:spacing w:line="360" w:lineRule="auto"/>
              <w:ind w:firstLine="480" w:firstLineChars="200"/>
              <w:rPr>
                <w:rFonts w:ascii="Times New Roman" w:hAnsi="Times New Roman"/>
                <w:bCs/>
                <w:sz w:val="24"/>
                <w:szCs w:val="22"/>
              </w:rPr>
            </w:pPr>
            <w:r>
              <w:rPr>
                <w:rFonts w:hint="eastAsia" w:ascii="Times New Roman" w:hAnsi="Times New Roman"/>
                <w:sz w:val="24"/>
                <w:szCs w:val="22"/>
              </w:rPr>
              <w:t>因此，本项目的建设与</w:t>
            </w:r>
            <w:r>
              <w:rPr>
                <w:rFonts w:ascii="Times New Roman" w:hAnsi="Times New Roman"/>
                <w:bCs/>
                <w:sz w:val="24"/>
                <w:szCs w:val="24"/>
                <w:lang w:val="zh-CN"/>
              </w:rPr>
              <w:t>《</w:t>
            </w:r>
            <w:r>
              <w:rPr>
                <w:rFonts w:hint="eastAsia" w:ascii="Times New Roman" w:hAnsi="Times New Roman"/>
                <w:bCs/>
                <w:sz w:val="24"/>
                <w:szCs w:val="24"/>
                <w:lang w:val="zh-CN"/>
              </w:rPr>
              <w:t>中共安徽省委安徽省人民政府关于全面打造水清岸绿产业优美丽长江（芜湖）经济带的实施意见</w:t>
            </w:r>
            <w:r>
              <w:rPr>
                <w:rFonts w:ascii="Times New Roman" w:hAnsi="Times New Roman"/>
                <w:bCs/>
                <w:sz w:val="24"/>
                <w:szCs w:val="24"/>
                <w:lang w:val="zh-CN"/>
              </w:rPr>
              <w:t>》</w:t>
            </w:r>
            <w:r>
              <w:rPr>
                <w:rFonts w:hint="eastAsia" w:ascii="Times New Roman" w:hAnsi="Times New Roman"/>
                <w:bCs/>
                <w:sz w:val="24"/>
                <w:szCs w:val="24"/>
              </w:rPr>
              <w:t>要求相符。</w:t>
            </w:r>
          </w:p>
          <w:p>
            <w:pPr>
              <w:pStyle w:val="19"/>
              <w:spacing w:after="0" w:line="360" w:lineRule="auto"/>
              <w:ind w:left="0" w:leftChars="0" w:firstLine="482" w:firstLineChars="200"/>
              <w:rPr>
                <w:rFonts w:ascii="Times New Roman" w:hAnsi="Times New Roman"/>
                <w:sz w:val="24"/>
                <w:szCs w:val="22"/>
              </w:rPr>
            </w:pPr>
            <w:r>
              <w:rPr>
                <w:rFonts w:ascii="Times New Roman" w:hAnsi="Times New Roman"/>
                <w:b/>
                <w:bCs/>
                <w:sz w:val="24"/>
              </w:rPr>
              <w:t>1</w:t>
            </w:r>
            <w:r>
              <w:rPr>
                <w:rFonts w:hint="eastAsia" w:ascii="Times New Roman" w:hAnsi="Times New Roman"/>
                <w:b/>
                <w:bCs/>
                <w:sz w:val="24"/>
                <w:lang w:val="en-US" w:eastAsia="zh-CN"/>
              </w:rPr>
              <w:t>6</w:t>
            </w:r>
            <w:r>
              <w:rPr>
                <w:rFonts w:ascii="Times New Roman" w:hAnsi="Times New Roman"/>
                <w:b/>
                <w:bCs/>
                <w:sz w:val="24"/>
                <w:szCs w:val="22"/>
              </w:rPr>
              <w:t>、与长江经济带生态环境保护规划相符性分析</w:t>
            </w:r>
          </w:p>
          <w:p>
            <w:pPr>
              <w:pStyle w:val="19"/>
              <w:spacing w:after="0" w:line="360" w:lineRule="auto"/>
              <w:ind w:left="0" w:leftChars="0" w:firstLine="480" w:firstLineChars="200"/>
              <w:rPr>
                <w:rFonts w:ascii="Times New Roman" w:hAnsi="Times New Roman"/>
                <w:sz w:val="24"/>
                <w:szCs w:val="22"/>
              </w:rPr>
            </w:pPr>
            <w:r>
              <w:rPr>
                <w:rFonts w:ascii="Times New Roman" w:hAnsi="Times New Roman"/>
                <w:sz w:val="24"/>
                <w:szCs w:val="22"/>
              </w:rPr>
              <w:t>推进重点领域节水。强化工业节水，以南京、武汉、长沙、重庆、成都等城市为重点，实施高耗水行业生产工艺节水改造，降低单位产品用水量。</w:t>
            </w:r>
          </w:p>
          <w:p>
            <w:pPr>
              <w:pStyle w:val="19"/>
              <w:spacing w:after="0" w:line="360" w:lineRule="auto"/>
              <w:ind w:left="0" w:leftChars="0" w:firstLine="480" w:firstLineChars="200"/>
              <w:rPr>
                <w:rFonts w:ascii="Times New Roman" w:hAnsi="Times New Roman"/>
                <w:sz w:val="24"/>
                <w:szCs w:val="22"/>
              </w:rPr>
            </w:pPr>
            <w:r>
              <w:rPr>
                <w:rFonts w:ascii="Times New Roman" w:hAnsi="Times New Roman"/>
                <w:sz w:val="24"/>
                <w:szCs w:val="22"/>
              </w:rPr>
              <w:t>划定并严守生态保护红线。生态保护红线原则上按禁止开发区域的要求进行管理，严禁不符合主体功能定位的各类开发活动，严禁任意改变用途。</w:t>
            </w:r>
          </w:p>
          <w:p>
            <w:pPr>
              <w:pStyle w:val="19"/>
              <w:spacing w:after="0" w:line="360" w:lineRule="auto"/>
              <w:ind w:left="0" w:leftChars="0" w:firstLine="480" w:firstLineChars="200"/>
              <w:rPr>
                <w:rFonts w:ascii="Times New Roman" w:hAnsi="Times New Roman"/>
                <w:sz w:val="24"/>
                <w:szCs w:val="22"/>
              </w:rPr>
            </w:pPr>
            <w:r>
              <w:rPr>
                <w:rFonts w:ascii="Times New Roman" w:hAnsi="Times New Roman"/>
                <w:sz w:val="24"/>
                <w:szCs w:val="22"/>
              </w:rPr>
              <w:t>全面推进长江经济带126个地级及以上城市空气质量限期达标工作，已达标城市空气质量进一步巩固，未达标城市要制定并实施分阶段达标计划。完善大气污染物排放总量控制制度，加强二氧化硫、氮氧化物、烟粉尘、挥发性有机物等主要污染物综合防治。</w:t>
            </w:r>
          </w:p>
          <w:p>
            <w:pPr>
              <w:pStyle w:val="19"/>
              <w:spacing w:after="0" w:line="360" w:lineRule="auto"/>
              <w:ind w:left="0" w:leftChars="0" w:firstLine="480" w:firstLineChars="200"/>
              <w:rPr>
                <w:rFonts w:ascii="Times New Roman" w:hAnsi="Times New Roman"/>
                <w:sz w:val="24"/>
                <w:szCs w:val="22"/>
              </w:rPr>
            </w:pPr>
            <w:r>
              <w:rPr>
                <w:rFonts w:ascii="Times New Roman" w:hAnsi="Times New Roman"/>
                <w:sz w:val="24"/>
                <w:szCs w:val="22"/>
              </w:rPr>
              <w:t>禁止在长江干流自然保护区、风景名胜区、“四大家鱼”产卵场等管控重点区域新建工业类和污染类项目。</w:t>
            </w:r>
          </w:p>
          <w:p>
            <w:pPr>
              <w:pStyle w:val="19"/>
              <w:spacing w:after="0" w:line="360" w:lineRule="auto"/>
              <w:ind w:left="0" w:leftChars="0" w:firstLine="482" w:firstLineChars="200"/>
              <w:rPr>
                <w:rFonts w:ascii="Times New Roman" w:hAnsi="Times New Roman"/>
                <w:b/>
                <w:bCs/>
                <w:sz w:val="24"/>
                <w:szCs w:val="22"/>
              </w:rPr>
            </w:pPr>
            <w:r>
              <w:rPr>
                <w:rFonts w:hint="eastAsia" w:ascii="Times New Roman" w:hAnsi="Times New Roman"/>
                <w:b/>
                <w:bCs/>
                <w:sz w:val="24"/>
                <w:szCs w:val="22"/>
              </w:rPr>
              <w:t>本项目项目所属行业为天然气生产和供应业，施工期污染较小且周期短，施工结束后对周围环境将产生积极有益的影响</w:t>
            </w:r>
            <w:r>
              <w:rPr>
                <w:rFonts w:ascii="Times New Roman" w:hAnsi="Times New Roman"/>
                <w:b/>
                <w:bCs/>
                <w:sz w:val="24"/>
                <w:szCs w:val="22"/>
              </w:rPr>
              <w:t>。项目不在安徽省生态保护红线范围内，本项目位于</w:t>
            </w:r>
            <w:r>
              <w:rPr>
                <w:rFonts w:hint="eastAsia" w:ascii="Times New Roman" w:hAnsi="Times New Roman"/>
                <w:b/>
                <w:bCs/>
                <w:sz w:val="24"/>
                <w:szCs w:val="22"/>
              </w:rPr>
              <w:t>芜湖三山经济开发区境内</w:t>
            </w:r>
            <w:r>
              <w:rPr>
                <w:rFonts w:ascii="Times New Roman" w:hAnsi="Times New Roman"/>
                <w:b/>
                <w:bCs/>
                <w:sz w:val="24"/>
                <w:szCs w:val="22"/>
              </w:rPr>
              <w:t>，芜湖市属于长江经济带126个地级及以上城市之一，项目用地不涉及长江干流自然保护区、风景名胜区、“四大家鱼”产卵场等管控重点区。</w:t>
            </w:r>
          </w:p>
          <w:p>
            <w:pPr>
              <w:spacing w:line="360" w:lineRule="auto"/>
              <w:ind w:firstLine="482" w:firstLineChars="200"/>
              <w:rPr>
                <w:rFonts w:ascii="Times New Roman" w:hAnsi="Times New Roman"/>
                <w:b/>
                <w:sz w:val="24"/>
                <w:szCs w:val="24"/>
              </w:rPr>
            </w:pPr>
            <w:r>
              <w:rPr>
                <w:rFonts w:ascii="Times New Roman" w:hAnsi="Times New Roman"/>
                <w:b/>
                <w:sz w:val="24"/>
                <w:szCs w:val="24"/>
              </w:rPr>
              <w:t>1</w:t>
            </w:r>
            <w:r>
              <w:rPr>
                <w:rFonts w:hint="eastAsia" w:ascii="Times New Roman" w:hAnsi="Times New Roman"/>
                <w:b/>
                <w:sz w:val="24"/>
                <w:szCs w:val="24"/>
                <w:lang w:val="en-US" w:eastAsia="zh-CN"/>
              </w:rPr>
              <w:t>6</w:t>
            </w:r>
            <w:r>
              <w:rPr>
                <w:rFonts w:ascii="Times New Roman" w:hAnsi="Times New Roman"/>
                <w:b/>
                <w:sz w:val="24"/>
                <w:szCs w:val="24"/>
              </w:rPr>
              <w:t>、项目“三线一单”符合性分析</w:t>
            </w:r>
          </w:p>
          <w:p>
            <w:pPr>
              <w:pStyle w:val="19"/>
              <w:spacing w:after="0" w:line="360" w:lineRule="auto"/>
              <w:ind w:left="0" w:leftChars="0" w:firstLine="480" w:firstLineChars="200"/>
              <w:rPr>
                <w:rFonts w:ascii="Times New Roman" w:hAnsi="Times New Roman"/>
                <w:sz w:val="24"/>
                <w:szCs w:val="22"/>
              </w:rPr>
            </w:pPr>
            <w:r>
              <w:rPr>
                <w:rFonts w:ascii="Times New Roman" w:hAnsi="Times New Roman"/>
                <w:sz w:val="24"/>
                <w:szCs w:val="22"/>
              </w:rPr>
              <w:t>根据环境保护部2016年10月27日下发的《关于以改善环境质量为核心加强环境影响评价管理的通知》( 环环评[2016]150号)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本项目的“三线一单”符合性分析如下:</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（1）生态保护红线</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本项目位于芜湖港三山区，本项目在设计方案由可研阶段至初步设计阶段的不断加深的工程中，项目方案不断的优化调整选线、主动避让生态保护红线区域。</w:t>
            </w:r>
            <w:r>
              <w:rPr>
                <w:rFonts w:hint="eastAsia" w:ascii="Times New Roman" w:hAnsi="Times New Roman" w:cs="Times New Roman"/>
                <w:kern w:val="2"/>
                <w:sz w:val="24"/>
                <w:szCs w:val="22"/>
                <w:lang w:val="en-US" w:eastAsia="zh-CN" w:bidi="ar-SA"/>
              </w:rPr>
              <w:t>高安站、横山分输站</w:t>
            </w:r>
            <w:r>
              <w:rPr>
                <w:rFonts w:hint="eastAsia" w:ascii="Times New Roman" w:hAnsi="Times New Roman" w:eastAsia="宋体" w:cs="Times New Roman"/>
                <w:kern w:val="2"/>
                <w:sz w:val="24"/>
                <w:szCs w:val="22"/>
                <w:lang w:val="en-US" w:eastAsia="zh-CN" w:bidi="ar-SA"/>
              </w:rPr>
              <w:t>用地红线不占用生态保护红线；线路临时占地（线路占用生态保护红线查询范围按线路路由施工作业带12m，邻近生态红线施工作业带按1</w:t>
            </w:r>
            <w:r>
              <w:rPr>
                <w:rFonts w:hint="eastAsia" w:ascii="Times New Roman" w:hAnsi="Times New Roman" w:cs="Times New Roman"/>
                <w:kern w:val="2"/>
                <w:sz w:val="24"/>
                <w:szCs w:val="22"/>
                <w:lang w:val="en-US" w:eastAsia="zh-CN" w:bidi="ar-SA"/>
              </w:rPr>
              <w:t>6</w:t>
            </w:r>
            <w:r>
              <w:rPr>
                <w:rFonts w:hint="eastAsia" w:ascii="Times New Roman" w:hAnsi="Times New Roman" w:eastAsia="宋体" w:cs="Times New Roman"/>
                <w:kern w:val="2"/>
                <w:sz w:val="24"/>
                <w:szCs w:val="22"/>
                <w:lang w:val="en-US" w:eastAsia="zh-CN" w:bidi="ar-SA"/>
              </w:rPr>
              <w:t>m计）不占用生态保护红线，</w:t>
            </w:r>
            <w:r>
              <w:rPr>
                <w:rFonts w:hint="eastAsia" w:ascii="Times New Roman" w:hAnsi="Times New Roman" w:cs="Times New Roman"/>
                <w:kern w:val="2"/>
                <w:sz w:val="24"/>
                <w:szCs w:val="22"/>
                <w:lang w:val="en-US" w:eastAsia="zh-CN" w:bidi="ar-SA"/>
              </w:rPr>
              <w:t>高安站距离长江生态保护岸线最近距离为2.8km，横山站距离漳河生态保护红线最近距离为16.2km</w:t>
            </w:r>
            <w:r>
              <w:rPr>
                <w:rFonts w:hint="eastAsia" w:ascii="Times New Roman" w:hAnsi="Times New Roman" w:eastAsia="宋体" w:cs="Times New Roman"/>
                <w:kern w:val="2"/>
                <w:sz w:val="24"/>
                <w:szCs w:val="22"/>
                <w:lang w:val="en-US" w:eastAsia="zh-CN" w:bidi="ar-SA"/>
              </w:rPr>
              <w:t>，对照《安徽省生态保护红线》（发布稿）及芜湖市生态保护红线区域分布图，本项目建设用地不属于安徽省生态保护红线划定红线范围内。项目</w:t>
            </w:r>
            <w:r>
              <w:rPr>
                <w:rFonts w:hint="eastAsia" w:ascii="Times New Roman" w:hAnsi="Times New Roman" w:cs="Times New Roman"/>
                <w:kern w:val="2"/>
                <w:sz w:val="24"/>
                <w:szCs w:val="22"/>
                <w:lang w:val="en-US" w:eastAsia="zh-CN" w:bidi="ar-SA"/>
              </w:rPr>
              <w:t>高安分输站</w:t>
            </w:r>
            <w:r>
              <w:rPr>
                <w:rFonts w:hint="eastAsia" w:ascii="Times New Roman" w:hAnsi="Times New Roman" w:eastAsia="宋体" w:cs="Times New Roman"/>
                <w:kern w:val="2"/>
                <w:sz w:val="24"/>
                <w:szCs w:val="22"/>
                <w:lang w:val="en-US" w:eastAsia="zh-CN" w:bidi="ar-SA"/>
              </w:rPr>
              <w:t>所在地</w:t>
            </w:r>
            <w:r>
              <w:rPr>
                <w:rFonts w:hint="eastAsia" w:ascii="Times New Roman" w:hAnsi="Times New Roman" w:cs="Times New Roman"/>
                <w:kern w:val="2"/>
                <w:sz w:val="24"/>
                <w:szCs w:val="22"/>
                <w:lang w:val="en-US" w:eastAsia="zh-CN" w:bidi="ar-SA"/>
              </w:rPr>
              <w:t>距离</w:t>
            </w:r>
            <w:r>
              <w:rPr>
                <w:rFonts w:hint="eastAsia" w:ascii="Times New Roman" w:hAnsi="Times New Roman" w:eastAsia="宋体" w:cs="Times New Roman"/>
                <w:kern w:val="2"/>
                <w:sz w:val="24"/>
                <w:szCs w:val="22"/>
                <w:lang w:val="en-US" w:eastAsia="zh-CN" w:bidi="ar-SA"/>
              </w:rPr>
              <w:t>安徽省生态保护红线的位置关系见图。</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ascii="Times New Roman" w:hAnsi="Times New Roman"/>
                <w:b/>
                <w:sz w:val="24"/>
                <w:szCs w:val="24"/>
              </w:rPr>
            </w:pPr>
            <w:r>
              <w:drawing>
                <wp:inline distT="0" distB="0" distL="114300" distR="114300">
                  <wp:extent cx="5730240" cy="3960495"/>
                  <wp:effectExtent l="0" t="0" r="3810" b="190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9"/>
                          <a:stretch>
                            <a:fillRect/>
                          </a:stretch>
                        </pic:blipFill>
                        <pic:spPr>
                          <a:xfrm>
                            <a:off x="0" y="0"/>
                            <a:ext cx="5730240" cy="3960495"/>
                          </a:xfrm>
                          <a:prstGeom prst="rect">
                            <a:avLst/>
                          </a:prstGeom>
                          <a:noFill/>
                          <a:ln>
                            <a:noFill/>
                          </a:ln>
                        </pic:spPr>
                      </pic:pic>
                    </a:graphicData>
                  </a:graphic>
                </wp:inline>
              </w:drawing>
            </w:r>
          </w:p>
          <w:p>
            <w:pPr>
              <w:spacing w:line="360" w:lineRule="auto"/>
              <w:ind w:firstLine="482" w:firstLineChars="200"/>
              <w:jc w:val="center"/>
              <w:rPr>
                <w:rFonts w:ascii="Times New Roman" w:hAnsi="Times New Roman"/>
                <w:b/>
                <w:sz w:val="24"/>
                <w:szCs w:val="24"/>
              </w:rPr>
            </w:pPr>
            <w:r>
              <w:rPr>
                <w:rFonts w:hint="eastAsia" w:ascii="Times New Roman" w:hAnsi="Times New Roman"/>
                <w:b/>
                <w:sz w:val="24"/>
                <w:szCs w:val="24"/>
              </w:rPr>
              <w:t>图</w:t>
            </w:r>
            <w:r>
              <w:rPr>
                <w:rFonts w:hint="eastAsia" w:ascii="Times New Roman" w:hAnsi="Times New Roman"/>
                <w:b/>
                <w:sz w:val="24"/>
                <w:szCs w:val="24"/>
                <w:lang w:val="en-US" w:eastAsia="zh-CN"/>
              </w:rPr>
              <w:t>1-2  本项目高安站</w:t>
            </w:r>
            <w:r>
              <w:rPr>
                <w:rFonts w:hint="eastAsia" w:ascii="Times New Roman" w:hAnsi="Times New Roman"/>
                <w:b/>
                <w:sz w:val="24"/>
                <w:szCs w:val="24"/>
              </w:rPr>
              <w:t>所在地与安徽省生态保护红线的位置关系示意图</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（2）环境质量底线</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①环境空气</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根据芜湖市201</w:t>
            </w:r>
            <w:r>
              <w:rPr>
                <w:rFonts w:hint="eastAsia" w:ascii="Times New Roman" w:hAnsi="Times New Roman" w:cs="Times New Roman"/>
                <w:kern w:val="2"/>
                <w:sz w:val="24"/>
                <w:szCs w:val="22"/>
                <w:lang w:val="en-US" w:eastAsia="zh-CN" w:bidi="ar-SA"/>
              </w:rPr>
              <w:t xml:space="preserve">9 </w:t>
            </w:r>
            <w:r>
              <w:rPr>
                <w:rFonts w:hint="eastAsia" w:ascii="Times New Roman" w:hAnsi="Times New Roman" w:eastAsia="宋体" w:cs="Times New Roman"/>
                <w:kern w:val="2"/>
                <w:sz w:val="24"/>
                <w:szCs w:val="22"/>
                <w:lang w:val="en-US" w:eastAsia="zh-CN" w:bidi="ar-SA"/>
              </w:rPr>
              <w:t>年环境空气质量公报，芜湖市为不达标区，不达标因子为</w:t>
            </w:r>
            <w:r>
              <w:rPr>
                <w:rFonts w:ascii="Times New Roman" w:hAnsi="Times New Roman"/>
                <w:kern w:val="0"/>
                <w:sz w:val="24"/>
              </w:rPr>
              <w:t>NO</w:t>
            </w:r>
            <w:r>
              <w:rPr>
                <w:rFonts w:ascii="Times New Roman" w:hAnsi="Times New Roman"/>
                <w:kern w:val="0"/>
                <w:sz w:val="24"/>
                <w:vertAlign w:val="subscript"/>
              </w:rPr>
              <w:t>2</w:t>
            </w:r>
            <w:r>
              <w:rPr>
                <w:rFonts w:ascii="Times New Roman" w:hAnsi="Times New Roman"/>
                <w:kern w:val="0"/>
                <w:sz w:val="24"/>
              </w:rPr>
              <w:t>、PM</w:t>
            </w:r>
            <w:r>
              <w:rPr>
                <w:rFonts w:ascii="Times New Roman" w:hAnsi="Times New Roman"/>
                <w:kern w:val="0"/>
                <w:sz w:val="24"/>
                <w:vertAlign w:val="subscript"/>
              </w:rPr>
              <w:t>10</w:t>
            </w:r>
            <w:r>
              <w:rPr>
                <w:rFonts w:ascii="Times New Roman" w:hAnsi="Times New Roman"/>
                <w:kern w:val="0"/>
                <w:sz w:val="24"/>
              </w:rPr>
              <w:t>、PM</w:t>
            </w:r>
            <w:r>
              <w:rPr>
                <w:rFonts w:ascii="Times New Roman" w:hAnsi="Times New Roman"/>
                <w:kern w:val="0"/>
                <w:sz w:val="24"/>
                <w:vertAlign w:val="subscript"/>
              </w:rPr>
              <w:t>2.5</w:t>
            </w:r>
            <w:r>
              <w:rPr>
                <w:rFonts w:ascii="Times New Roman" w:hAnsi="Times New Roman"/>
                <w:kern w:val="0"/>
                <w:sz w:val="24"/>
              </w:rPr>
              <w:t>和O</w:t>
            </w:r>
            <w:r>
              <w:rPr>
                <w:rFonts w:ascii="Times New Roman" w:hAnsi="Times New Roman"/>
                <w:kern w:val="0"/>
                <w:sz w:val="24"/>
                <w:vertAlign w:val="subscript"/>
              </w:rPr>
              <w:t>3</w:t>
            </w:r>
            <w:r>
              <w:rPr>
                <w:rFonts w:hint="eastAsia" w:ascii="Times New Roman" w:hAnsi="Times New Roman" w:eastAsia="宋体" w:cs="Times New Roman"/>
                <w:kern w:val="2"/>
                <w:sz w:val="24"/>
                <w:szCs w:val="22"/>
                <w:lang w:val="en-US" w:eastAsia="zh-CN" w:bidi="ar-SA"/>
              </w:rPr>
              <w:t>。本项目排放的污染物主要为非甲烷总烃，根据预测结果，正常生产情况下，各污染物最大落地点浓度均远远小于其相应浓度标准限值，项目对评价区环境敏感目标影响较小。</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本项目的建设运营能够增加区域内天然气的供应，能够加大天然气替代燃煤和燃油的规模，可以减少二氧化硫、烟尘的排放量，减少了区域废气污染源排放量，能够在一定程度上改善区域内大气环境质量。</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②地表水环境环境</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b w:val="0"/>
                <w:bCs/>
                <w:sz w:val="24"/>
                <w:szCs w:val="24"/>
                <w:lang w:val="en-US" w:eastAsia="zh-CN"/>
              </w:rPr>
              <w:t>根据引用的</w:t>
            </w:r>
            <w:r>
              <w:rPr>
                <w:rFonts w:hint="eastAsia" w:ascii="Times New Roman" w:hAnsi="Times New Roman"/>
                <w:b w:val="0"/>
                <w:bCs/>
                <w:sz w:val="24"/>
                <w:szCs w:val="24"/>
              </w:rPr>
              <w:t>地表水环境质量现状评价结果表明，长江pH、DO、COD、BOD、氨氮、总磷及石油类均满足《地表水环境</w:t>
            </w:r>
            <w:r>
              <w:rPr>
                <w:rFonts w:hint="eastAsia" w:ascii="Times New Roman" w:hAnsi="Times New Roman" w:eastAsia="宋体" w:cs="Times New Roman"/>
                <w:kern w:val="2"/>
                <w:sz w:val="24"/>
                <w:szCs w:val="22"/>
                <w:lang w:val="en-US" w:eastAsia="zh-CN" w:bidi="ar-SA"/>
              </w:rPr>
              <w:t>质量标准》（GB3838-2002）Ⅲ类水质标准。</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③声环境</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拟建项目所在区域厂界测点昼、夜间等效声级值均达到《声环境质量标准》（GB3096-2008）3类标准，村庄居民点声环境质量现状能够满足2类标准要求，表明拟建项目所在区域声环境质量状况良好。</w:t>
            </w:r>
          </w:p>
          <w:p>
            <w:pPr>
              <w:spacing w:line="360" w:lineRule="auto"/>
              <w:ind w:firstLine="480" w:firstLineChars="200"/>
              <w:jc w:val="both"/>
              <w:rPr>
                <w:rFonts w:hint="eastAsia" w:ascii="Times New Roman" w:hAnsi="Times New Roman" w:eastAsia="宋体" w:cs="Times New Roman"/>
                <w:kern w:val="2"/>
                <w:sz w:val="24"/>
                <w:szCs w:val="22"/>
                <w:lang w:val="en-US" w:eastAsia="zh-CN" w:bidi="ar-SA"/>
              </w:rPr>
            </w:pPr>
            <w:r>
              <w:rPr>
                <w:rFonts w:hint="eastAsia" w:ascii="Times New Roman" w:hAnsi="Times New Roman" w:cs="Times New Roman"/>
                <w:kern w:val="2"/>
                <w:sz w:val="24"/>
                <w:szCs w:val="22"/>
                <w:lang w:val="en-US" w:eastAsia="zh-CN" w:bidi="ar-SA"/>
              </w:rPr>
              <w:t>（3）</w:t>
            </w:r>
            <w:r>
              <w:rPr>
                <w:rFonts w:hint="eastAsia" w:ascii="Times New Roman" w:hAnsi="Times New Roman" w:eastAsia="宋体" w:cs="Times New Roman"/>
                <w:kern w:val="2"/>
                <w:sz w:val="24"/>
                <w:szCs w:val="22"/>
                <w:lang w:val="en-US" w:eastAsia="zh-CN" w:bidi="ar-SA"/>
              </w:rPr>
              <w:t>资源利用上线</w:t>
            </w:r>
          </w:p>
          <w:p>
            <w:pPr>
              <w:spacing w:line="360" w:lineRule="auto"/>
              <w:ind w:firstLine="480" w:firstLineChars="200"/>
              <w:jc w:val="both"/>
              <w:rPr>
                <w:rFonts w:hint="eastAsia" w:ascii="Times New Roman" w:hAnsi="Times New Roman" w:eastAsia="宋体" w:cs="Times New Roman"/>
                <w:b w:val="0"/>
                <w:bCs w:val="0"/>
                <w:kern w:val="2"/>
                <w:sz w:val="24"/>
                <w:szCs w:val="22"/>
                <w:lang w:val="en-US" w:eastAsia="zh-CN" w:bidi="ar-SA"/>
              </w:rPr>
            </w:pPr>
            <w:r>
              <w:rPr>
                <w:rFonts w:hint="eastAsia" w:ascii="Times New Roman" w:hAnsi="Times New Roman" w:eastAsia="宋体" w:cs="Times New Roman"/>
                <w:kern w:val="2"/>
                <w:sz w:val="24"/>
                <w:szCs w:val="22"/>
                <w:lang w:val="en-US" w:eastAsia="zh-CN" w:bidi="ar-SA"/>
              </w:rPr>
              <w:t>本</w:t>
            </w:r>
            <w:r>
              <w:rPr>
                <w:rFonts w:hint="eastAsia" w:ascii="Times New Roman" w:hAnsi="Times New Roman" w:eastAsia="宋体" w:cs="Times New Roman"/>
                <w:b w:val="0"/>
                <w:bCs w:val="0"/>
                <w:kern w:val="2"/>
                <w:sz w:val="24"/>
                <w:szCs w:val="22"/>
                <w:lang w:val="en-US" w:eastAsia="zh-CN" w:bidi="ar-SA"/>
              </w:rPr>
              <w:t>项目属于清洁能源供应保障项目，因此，本项目无资源利用上线制约。</w:t>
            </w:r>
          </w:p>
          <w:p>
            <w:pPr>
              <w:numPr>
                <w:ilvl w:val="0"/>
                <w:numId w:val="6"/>
              </w:numPr>
              <w:spacing w:line="360" w:lineRule="auto"/>
              <w:ind w:firstLine="480" w:firstLineChars="200"/>
              <w:jc w:val="both"/>
              <w:rPr>
                <w:rFonts w:hint="eastAsia" w:ascii="Times New Roman" w:hAnsi="Times New Roman" w:eastAsia="宋体"/>
                <w:b w:val="0"/>
                <w:bCs w:val="0"/>
                <w:sz w:val="24"/>
                <w:szCs w:val="24"/>
                <w:lang w:eastAsia="zh-CN"/>
              </w:rPr>
            </w:pPr>
            <w:r>
              <w:rPr>
                <w:rFonts w:hint="eastAsia" w:ascii="Times New Roman" w:hAnsi="Times New Roman" w:eastAsia="宋体"/>
                <w:b w:val="0"/>
                <w:bCs w:val="0"/>
                <w:sz w:val="24"/>
                <w:szCs w:val="24"/>
                <w:lang w:eastAsia="zh-CN"/>
              </w:rPr>
              <w:t>环境准入负面清单</w:t>
            </w:r>
          </w:p>
          <w:p>
            <w:pPr>
              <w:numPr>
                <w:ilvl w:val="0"/>
                <w:numId w:val="0"/>
              </w:numPr>
              <w:spacing w:line="360" w:lineRule="auto"/>
              <w:ind w:firstLine="480" w:firstLineChars="200"/>
              <w:jc w:val="both"/>
              <w:rPr>
                <w:rFonts w:hint="eastAsia" w:ascii="Times New Roman" w:hAnsi="Times New Roman"/>
                <w:b w:val="0"/>
                <w:bCs w:val="0"/>
                <w:sz w:val="24"/>
                <w:szCs w:val="24"/>
              </w:rPr>
            </w:pPr>
            <w:r>
              <w:rPr>
                <w:rFonts w:hint="eastAsia" w:ascii="Times New Roman" w:hAnsi="Times New Roman"/>
                <w:b w:val="0"/>
                <w:bCs w:val="0"/>
                <w:sz w:val="24"/>
                <w:szCs w:val="24"/>
              </w:rPr>
              <w:t>拟建项目属于《产业结构调整指导目录2019年本》中“第一类鼓励类”的“七、石油、天然气”中的“3、原油、天然气、液化天然气、成品油的储运和管道输送设施及网络建设”。拟建项目属于《安徽省工业产业结构调整指导目录（2007年本）》中“三、石油、天然气、化工”中鼓励类“1、原油、天然气、成品油的储运和管道输送设施及网络建设”。拟建项目符合国家及安徽省当前产业政策。</w:t>
            </w:r>
          </w:p>
          <w:p>
            <w:pPr>
              <w:numPr>
                <w:ilvl w:val="0"/>
                <w:numId w:val="0"/>
              </w:numPr>
              <w:spacing w:line="360" w:lineRule="auto"/>
              <w:ind w:firstLine="480" w:firstLineChars="200"/>
              <w:jc w:val="both"/>
              <w:rPr>
                <w:rFonts w:hint="eastAsia" w:ascii="Times New Roman" w:hAnsi="Times New Roman"/>
                <w:b w:val="0"/>
                <w:bCs w:val="0"/>
                <w:sz w:val="24"/>
                <w:szCs w:val="24"/>
              </w:rPr>
            </w:pPr>
            <w:r>
              <w:rPr>
                <w:rFonts w:hint="eastAsia" w:ascii="Times New Roman" w:hAnsi="Times New Roman"/>
                <w:b w:val="0"/>
                <w:bCs w:val="0"/>
                <w:sz w:val="24"/>
                <w:szCs w:val="24"/>
              </w:rPr>
              <w:t>从空间布局约束、污染物排放管控、环境风险防控、资源利用效率等方面分析：</w:t>
            </w:r>
          </w:p>
          <w:p>
            <w:pPr>
              <w:spacing w:line="360" w:lineRule="auto"/>
              <w:ind w:firstLine="480" w:firstLineChars="200"/>
              <w:jc w:val="both"/>
              <w:rPr>
                <w:rFonts w:hint="eastAsia" w:ascii="Times New Roman" w:hAnsi="Times New Roman"/>
                <w:b w:val="0"/>
                <w:bCs w:val="0"/>
                <w:sz w:val="24"/>
                <w:szCs w:val="24"/>
              </w:rPr>
            </w:pPr>
            <w:r>
              <w:rPr>
                <w:rFonts w:hint="eastAsia" w:ascii="Times New Roman" w:hAnsi="Times New Roman"/>
                <w:b w:val="0"/>
                <w:bCs w:val="0"/>
                <w:sz w:val="24"/>
                <w:szCs w:val="24"/>
              </w:rPr>
              <w:t>①本项目属于清洁能源供应保障项目，项目产业定位及用地布局符合规划要求，因此从空间布局上不会被列入负面清单；</w:t>
            </w:r>
          </w:p>
          <w:p>
            <w:pPr>
              <w:spacing w:line="360" w:lineRule="auto"/>
              <w:ind w:firstLine="480" w:firstLineChars="200"/>
              <w:jc w:val="both"/>
              <w:rPr>
                <w:rFonts w:hint="eastAsia" w:ascii="Times New Roman" w:hAnsi="Times New Roman"/>
                <w:b w:val="0"/>
                <w:bCs w:val="0"/>
                <w:sz w:val="24"/>
                <w:szCs w:val="24"/>
              </w:rPr>
            </w:pPr>
            <w:r>
              <w:rPr>
                <w:rFonts w:hint="eastAsia" w:ascii="Times New Roman" w:hAnsi="Times New Roman"/>
                <w:b w:val="0"/>
                <w:bCs w:val="0"/>
                <w:sz w:val="24"/>
                <w:szCs w:val="24"/>
              </w:rPr>
              <w:t>②大气污染物、水污染物排放强度较低，采取报告中所列的环境污染防治措施后，大气环境和水环境影响可接受，因此，从污染物排放管控角度分析不会被列入负面清单；</w:t>
            </w:r>
          </w:p>
          <w:p>
            <w:pPr>
              <w:spacing w:line="360" w:lineRule="auto"/>
              <w:ind w:firstLine="480" w:firstLineChars="200"/>
              <w:jc w:val="both"/>
              <w:rPr>
                <w:rFonts w:hint="eastAsia" w:ascii="Times New Roman" w:hAnsi="Times New Roman"/>
                <w:b w:val="0"/>
                <w:bCs w:val="0"/>
                <w:sz w:val="24"/>
                <w:szCs w:val="24"/>
              </w:rPr>
            </w:pPr>
            <w:r>
              <w:rPr>
                <w:rFonts w:hint="eastAsia" w:ascii="Times New Roman" w:hAnsi="Times New Roman"/>
                <w:b w:val="0"/>
                <w:bCs w:val="0"/>
                <w:sz w:val="24"/>
                <w:szCs w:val="24"/>
              </w:rPr>
              <w:t>③本项目的环境风险物质主要是易燃及有毒物质，根据设定的泄漏及火灾爆炸事故情景预测，项目厂界外未出现危险物质的毒性终点浓度，采取各类风险控制措施后，环境风险可控；项目不对外环境排放含有毒有害物质的废水，在采取以上措施的前提下，从环境风险防控角度项目不会被列入负面清单。</w:t>
            </w:r>
          </w:p>
          <w:p>
            <w:pPr>
              <w:spacing w:line="360" w:lineRule="auto"/>
              <w:ind w:firstLine="480" w:firstLineChars="200"/>
              <w:jc w:val="both"/>
              <w:rPr>
                <w:rFonts w:hint="eastAsia" w:ascii="Times New Roman" w:hAnsi="Times New Roman"/>
                <w:b w:val="0"/>
                <w:bCs w:val="0"/>
                <w:sz w:val="24"/>
                <w:szCs w:val="24"/>
              </w:rPr>
            </w:pPr>
            <w:r>
              <w:rPr>
                <w:rFonts w:hint="eastAsia" w:ascii="Times New Roman" w:hAnsi="Times New Roman"/>
                <w:b w:val="0"/>
                <w:bCs w:val="0"/>
                <w:sz w:val="24"/>
                <w:szCs w:val="24"/>
              </w:rPr>
              <w:t>④本项目属于清洁能源供应保障项目，用水量仅为站场人员生活饮用水，用水量很少，不涉及其他能源利用。因此，从资源利用效率角度不会被列入负面清单。</w:t>
            </w: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spacing w:line="360" w:lineRule="auto"/>
              <w:ind w:firstLine="480" w:firstLineChars="200"/>
              <w:jc w:val="both"/>
              <w:rPr>
                <w:rFonts w:hint="eastAsia" w:ascii="Times New Roman" w:hAnsi="Times New Roman"/>
                <w:b w:val="0"/>
                <w:bCs w:val="0"/>
                <w:sz w:val="24"/>
                <w:szCs w:val="24"/>
              </w:rPr>
            </w:pPr>
          </w:p>
          <w:p>
            <w:pPr>
              <w:pStyle w:val="19"/>
              <w:spacing w:after="0" w:line="360" w:lineRule="auto"/>
              <w:ind w:left="0" w:leftChars="0"/>
              <w:rPr>
                <w:rFonts w:ascii="Times New Roman" w:hAnsi="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jc w:val="center"/>
        </w:trPr>
        <w:tc>
          <w:tcPr>
            <w:tcW w:w="9242" w:type="dxa"/>
            <w:gridSpan w:val="6"/>
            <w:tcBorders>
              <w:top w:val="single" w:color="auto" w:sz="4" w:space="0"/>
            </w:tcBorders>
          </w:tcPr>
          <w:p>
            <w:pPr>
              <w:spacing w:line="360" w:lineRule="auto"/>
              <w:rPr>
                <w:rFonts w:ascii="Times New Roman" w:hAnsi="Times New Roman"/>
                <w:b/>
                <w:color w:val="000000"/>
                <w:sz w:val="28"/>
                <w:szCs w:val="28"/>
              </w:rPr>
            </w:pPr>
            <w:r>
              <w:rPr>
                <w:rFonts w:ascii="Times New Roman" w:hAnsi="Times New Roman"/>
                <w:b/>
                <w:color w:val="000000"/>
                <w:sz w:val="28"/>
                <w:szCs w:val="28"/>
              </w:rPr>
              <w:t>与本项目有关的原有污染情况及主要环境问题：</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本项目为新建项目，站场及管道所占用地均为空地，没有与本项目有关的原有污染情况。</w:t>
            </w: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ind w:firstLine="480" w:firstLineChars="200"/>
              <w:rPr>
                <w:rFonts w:ascii="Times New Roman" w:hAnsi="Times New Roman"/>
                <w:color w:val="000000"/>
                <w:sz w:val="24"/>
              </w:rPr>
            </w:pPr>
          </w:p>
          <w:p>
            <w:pPr>
              <w:spacing w:line="360" w:lineRule="auto"/>
              <w:rPr>
                <w:rFonts w:ascii="Times New Roman" w:hAnsi="Times New Roman"/>
                <w:color w:val="000000"/>
                <w:sz w:val="24"/>
              </w:rPr>
            </w:pPr>
          </w:p>
          <w:p>
            <w:pPr>
              <w:spacing w:line="360" w:lineRule="auto"/>
              <w:ind w:firstLine="480" w:firstLineChars="200"/>
              <w:rPr>
                <w:rFonts w:ascii="Times New Roman" w:hAnsi="Times New Roman"/>
                <w:color w:val="000000"/>
                <w:sz w:val="24"/>
              </w:rPr>
            </w:pPr>
          </w:p>
        </w:tc>
      </w:tr>
    </w:tbl>
    <w:p>
      <w:pPr>
        <w:pStyle w:val="2"/>
        <w:rPr>
          <w:rFonts w:ascii="Times New Roman" w:hAnsi="Times New Roman"/>
        </w:rPr>
      </w:pPr>
      <w:r>
        <w:rPr>
          <w:rFonts w:ascii="Times New Roman" w:hAnsi="Times New Roman"/>
        </w:rPr>
        <w:t>建设项目所在地自然环境简况</w:t>
      </w:r>
    </w:p>
    <w:tbl>
      <w:tblPr>
        <w:tblStyle w:val="3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2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8" w:hRule="atLeast"/>
          <w:jc w:val="center"/>
        </w:trPr>
        <w:tc>
          <w:tcPr>
            <w:tcW w:w="9242"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b/>
                <w:color w:val="000000"/>
                <w:spacing w:val="-6"/>
                <w:sz w:val="28"/>
              </w:rPr>
            </w:pPr>
            <w:r>
              <w:rPr>
                <w:rFonts w:ascii="Times New Roman" w:hAnsi="Times New Roman"/>
                <w:b/>
                <w:color w:val="000000"/>
                <w:spacing w:val="-6"/>
                <w:sz w:val="28"/>
              </w:rPr>
              <w:t>自然环境简况（地形、地貌、地质、气候、气象、水文、植被、生物多样性等）：</w:t>
            </w:r>
          </w:p>
          <w:p>
            <w:pPr>
              <w:spacing w:line="360" w:lineRule="auto"/>
              <w:ind w:firstLine="482" w:firstLineChars="200"/>
              <w:rPr>
                <w:rFonts w:ascii="Times New Roman" w:hAnsi="Times New Roman"/>
                <w:b/>
                <w:sz w:val="24"/>
              </w:rPr>
            </w:pPr>
            <w:r>
              <w:rPr>
                <w:rFonts w:ascii="Times New Roman" w:hAnsi="Times New Roman"/>
                <w:b/>
                <w:sz w:val="24"/>
              </w:rPr>
              <w:t>1、地理位置</w:t>
            </w:r>
          </w:p>
          <w:p>
            <w:pPr>
              <w:spacing w:line="360" w:lineRule="auto"/>
              <w:ind w:firstLine="480" w:firstLineChars="200"/>
              <w:rPr>
                <w:rFonts w:ascii="Times New Roman" w:hAnsi="Times New Roman"/>
                <w:sz w:val="24"/>
              </w:rPr>
            </w:pPr>
            <w:r>
              <w:rPr>
                <w:rFonts w:ascii="Times New Roman" w:hAnsi="Times New Roman"/>
                <w:sz w:val="24"/>
              </w:rPr>
              <w:t>芜湖市位于安徽省东南部，长江下游南岸，其地理位置为东经117°58′～118°43′，北纬30°38′～31°31′，市区坐落在长江与青弋江交汇处，是座有着两千五百多年历史的滨江古城，曾以中国“四大米市“之一闻名遐迩，素有”长江巨埠，皖中之坚“的美誉。 芜湖市域面积5988平方公里，人口384.21万，其中市区面积1064.7平方公里、人口123.8万，下辖无为、繁昌、南陵</w:t>
            </w:r>
            <w:r>
              <w:rPr>
                <w:rFonts w:hint="eastAsia" w:ascii="Times New Roman" w:hAnsi="Times New Roman"/>
                <w:sz w:val="24"/>
                <w:lang w:val="en-US" w:eastAsia="zh-CN"/>
              </w:rPr>
              <w:t>3</w:t>
            </w:r>
            <w:r>
              <w:rPr>
                <w:rFonts w:ascii="Times New Roman" w:hAnsi="Times New Roman"/>
                <w:sz w:val="24"/>
              </w:rPr>
              <w:t>县和镜湖、</w:t>
            </w:r>
            <w:r>
              <w:rPr>
                <w:rFonts w:hint="eastAsia" w:ascii="Times New Roman" w:hAnsi="Times New Roman"/>
                <w:sz w:val="24"/>
                <w:lang w:val="en-US" w:eastAsia="zh-CN"/>
              </w:rPr>
              <w:t>芜湖、</w:t>
            </w:r>
            <w:r>
              <w:rPr>
                <w:rFonts w:ascii="Times New Roman" w:hAnsi="Times New Roman"/>
                <w:sz w:val="24"/>
              </w:rPr>
              <w:t>弋江、鸠江、三山</w:t>
            </w:r>
            <w:r>
              <w:rPr>
                <w:rFonts w:hint="eastAsia" w:ascii="Times New Roman" w:hAnsi="Times New Roman"/>
                <w:sz w:val="24"/>
                <w:lang w:val="en-US" w:eastAsia="zh-CN"/>
              </w:rPr>
              <w:t>5</w:t>
            </w:r>
            <w:r>
              <w:rPr>
                <w:rFonts w:ascii="Times New Roman" w:hAnsi="Times New Roman"/>
                <w:sz w:val="24"/>
              </w:rPr>
              <w:t>区，2个国家级开发区。</w:t>
            </w:r>
          </w:p>
          <w:p>
            <w:pPr>
              <w:spacing w:line="360" w:lineRule="auto"/>
              <w:ind w:firstLine="482" w:firstLineChars="200"/>
              <w:rPr>
                <w:rFonts w:ascii="Times New Roman" w:hAnsi="Times New Roman"/>
                <w:b/>
                <w:sz w:val="24"/>
              </w:rPr>
            </w:pPr>
            <w:r>
              <w:rPr>
                <w:rFonts w:ascii="Times New Roman" w:hAnsi="Times New Roman"/>
                <w:b/>
                <w:sz w:val="24"/>
              </w:rPr>
              <w:t>2、地质地貌</w:t>
            </w:r>
          </w:p>
          <w:p>
            <w:pPr>
              <w:spacing w:line="360" w:lineRule="auto"/>
              <w:ind w:firstLine="480" w:firstLineChars="200"/>
              <w:rPr>
                <w:rFonts w:ascii="Times New Roman" w:hAnsi="Times New Roman"/>
                <w:sz w:val="24"/>
              </w:rPr>
            </w:pPr>
            <w:r>
              <w:rPr>
                <w:rFonts w:ascii="Times New Roman" w:hAnsi="Times New Roman"/>
                <w:sz w:val="24"/>
              </w:rPr>
              <w:t>芜湖市在大地构造上分属淮阳山字型构造东翼下扬子准地台宁芜凹陷南缘，基岩以岩浆岩为主。规划区内绝大部分地质条件良好，主要持力层为可塑状态粘土及砂质粘土，部分为坚硬性粘土，适宜中型以上建筑物。沿青弋江边200m左右地带，土质的主要挂力层为可塑性流动状态的薄层淤泥质土壤和粘土，砂质粘土，宜建中型以下的建筑物。</w:t>
            </w:r>
          </w:p>
          <w:p>
            <w:pPr>
              <w:spacing w:line="360" w:lineRule="auto"/>
              <w:ind w:firstLine="480" w:firstLineChars="200"/>
              <w:rPr>
                <w:rFonts w:ascii="Times New Roman" w:hAnsi="Times New Roman"/>
                <w:sz w:val="24"/>
              </w:rPr>
            </w:pPr>
            <w:r>
              <w:rPr>
                <w:rFonts w:ascii="Times New Roman" w:hAnsi="Times New Roman"/>
                <w:sz w:val="24"/>
              </w:rPr>
              <w:t>总体上地势西高东低、南高北低，属长江中下游冲积平原地貌，主要由河漫滩和阶地构成。而弋江区区内东北高、西南低，地势平坦低洼，且多沟塘；地面标高一般在6～10m之间(黄海高程)，低于1954年洪水位（10.95m）4.0m左右，基本属于圩区，仅有一些低岗在边缘零星分布。</w:t>
            </w:r>
          </w:p>
          <w:p>
            <w:pPr>
              <w:spacing w:line="360" w:lineRule="auto"/>
              <w:ind w:firstLine="482" w:firstLineChars="200"/>
              <w:rPr>
                <w:rFonts w:ascii="Times New Roman" w:hAnsi="Times New Roman"/>
                <w:b/>
                <w:sz w:val="24"/>
              </w:rPr>
            </w:pPr>
            <w:r>
              <w:rPr>
                <w:rFonts w:ascii="Times New Roman" w:hAnsi="Times New Roman"/>
                <w:b/>
                <w:sz w:val="24"/>
              </w:rPr>
              <w:t>3、气侯</w:t>
            </w:r>
          </w:p>
          <w:p>
            <w:pPr>
              <w:spacing w:line="360" w:lineRule="auto"/>
              <w:ind w:firstLine="480" w:firstLineChars="200"/>
              <w:rPr>
                <w:rFonts w:ascii="Times New Roman" w:hAnsi="Times New Roman"/>
                <w:sz w:val="24"/>
              </w:rPr>
            </w:pPr>
            <w:r>
              <w:rPr>
                <w:rFonts w:ascii="Times New Roman" w:hAnsi="Times New Roman"/>
                <w:sz w:val="24"/>
              </w:rPr>
              <w:t>芜湖市属亚热带湿润季风气候。地势南高北低，地形呈不规则长条状；地貌类型多样，平原丘陵皆备，河湖水网密布。芜湖的气候特点是：光照充足，雨量充沛，四季分明，年平均气温15-16摄氏度，日照时数2000小时左右。最热为7-8月，平均气温超过28℃，极端最高气温接近40℃；最冷为1月，月平均气温仅3℃，曾出现过-10℃的极端最低气温。芜湖降雨充沛，年降雨量1200毫米，但分布不均，主要集中在春季、梅雨季节和初冬。</w:t>
            </w:r>
          </w:p>
          <w:p>
            <w:pPr>
              <w:spacing w:line="360" w:lineRule="auto"/>
              <w:ind w:firstLine="482" w:firstLineChars="200"/>
              <w:rPr>
                <w:rFonts w:ascii="Times New Roman" w:hAnsi="Times New Roman"/>
                <w:b/>
                <w:sz w:val="24"/>
              </w:rPr>
            </w:pPr>
            <w:r>
              <w:rPr>
                <w:rFonts w:ascii="Times New Roman" w:hAnsi="Times New Roman"/>
                <w:b/>
                <w:sz w:val="24"/>
              </w:rPr>
              <w:t>4、水文</w:t>
            </w:r>
          </w:p>
          <w:p>
            <w:pPr>
              <w:spacing w:line="360" w:lineRule="auto"/>
              <w:ind w:firstLine="480" w:firstLineChars="200"/>
              <w:rPr>
                <w:rFonts w:ascii="Times New Roman" w:hAnsi="Times New Roman"/>
                <w:sz w:val="24"/>
              </w:rPr>
            </w:pPr>
            <w:r>
              <w:rPr>
                <w:rFonts w:ascii="Times New Roman" w:hAnsi="Times New Roman"/>
                <w:sz w:val="24"/>
              </w:rPr>
              <w:t>区域内主要地表水系为长江，据水文站水文资料统计，本段长江多年平均流量为28300m</w:t>
            </w:r>
            <w:r>
              <w:rPr>
                <w:rFonts w:ascii="Times New Roman" w:hAnsi="Times New Roman"/>
                <w:sz w:val="24"/>
                <w:vertAlign w:val="superscript"/>
              </w:rPr>
              <w:t>3</w:t>
            </w:r>
            <w:r>
              <w:rPr>
                <w:rFonts w:ascii="Times New Roman" w:hAnsi="Times New Roman"/>
                <w:sz w:val="24"/>
              </w:rPr>
              <w:t>/s，终年水量丰沛，冬季为枯水期，年最低水位一般在1～2月，一般在7～8月水位最高。</w:t>
            </w:r>
          </w:p>
          <w:p>
            <w:pPr>
              <w:spacing w:line="360" w:lineRule="auto"/>
              <w:ind w:firstLine="482" w:firstLineChars="200"/>
              <w:rPr>
                <w:rFonts w:ascii="Times New Roman" w:hAnsi="Times New Roman"/>
                <w:b/>
                <w:sz w:val="24"/>
              </w:rPr>
            </w:pPr>
            <w:r>
              <w:rPr>
                <w:rFonts w:ascii="Times New Roman" w:hAnsi="Times New Roman"/>
                <w:b/>
                <w:sz w:val="24"/>
              </w:rPr>
              <w:t>5、土壤</w:t>
            </w:r>
          </w:p>
          <w:p>
            <w:pPr>
              <w:spacing w:line="360" w:lineRule="auto"/>
              <w:ind w:firstLine="480" w:firstLineChars="200"/>
              <w:rPr>
                <w:rFonts w:ascii="Times New Roman" w:hAnsi="Times New Roman"/>
                <w:sz w:val="24"/>
              </w:rPr>
            </w:pPr>
            <w:r>
              <w:rPr>
                <w:rFonts w:ascii="Times New Roman" w:hAnsi="Times New Roman"/>
                <w:sz w:val="24"/>
              </w:rPr>
              <w:t>本项目所属区域地貌分区为冲积平原、侵蚀残丘和长江古老阶地三个基本地貌单元，土壤类型复杂多样，自然土壤有黄棕壤土和砂质粘土，适合发展林业，耕作土壤为水稻土和砂壤土，宜于种植水稻、油菜和各种蔬菜。</w:t>
            </w:r>
          </w:p>
          <w:p>
            <w:pPr>
              <w:spacing w:line="360" w:lineRule="auto"/>
              <w:ind w:firstLine="482" w:firstLineChars="200"/>
              <w:rPr>
                <w:rFonts w:ascii="Times New Roman" w:hAnsi="Times New Roman"/>
                <w:b/>
                <w:sz w:val="24"/>
              </w:rPr>
            </w:pPr>
            <w:r>
              <w:rPr>
                <w:rFonts w:ascii="Times New Roman" w:hAnsi="Times New Roman"/>
                <w:b/>
                <w:sz w:val="24"/>
              </w:rPr>
              <w:t>6、植被</w:t>
            </w:r>
          </w:p>
          <w:p>
            <w:pPr>
              <w:spacing w:line="360" w:lineRule="auto"/>
              <w:ind w:firstLine="480" w:firstLineChars="200"/>
              <w:rPr>
                <w:rFonts w:ascii="Times New Roman" w:hAnsi="Times New Roman"/>
                <w:sz w:val="24"/>
              </w:rPr>
            </w:pPr>
            <w:r>
              <w:rPr>
                <w:rFonts w:ascii="Times New Roman" w:hAnsi="Times New Roman"/>
                <w:sz w:val="24"/>
              </w:rPr>
              <w:t>芜湖属于北亚热带、中亚热带的落叶阔叶林与常绿阔叶林混杂林地带，由于人为影响，原生天然植物已不存在，多为次生和人工林，如马尾松、银杏、水杉、香樟等，主要花卉有月季、杜鹃、牡丹、菊花等。</w:t>
            </w:r>
          </w:p>
          <w:p>
            <w:pPr>
              <w:spacing w:line="360" w:lineRule="auto"/>
              <w:ind w:firstLine="482" w:firstLineChars="200"/>
              <w:rPr>
                <w:rFonts w:ascii="Times New Roman" w:hAnsi="Times New Roman"/>
                <w:b/>
                <w:sz w:val="24"/>
              </w:rPr>
            </w:pPr>
            <w:r>
              <w:rPr>
                <w:rFonts w:ascii="Times New Roman" w:hAnsi="Times New Roman"/>
                <w:b/>
                <w:sz w:val="24"/>
              </w:rPr>
              <w:t>7、动物</w:t>
            </w:r>
          </w:p>
          <w:p>
            <w:pPr>
              <w:spacing w:line="360" w:lineRule="auto"/>
              <w:ind w:firstLine="480" w:firstLineChars="200"/>
              <w:rPr>
                <w:rFonts w:ascii="Times New Roman" w:hAnsi="Times New Roman"/>
                <w:sz w:val="24"/>
              </w:rPr>
            </w:pPr>
            <w:r>
              <w:rPr>
                <w:rFonts w:ascii="Times New Roman" w:hAnsi="Times New Roman"/>
                <w:sz w:val="24"/>
              </w:rPr>
              <w:t>芜湖有山地、丘陵和广阔水面，动物资源丰富，有食用动物、毛皮动物、药源动物和珍稀动物。拟建项目区域内目前已少见野生动物。</w:t>
            </w:r>
          </w:p>
          <w:p>
            <w:pPr>
              <w:spacing w:line="360" w:lineRule="auto"/>
              <w:ind w:firstLine="482" w:firstLineChars="200"/>
              <w:rPr>
                <w:rFonts w:ascii="Times New Roman" w:hAnsi="Times New Roman"/>
                <w:b/>
                <w:sz w:val="24"/>
              </w:rPr>
            </w:pPr>
            <w:r>
              <w:rPr>
                <w:rFonts w:ascii="Times New Roman" w:hAnsi="Times New Roman"/>
                <w:b/>
                <w:sz w:val="24"/>
              </w:rPr>
              <w:t>8、矿产资源</w:t>
            </w:r>
          </w:p>
          <w:p>
            <w:pPr>
              <w:spacing w:line="360" w:lineRule="auto"/>
              <w:ind w:firstLine="480" w:firstLineChars="200"/>
              <w:rPr>
                <w:rFonts w:ascii="Times New Roman" w:hAnsi="Times New Roman"/>
                <w:sz w:val="24"/>
              </w:rPr>
            </w:pPr>
            <w:r>
              <w:rPr>
                <w:rFonts w:ascii="Times New Roman" w:hAnsi="Times New Roman"/>
                <w:sz w:val="24"/>
              </w:rPr>
              <w:t>矿产资源比较丰富，至今已查明的矿产有55种，矿产地逾百处，但储量均不大，仅石灰石等非金属资源储量较大，主要分布在芜湖县白马山和繁昌荻港、马坝等地，其次为铁矿，分布在繁昌县桃冲等地，这些主要矿产均已被开发利用。开发区境内未发现有开采价值的矿产地。</w:t>
            </w: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pStyle w:val="27"/>
              <w:spacing w:line="360" w:lineRule="auto"/>
              <w:ind w:leftChars="0" w:firstLine="0" w:firstLineChars="0"/>
              <w:rPr>
                <w:rFonts w:ascii="Times New Roman" w:hAnsi="Times New Roman"/>
              </w:rPr>
            </w:pPr>
          </w:p>
          <w:p>
            <w:pPr>
              <w:spacing w:line="360" w:lineRule="auto"/>
              <w:rPr>
                <w:rFonts w:ascii="Times New Roman" w:hAnsi="Times New Roman"/>
              </w:rPr>
            </w:pPr>
          </w:p>
          <w:p>
            <w:pPr>
              <w:spacing w:line="360" w:lineRule="auto"/>
              <w:rPr>
                <w:rFonts w:ascii="Times New Roman" w:hAnsi="Times New Roman"/>
                <w:color w:val="000000"/>
                <w:sz w:val="24"/>
                <w:highlight w:val="yellow"/>
              </w:rPr>
            </w:pPr>
          </w:p>
        </w:tc>
      </w:tr>
    </w:tbl>
    <w:p>
      <w:pPr>
        <w:pStyle w:val="2"/>
        <w:rPr>
          <w:rFonts w:ascii="Times New Roman" w:hAnsi="Times New Roman"/>
        </w:rPr>
      </w:pPr>
      <w:r>
        <w:rPr>
          <w:rFonts w:ascii="Times New Roman" w:hAnsi="Times New Roman"/>
        </w:rPr>
        <w:t>环境质量状况</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4" w:hRule="atLeast"/>
          <w:jc w:val="center"/>
        </w:trPr>
        <w:tc>
          <w:tcPr>
            <w:tcW w:w="9286"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sz w:val="24"/>
                <w:szCs w:val="24"/>
              </w:rPr>
            </w:pPr>
            <w:r>
              <w:rPr>
                <w:rFonts w:ascii="Times New Roman" w:hAnsi="Times New Roman"/>
                <w:sz w:val="24"/>
                <w:szCs w:val="24"/>
              </w:rPr>
              <w:t>建设项目所在地区域环境质量现状及主要环境问题（环境空气、地面水、地下水、声环境、生态环境等）：</w:t>
            </w:r>
          </w:p>
          <w:p>
            <w:pPr>
              <w:numPr>
                <w:ilvl w:val="0"/>
                <w:numId w:val="7"/>
              </w:numPr>
              <w:spacing w:line="360" w:lineRule="auto"/>
              <w:ind w:firstLine="482" w:firstLineChars="200"/>
              <w:rPr>
                <w:rFonts w:ascii="Times New Roman" w:hAnsi="Times New Roman"/>
                <w:b/>
                <w:bCs/>
                <w:sz w:val="24"/>
                <w:szCs w:val="24"/>
              </w:rPr>
            </w:pPr>
            <w:bookmarkStart w:id="0" w:name="_Hlk507535386"/>
            <w:r>
              <w:rPr>
                <w:rFonts w:ascii="Times New Roman" w:hAnsi="Times New Roman"/>
                <w:b/>
                <w:bCs/>
                <w:sz w:val="24"/>
                <w:szCs w:val="24"/>
              </w:rPr>
              <w:t>环境空气质量现状</w:t>
            </w:r>
          </w:p>
          <w:p>
            <w:pPr>
              <w:spacing w:line="360" w:lineRule="auto"/>
              <w:ind w:firstLine="480" w:firstLineChars="200"/>
              <w:rPr>
                <w:rFonts w:ascii="Times New Roman" w:hAnsi="Times New Roman"/>
                <w:kern w:val="0"/>
                <w:sz w:val="24"/>
              </w:rPr>
            </w:pPr>
            <w:r>
              <w:rPr>
                <w:rFonts w:ascii="Times New Roman" w:hAnsi="Times New Roman"/>
                <w:kern w:val="0"/>
                <w:sz w:val="24"/>
              </w:rPr>
              <w:t>根据《环境影响评价技术导则大气环境》（HJ2.2-2018）内相关要求，需调查项目所在区域环境质量达标情况，判定所在地区域是否为达标区，项目所在区域达标情况判定优先采用国家或地方生态环境主管部门公开发布的环境质量公告或环境质量报告中的数据或结论。一、二级评价还需补充现状监测，用于区域污染物环境质量现状评价以及环境影响预测。</w:t>
            </w:r>
          </w:p>
          <w:p>
            <w:pPr>
              <w:spacing w:line="360" w:lineRule="auto"/>
              <w:ind w:firstLine="480" w:firstLineChars="200"/>
              <w:rPr>
                <w:rFonts w:ascii="Times New Roman" w:hAnsi="Times New Roman"/>
                <w:kern w:val="0"/>
                <w:sz w:val="24"/>
              </w:rPr>
            </w:pPr>
            <w:r>
              <w:rPr>
                <w:rFonts w:ascii="Times New Roman" w:hAnsi="Times New Roman"/>
                <w:kern w:val="0"/>
                <w:sz w:val="24"/>
              </w:rPr>
              <w:t>根据《2019年芜湖市生态环境状况公报》，执行芜湖市全年环境空气优良天数为260天，优良率71.82%，优良天数比去年增加15天，轻度污染88天，中度污染12天，重度污染2天，无严重污染天气，重度污染天数比去年减少11天。2019年，芜湖市共设置9座空气质量监测站点，其中，市区设置5座，所辖四县各设置1座。各监测区域污染物浓度汇总及浓度见下表。</w:t>
            </w:r>
          </w:p>
          <w:p>
            <w:pPr>
              <w:spacing w:line="360" w:lineRule="auto"/>
              <w:jc w:val="center"/>
              <w:rPr>
                <w:rFonts w:ascii="Times New Roman" w:hAnsi="Times New Roman"/>
                <w:b/>
                <w:kern w:val="0"/>
                <w:sz w:val="24"/>
              </w:rPr>
            </w:pPr>
            <w:r>
              <w:rPr>
                <w:rFonts w:ascii="Times New Roman" w:hAnsi="Times New Roman"/>
                <w:b/>
                <w:kern w:val="0"/>
                <w:sz w:val="24"/>
              </w:rPr>
              <w:t>表3-1  2019年芜湖市大气污染物平均浓度值    单位：</w:t>
            </w:r>
            <w:r>
              <w:rPr>
                <w:rFonts w:ascii="Times New Roman" w:hAnsi="Times New Roman"/>
                <w:b/>
                <w:bCs/>
                <w:color w:val="000000"/>
                <w:szCs w:val="21"/>
              </w:rPr>
              <w:t>ug/m</w:t>
            </w:r>
            <w:r>
              <w:rPr>
                <w:rFonts w:ascii="Times New Roman" w:hAnsi="Times New Roman"/>
                <w:b/>
                <w:bCs/>
                <w:color w:val="000000"/>
                <w:szCs w:val="21"/>
                <w:vertAlign w:val="superscript"/>
              </w:rPr>
              <w:t>3</w:t>
            </w:r>
          </w:p>
          <w:tbl>
            <w:tblPr>
              <w:tblStyle w:val="32"/>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65"/>
              <w:gridCol w:w="1710"/>
              <w:gridCol w:w="894"/>
              <w:gridCol w:w="1109"/>
              <w:gridCol w:w="1185"/>
              <w:gridCol w:w="1105"/>
              <w:gridCol w:w="1103"/>
              <w:gridCol w:w="1100"/>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top w:val="single" w:color="auto" w:sz="4" w:space="0"/>
                    <w:left w:val="single" w:color="000000" w:sz="6"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区县</w:t>
                  </w:r>
                </w:p>
              </w:tc>
              <w:tc>
                <w:tcPr>
                  <w:tcW w:w="1574" w:type="dxa"/>
                  <w:tcBorders>
                    <w:top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监测点名称</w:t>
                  </w:r>
                </w:p>
              </w:tc>
              <w:tc>
                <w:tcPr>
                  <w:tcW w:w="823" w:type="dxa"/>
                  <w:tcBorders>
                    <w:top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SO</w:t>
                  </w:r>
                  <w:r>
                    <w:rPr>
                      <w:rFonts w:ascii="Times New Roman" w:hAnsi="Times New Roman"/>
                      <w:b/>
                      <w:bCs/>
                      <w:color w:val="000000"/>
                      <w:szCs w:val="21"/>
                      <w:vertAlign w:val="subscript"/>
                    </w:rPr>
                    <w:t>2</w:t>
                  </w:r>
                </w:p>
              </w:tc>
              <w:tc>
                <w:tcPr>
                  <w:tcW w:w="1020" w:type="dxa"/>
                  <w:tcBorders>
                    <w:top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NO</w:t>
                  </w:r>
                  <w:r>
                    <w:rPr>
                      <w:rFonts w:ascii="Times New Roman" w:hAnsi="Times New Roman"/>
                      <w:b/>
                      <w:bCs/>
                      <w:color w:val="000000"/>
                      <w:szCs w:val="21"/>
                      <w:vertAlign w:val="subscript"/>
                    </w:rPr>
                    <w:t>2</w:t>
                  </w:r>
                </w:p>
              </w:tc>
              <w:tc>
                <w:tcPr>
                  <w:tcW w:w="1090" w:type="dxa"/>
                  <w:tcBorders>
                    <w:top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O</w:t>
                  </w:r>
                  <w:r>
                    <w:rPr>
                      <w:rFonts w:ascii="Times New Roman" w:hAnsi="Times New Roman"/>
                      <w:b/>
                      <w:bCs/>
                      <w:color w:val="000000"/>
                      <w:szCs w:val="21"/>
                      <w:vertAlign w:val="subscript"/>
                    </w:rPr>
                    <w:t>3</w:t>
                  </w:r>
                  <w:r>
                    <w:rPr>
                      <w:rFonts w:ascii="Times New Roman" w:hAnsi="Times New Roman"/>
                      <w:b/>
                      <w:bCs/>
                      <w:color w:val="000000"/>
                      <w:szCs w:val="21"/>
                    </w:rPr>
                    <w:t>8h</w:t>
                  </w:r>
                </w:p>
              </w:tc>
              <w:tc>
                <w:tcPr>
                  <w:tcW w:w="1016" w:type="dxa"/>
                  <w:tcBorders>
                    <w:top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CO</w:t>
                  </w:r>
                </w:p>
              </w:tc>
              <w:tc>
                <w:tcPr>
                  <w:tcW w:w="1014" w:type="dxa"/>
                  <w:tcBorders>
                    <w:top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PM</w:t>
                  </w:r>
                  <w:r>
                    <w:rPr>
                      <w:rFonts w:ascii="Times New Roman" w:hAnsi="Times New Roman"/>
                      <w:b/>
                      <w:bCs/>
                      <w:color w:val="000000"/>
                      <w:szCs w:val="21"/>
                      <w:vertAlign w:val="subscript"/>
                    </w:rPr>
                    <w:t>10</w:t>
                  </w:r>
                </w:p>
              </w:tc>
              <w:tc>
                <w:tcPr>
                  <w:tcW w:w="1012" w:type="dxa"/>
                  <w:tcBorders>
                    <w:top w:val="single" w:color="auto" w:sz="4" w:space="0"/>
                    <w:right w:val="single" w:color="auto" w:sz="4" w:space="0"/>
                  </w:tcBorders>
                  <w:tcMar>
                    <w:top w:w="15" w:type="dxa"/>
                    <w:left w:w="15" w:type="dxa"/>
                    <w:bottom w:w="0" w:type="dxa"/>
                    <w:right w:w="15" w:type="dxa"/>
                  </w:tcMar>
                  <w:vAlign w:val="center"/>
                </w:tcPr>
                <w:p>
                  <w:pPr>
                    <w:keepNext/>
                    <w:keepLines/>
                    <w:jc w:val="center"/>
                    <w:rPr>
                      <w:rFonts w:ascii="Times New Roman" w:hAnsi="Times New Roman"/>
                      <w:b/>
                      <w:bCs/>
                      <w:color w:val="000000"/>
                      <w:szCs w:val="21"/>
                    </w:rPr>
                  </w:pPr>
                  <w:r>
                    <w:rPr>
                      <w:rFonts w:ascii="Times New Roman" w:hAnsi="Times New Roman"/>
                      <w:b/>
                      <w:bCs/>
                      <w:color w:val="000000"/>
                      <w:szCs w:val="21"/>
                    </w:rPr>
                    <w:t>PM</w:t>
                  </w:r>
                  <w:r>
                    <w:rPr>
                      <w:rFonts w:ascii="Times New Roman" w:hAnsi="Times New Roman"/>
                      <w:b/>
                      <w:bCs/>
                      <w:color w:val="000000"/>
                      <w:szCs w:val="21"/>
                      <w:vertAlign w:val="subscript"/>
                    </w:rPr>
                    <w:t>2.5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镜湖区</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监测站</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9</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40</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173</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1.4</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61</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弋江区</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四水厂</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8</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44</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170</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1.3</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62</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经开区</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科创中心</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10</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39</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180</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1.3</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65</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鸠江区</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济民医院</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10</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36</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172</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1.4</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60</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三山区</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扬子学院</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10</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28</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186</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1.4</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76</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无为县</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无为县环保局</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10</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38</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184</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1.4</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90</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芜湖县</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芜湖县城南站</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11</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26</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196</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1.2</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62</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39</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繁昌县</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繁昌县老年大学</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10</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23</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185</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1.3</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67</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南陵县</w:t>
                  </w:r>
                </w:p>
              </w:tc>
              <w:tc>
                <w:tcPr>
                  <w:tcW w:w="157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南陵县交通局</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11</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30</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173</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1.1</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69</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2369" w:type="dxa"/>
                  <w:gridSpan w:val="2"/>
                  <w:tcBorders>
                    <w:lef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标准值</w:t>
                  </w:r>
                </w:p>
              </w:tc>
              <w:tc>
                <w:tcPr>
                  <w:tcW w:w="823"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60</w:t>
                  </w:r>
                </w:p>
              </w:tc>
              <w:tc>
                <w:tcPr>
                  <w:tcW w:w="102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40</w:t>
                  </w:r>
                </w:p>
              </w:tc>
              <w:tc>
                <w:tcPr>
                  <w:tcW w:w="1090"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160</w:t>
                  </w:r>
                </w:p>
              </w:tc>
              <w:tc>
                <w:tcPr>
                  <w:tcW w:w="1016"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4</w:t>
                  </w:r>
                </w:p>
              </w:tc>
              <w:tc>
                <w:tcPr>
                  <w:tcW w:w="1014" w:type="dxa"/>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70</w:t>
                  </w:r>
                </w:p>
              </w:tc>
              <w:tc>
                <w:tcPr>
                  <w:tcW w:w="1012" w:type="dxa"/>
                  <w:tcBorders>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35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2369" w:type="dxa"/>
                  <w:gridSpan w:val="2"/>
                  <w:tcBorders>
                    <w:left w:val="single" w:color="auto" w:sz="4" w:space="0"/>
                    <w:bottom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达标情况</w:t>
                  </w:r>
                </w:p>
              </w:tc>
              <w:tc>
                <w:tcPr>
                  <w:tcW w:w="823" w:type="dxa"/>
                  <w:tcBorders>
                    <w:bottom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达标</w:t>
                  </w:r>
                </w:p>
              </w:tc>
              <w:tc>
                <w:tcPr>
                  <w:tcW w:w="1020" w:type="dxa"/>
                  <w:tcBorders>
                    <w:bottom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不达标</w:t>
                  </w:r>
                </w:p>
              </w:tc>
              <w:tc>
                <w:tcPr>
                  <w:tcW w:w="1090" w:type="dxa"/>
                  <w:tcBorders>
                    <w:bottom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不达标</w:t>
                  </w:r>
                </w:p>
              </w:tc>
              <w:tc>
                <w:tcPr>
                  <w:tcW w:w="1016" w:type="dxa"/>
                  <w:tcBorders>
                    <w:bottom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达标</w:t>
                  </w:r>
                </w:p>
              </w:tc>
              <w:tc>
                <w:tcPr>
                  <w:tcW w:w="1014" w:type="dxa"/>
                  <w:tcBorders>
                    <w:bottom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不达标</w:t>
                  </w:r>
                </w:p>
              </w:tc>
              <w:tc>
                <w:tcPr>
                  <w:tcW w:w="1012" w:type="dxa"/>
                  <w:tcBorders>
                    <w:bottom w:val="single" w:color="auto" w:sz="4" w:space="0"/>
                    <w:right w:val="single" w:color="auto" w:sz="4" w:space="0"/>
                  </w:tcBorders>
                  <w:tcMar>
                    <w:top w:w="15" w:type="dxa"/>
                    <w:left w:w="15" w:type="dxa"/>
                    <w:bottom w:w="0" w:type="dxa"/>
                    <w:right w:w="15" w:type="dxa"/>
                  </w:tcMar>
                  <w:vAlign w:val="center"/>
                </w:tcPr>
                <w:p>
                  <w:pPr>
                    <w:keepNext/>
                    <w:keepLines/>
                    <w:jc w:val="center"/>
                    <w:rPr>
                      <w:rFonts w:ascii="Times New Roman" w:hAnsi="Times New Roman"/>
                      <w:color w:val="000000"/>
                      <w:szCs w:val="21"/>
                    </w:rPr>
                  </w:pPr>
                  <w:r>
                    <w:rPr>
                      <w:rFonts w:ascii="Times New Roman" w:hAnsi="Times New Roman"/>
                      <w:color w:val="000000"/>
                      <w:szCs w:val="21"/>
                    </w:rPr>
                    <w:t>不达标</w:t>
                  </w:r>
                </w:p>
              </w:tc>
            </w:tr>
          </w:tbl>
          <w:p>
            <w:pPr>
              <w:spacing w:line="360" w:lineRule="auto"/>
              <w:ind w:firstLine="480" w:firstLineChars="200"/>
              <w:rPr>
                <w:rFonts w:ascii="Times New Roman" w:hAnsi="Times New Roman"/>
                <w:kern w:val="0"/>
                <w:sz w:val="24"/>
              </w:rPr>
            </w:pPr>
            <w:r>
              <w:rPr>
                <w:rFonts w:ascii="Times New Roman" w:hAnsi="Times New Roman"/>
                <w:kern w:val="0"/>
                <w:sz w:val="24"/>
              </w:rPr>
              <w:t>由上表监测数据判定，芜湖市区域环境空气执行</w:t>
            </w:r>
            <w:r>
              <w:rPr>
                <w:rFonts w:ascii="Times New Roman" w:hAnsi="Times New Roman"/>
                <w:sz w:val="24"/>
              </w:rPr>
              <w:t>《环境空气质量标准》（GB3095－2012）中二类区标准，</w:t>
            </w:r>
            <w:r>
              <w:rPr>
                <w:rFonts w:ascii="Times New Roman" w:hAnsi="Times New Roman"/>
                <w:kern w:val="0"/>
                <w:sz w:val="24"/>
              </w:rPr>
              <w:t>芜湖市为环境空气为“不达标区”，超标因子为NO</w:t>
            </w:r>
            <w:r>
              <w:rPr>
                <w:rFonts w:ascii="Times New Roman" w:hAnsi="Times New Roman"/>
                <w:kern w:val="0"/>
                <w:sz w:val="24"/>
                <w:vertAlign w:val="subscript"/>
              </w:rPr>
              <w:t>2</w:t>
            </w:r>
            <w:r>
              <w:rPr>
                <w:rFonts w:ascii="Times New Roman" w:hAnsi="Times New Roman"/>
                <w:kern w:val="0"/>
                <w:sz w:val="24"/>
              </w:rPr>
              <w:t>、PM</w:t>
            </w:r>
            <w:r>
              <w:rPr>
                <w:rFonts w:ascii="Times New Roman" w:hAnsi="Times New Roman"/>
                <w:kern w:val="0"/>
                <w:sz w:val="24"/>
                <w:vertAlign w:val="subscript"/>
              </w:rPr>
              <w:t>10</w:t>
            </w:r>
            <w:r>
              <w:rPr>
                <w:rFonts w:ascii="Times New Roman" w:hAnsi="Times New Roman"/>
                <w:kern w:val="0"/>
                <w:sz w:val="24"/>
              </w:rPr>
              <w:t>、PM</w:t>
            </w:r>
            <w:r>
              <w:rPr>
                <w:rFonts w:ascii="Times New Roman" w:hAnsi="Times New Roman"/>
                <w:kern w:val="0"/>
                <w:sz w:val="24"/>
                <w:vertAlign w:val="subscript"/>
              </w:rPr>
              <w:t>2.5</w:t>
            </w:r>
            <w:r>
              <w:rPr>
                <w:rFonts w:ascii="Times New Roman" w:hAnsi="Times New Roman"/>
                <w:kern w:val="0"/>
                <w:sz w:val="24"/>
              </w:rPr>
              <w:t>和O</w:t>
            </w:r>
            <w:r>
              <w:rPr>
                <w:rFonts w:ascii="Times New Roman" w:hAnsi="Times New Roman"/>
                <w:kern w:val="0"/>
                <w:sz w:val="24"/>
                <w:vertAlign w:val="subscript"/>
              </w:rPr>
              <w:t>3</w:t>
            </w:r>
            <w:r>
              <w:rPr>
                <w:rFonts w:ascii="Times New Roman" w:hAnsi="Times New Roman"/>
                <w:kern w:val="0"/>
                <w:sz w:val="24"/>
              </w:rPr>
              <w:t>。超标原因可能为：市区受区域扬尘、道路工程施工、工业污染源排放量偏高，以及外源污染传输叠加影响。</w:t>
            </w:r>
          </w:p>
          <w:p>
            <w:pPr>
              <w:spacing w:line="360" w:lineRule="auto"/>
              <w:ind w:firstLine="480" w:firstLineChars="200"/>
              <w:rPr>
                <w:rFonts w:ascii="Times New Roman" w:hAnsi="Times New Roman"/>
                <w:sz w:val="24"/>
                <w:szCs w:val="22"/>
              </w:rPr>
            </w:pPr>
            <w:r>
              <w:rPr>
                <w:rFonts w:ascii="Times New Roman" w:hAnsi="Times New Roman"/>
                <w:sz w:val="24"/>
              </w:rPr>
              <w:t>2019年，芜湖市坚持以改善空气质量为核心，控煤、控气、控车、控尘、控烧“五控”措施协同实施。水泥行业提标治理和钢铁行业超低排放改造同步进行，重点企业挥发性有机物</w:t>
            </w:r>
            <w:r>
              <w:rPr>
                <w:rFonts w:ascii="Times New Roman" w:hAnsi="Times New Roman"/>
                <w:sz w:val="24"/>
                <w:szCs w:val="22"/>
              </w:rPr>
              <w:t>VOCs“一厂一策”治理基本完成，柴油货车攻坚战全面打响。全年二氧化硫排放量同比减少1542.7吨，较2015年下降20.1%；氮氧化物排放量同比减少3528.7吨，较2015年下降17.9%；</w:t>
            </w:r>
          </w:p>
          <w:p>
            <w:pPr>
              <w:spacing w:line="360" w:lineRule="auto"/>
              <w:ind w:firstLine="482" w:firstLineChars="200"/>
              <w:jc w:val="left"/>
              <w:rPr>
                <w:rFonts w:ascii="Times New Roman" w:hAnsi="Times New Roman"/>
                <w:b/>
                <w:bCs/>
                <w:sz w:val="24"/>
              </w:rPr>
            </w:pPr>
            <w:r>
              <w:rPr>
                <w:rFonts w:ascii="Times New Roman" w:hAnsi="Times New Roman"/>
                <w:b/>
                <w:bCs/>
                <w:sz w:val="24"/>
              </w:rPr>
              <w:t>2、地表水环境</w:t>
            </w:r>
          </w:p>
          <w:p>
            <w:pPr>
              <w:spacing w:line="360" w:lineRule="auto"/>
              <w:ind w:firstLine="480" w:firstLineChars="200"/>
              <w:rPr>
                <w:rFonts w:ascii="Times New Roman" w:hAnsi="Times New Roman"/>
                <w:sz w:val="24"/>
                <w:szCs w:val="22"/>
              </w:rPr>
            </w:pPr>
            <w:r>
              <w:rPr>
                <w:rFonts w:ascii="Times New Roman" w:hAnsi="Times New Roman"/>
                <w:sz w:val="24"/>
                <w:szCs w:val="22"/>
              </w:rPr>
              <w:t>本项目地表水环境质量监测数据引用《芜湖长江LNG内河接收（转运）站项目环境影响报告书》(报批稿)的监测数据，监测时间为2018年11月20日～</w:t>
            </w:r>
            <w:r>
              <w:rPr>
                <w:rFonts w:hint="eastAsia" w:ascii="Times New Roman" w:hAnsi="Times New Roman"/>
                <w:sz w:val="24"/>
                <w:szCs w:val="22"/>
              </w:rPr>
              <w:t>21</w:t>
            </w:r>
            <w:r>
              <w:rPr>
                <w:rFonts w:ascii="Times New Roman" w:hAnsi="Times New Roman"/>
                <w:sz w:val="24"/>
                <w:szCs w:val="22"/>
              </w:rPr>
              <w:t>日，对长江芜湖段的水质进行的现状监测。地表水环境质量现状监测断面布点情况及监测结果见表3-2、表3-3。</w:t>
            </w:r>
          </w:p>
          <w:p>
            <w:pPr>
              <w:spacing w:line="360" w:lineRule="auto"/>
              <w:jc w:val="center"/>
              <w:rPr>
                <w:rFonts w:ascii="Times New Roman" w:hAnsi="Times New Roman" w:eastAsiaTheme="minorEastAsia"/>
                <w:sz w:val="24"/>
              </w:rPr>
            </w:pPr>
            <w:r>
              <w:rPr>
                <w:rFonts w:ascii="Times New Roman" w:hAnsi="Times New Roman"/>
                <w:b/>
                <w:kern w:val="0"/>
                <w:sz w:val="24"/>
                <w:szCs w:val="22"/>
              </w:rPr>
              <w:t xml:space="preserve">表3-2  水质监测断面布设一览表   </w:t>
            </w:r>
            <w:r>
              <w:rPr>
                <w:rFonts w:ascii="Times New Roman" w:hAnsi="Times New Roman" w:eastAsiaTheme="minorEastAsia"/>
                <w:b/>
                <w:sz w:val="24"/>
              </w:rPr>
              <w:t xml:space="preserve">      </w:t>
            </w:r>
            <w:r>
              <w:rPr>
                <w:rFonts w:ascii="Times New Roman" w:hAnsi="Times New Roman" w:eastAsiaTheme="minorEastAsia"/>
                <w:sz w:val="24"/>
              </w:rPr>
              <w:t>单位：mg/L</w:t>
            </w:r>
          </w:p>
          <w:tbl>
            <w:tblPr>
              <w:tblStyle w:val="33"/>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947"/>
              <w:gridCol w:w="1061"/>
              <w:gridCol w:w="48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6" w:type="pct"/>
                  <w:vAlign w:val="center"/>
                </w:tcPr>
                <w:p>
                  <w:pPr>
                    <w:pStyle w:val="9"/>
                    <w:rPr>
                      <w:rFonts w:ascii="Times New Roman" w:cs="Times New Roman" w:eastAsiaTheme="minorEastAsia"/>
                      <w:b/>
                      <w:sz w:val="21"/>
                    </w:rPr>
                  </w:pPr>
                  <w:r>
                    <w:rPr>
                      <w:rFonts w:ascii="Times New Roman" w:cs="Times New Roman" w:eastAsiaTheme="minorEastAsia"/>
                      <w:b/>
                      <w:sz w:val="21"/>
                    </w:rPr>
                    <w:t>编号</w:t>
                  </w:r>
                </w:p>
              </w:tc>
              <w:tc>
                <w:tcPr>
                  <w:tcW w:w="3333" w:type="pct"/>
                  <w:gridSpan w:val="2"/>
                  <w:vAlign w:val="center"/>
                </w:tcPr>
                <w:p>
                  <w:pPr>
                    <w:pStyle w:val="9"/>
                    <w:rPr>
                      <w:rFonts w:ascii="Times New Roman" w:cs="Times New Roman" w:eastAsiaTheme="minorEastAsia"/>
                      <w:b/>
                      <w:sz w:val="21"/>
                    </w:rPr>
                  </w:pPr>
                  <w:r>
                    <w:rPr>
                      <w:rFonts w:ascii="Times New Roman" w:cs="Times New Roman" w:eastAsiaTheme="minorEastAsia"/>
                      <w:b/>
                      <w:sz w:val="21"/>
                    </w:rPr>
                    <w:t>断面位置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6" w:type="pct"/>
                  <w:vAlign w:val="center"/>
                </w:tcPr>
                <w:p>
                  <w:pPr>
                    <w:pStyle w:val="9"/>
                    <w:rPr>
                      <w:rFonts w:ascii="Times New Roman" w:cs="Times New Roman" w:eastAsiaTheme="minorEastAsia"/>
                      <w:sz w:val="21"/>
                    </w:rPr>
                  </w:pPr>
                  <w:r>
                    <w:rPr>
                      <w:rFonts w:ascii="Times New Roman" w:cs="Times New Roman" w:eastAsiaTheme="minorEastAsia"/>
                      <w:sz w:val="21"/>
                    </w:rPr>
                    <w:t>1#</w:t>
                  </w:r>
                </w:p>
              </w:tc>
              <w:tc>
                <w:tcPr>
                  <w:tcW w:w="600" w:type="pct"/>
                  <w:vMerge w:val="restart"/>
                  <w:vAlign w:val="center"/>
                </w:tcPr>
                <w:p>
                  <w:pPr>
                    <w:pStyle w:val="9"/>
                    <w:rPr>
                      <w:rFonts w:ascii="Times New Roman" w:cs="Times New Roman" w:eastAsiaTheme="minorEastAsia"/>
                      <w:sz w:val="21"/>
                    </w:rPr>
                  </w:pPr>
                  <w:r>
                    <w:rPr>
                      <w:rFonts w:ascii="Times New Roman" w:cs="Times New Roman" w:eastAsiaTheme="minorEastAsia"/>
                      <w:sz w:val="21"/>
                    </w:rPr>
                    <w:t>长江</w:t>
                  </w:r>
                </w:p>
              </w:tc>
              <w:tc>
                <w:tcPr>
                  <w:tcW w:w="2733" w:type="pct"/>
                  <w:vAlign w:val="center"/>
                </w:tcPr>
                <w:p>
                  <w:pPr>
                    <w:pStyle w:val="9"/>
                    <w:rPr>
                      <w:rFonts w:ascii="Times New Roman" w:cs="Times New Roman" w:eastAsiaTheme="minorEastAsia"/>
                      <w:sz w:val="21"/>
                    </w:rPr>
                  </w:pPr>
                  <w:r>
                    <w:rPr>
                      <w:rFonts w:ascii="Times New Roman" w:cs="Times New Roman" w:eastAsiaTheme="minorEastAsia"/>
                      <w:sz w:val="21"/>
                      <w:lang w:val="zh-CN"/>
                    </w:rPr>
                    <w:t>拟建项目厂址上游500m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6" w:type="pct"/>
                  <w:vAlign w:val="center"/>
                </w:tcPr>
                <w:p>
                  <w:pPr>
                    <w:pStyle w:val="9"/>
                    <w:rPr>
                      <w:rFonts w:ascii="Times New Roman" w:cs="Times New Roman" w:eastAsiaTheme="minorEastAsia"/>
                      <w:sz w:val="21"/>
                    </w:rPr>
                  </w:pPr>
                  <w:r>
                    <w:rPr>
                      <w:rFonts w:ascii="Times New Roman" w:cs="Times New Roman" w:eastAsiaTheme="minorEastAsia"/>
                      <w:sz w:val="21"/>
                    </w:rPr>
                    <w:t>2#</w:t>
                  </w:r>
                </w:p>
              </w:tc>
              <w:tc>
                <w:tcPr>
                  <w:tcW w:w="600" w:type="pct"/>
                  <w:vMerge w:val="continue"/>
                  <w:vAlign w:val="center"/>
                </w:tcPr>
                <w:p>
                  <w:pPr>
                    <w:pStyle w:val="9"/>
                    <w:rPr>
                      <w:rFonts w:ascii="Times New Roman" w:cs="Times New Roman" w:eastAsiaTheme="minorEastAsia"/>
                      <w:sz w:val="21"/>
                    </w:rPr>
                  </w:pPr>
                </w:p>
              </w:tc>
              <w:tc>
                <w:tcPr>
                  <w:tcW w:w="2733" w:type="pct"/>
                  <w:vAlign w:val="center"/>
                </w:tcPr>
                <w:p>
                  <w:pPr>
                    <w:pStyle w:val="9"/>
                    <w:rPr>
                      <w:rFonts w:ascii="Times New Roman" w:cs="Times New Roman" w:eastAsiaTheme="minorEastAsia"/>
                      <w:sz w:val="21"/>
                    </w:rPr>
                  </w:pPr>
                  <w:r>
                    <w:rPr>
                      <w:rFonts w:ascii="Times New Roman" w:cs="Times New Roman" w:eastAsiaTheme="minorEastAsia"/>
                      <w:sz w:val="21"/>
                      <w:lang w:val="zh-CN"/>
                    </w:rPr>
                    <w:t>拟建项目厂址处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6" w:type="pct"/>
                  <w:vAlign w:val="center"/>
                </w:tcPr>
                <w:p>
                  <w:pPr>
                    <w:pStyle w:val="9"/>
                    <w:rPr>
                      <w:rFonts w:ascii="Times New Roman" w:cs="Times New Roman" w:eastAsiaTheme="minorEastAsia"/>
                      <w:sz w:val="21"/>
                    </w:rPr>
                  </w:pPr>
                  <w:r>
                    <w:rPr>
                      <w:rFonts w:ascii="Times New Roman" w:cs="Times New Roman" w:eastAsiaTheme="minorEastAsia"/>
                      <w:sz w:val="21"/>
                    </w:rPr>
                    <w:t>3#</w:t>
                  </w:r>
                </w:p>
              </w:tc>
              <w:tc>
                <w:tcPr>
                  <w:tcW w:w="600" w:type="pct"/>
                  <w:vMerge w:val="continue"/>
                  <w:vAlign w:val="center"/>
                </w:tcPr>
                <w:p>
                  <w:pPr>
                    <w:pStyle w:val="9"/>
                    <w:rPr>
                      <w:rFonts w:ascii="Times New Roman" w:cs="Times New Roman" w:eastAsiaTheme="minorEastAsia"/>
                      <w:sz w:val="21"/>
                    </w:rPr>
                  </w:pPr>
                </w:p>
              </w:tc>
              <w:tc>
                <w:tcPr>
                  <w:tcW w:w="2733" w:type="pct"/>
                  <w:vAlign w:val="center"/>
                </w:tcPr>
                <w:p>
                  <w:pPr>
                    <w:pStyle w:val="9"/>
                    <w:rPr>
                      <w:rFonts w:ascii="Times New Roman" w:cs="Times New Roman" w:eastAsiaTheme="minorEastAsia"/>
                      <w:sz w:val="21"/>
                    </w:rPr>
                  </w:pPr>
                  <w:r>
                    <w:rPr>
                      <w:rFonts w:ascii="Times New Roman" w:cs="Times New Roman" w:eastAsiaTheme="minorEastAsia"/>
                      <w:sz w:val="21"/>
                      <w:lang w:val="zh-CN"/>
                    </w:rPr>
                    <w:t>拟建项目厂址下游500m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6" w:type="pct"/>
                  <w:vAlign w:val="center"/>
                </w:tcPr>
                <w:p>
                  <w:pPr>
                    <w:pStyle w:val="9"/>
                    <w:rPr>
                      <w:rFonts w:ascii="Times New Roman" w:cs="Times New Roman" w:eastAsiaTheme="minorEastAsia"/>
                      <w:sz w:val="21"/>
                    </w:rPr>
                  </w:pPr>
                  <w:r>
                    <w:rPr>
                      <w:rFonts w:hint="eastAsia" w:ascii="Times New Roman" w:cs="Times New Roman" w:eastAsiaTheme="minorEastAsia"/>
                      <w:sz w:val="21"/>
                    </w:rPr>
                    <w:t>4#</w:t>
                  </w:r>
                </w:p>
              </w:tc>
              <w:tc>
                <w:tcPr>
                  <w:tcW w:w="600" w:type="pct"/>
                  <w:vMerge w:val="continue"/>
                  <w:vAlign w:val="center"/>
                </w:tcPr>
                <w:p>
                  <w:pPr>
                    <w:pStyle w:val="9"/>
                    <w:rPr>
                      <w:rFonts w:ascii="Times New Roman" w:cs="Times New Roman" w:eastAsiaTheme="minorEastAsia"/>
                      <w:sz w:val="21"/>
                    </w:rPr>
                  </w:pPr>
                </w:p>
              </w:tc>
              <w:tc>
                <w:tcPr>
                  <w:tcW w:w="2733" w:type="pct"/>
                  <w:vAlign w:val="center"/>
                </w:tcPr>
                <w:p>
                  <w:pPr>
                    <w:pStyle w:val="9"/>
                    <w:rPr>
                      <w:rFonts w:ascii="Times New Roman" w:cs="Times New Roman" w:eastAsiaTheme="minorEastAsia"/>
                      <w:sz w:val="21"/>
                    </w:rPr>
                  </w:pPr>
                  <w:r>
                    <w:rPr>
                      <w:rFonts w:ascii="Times New Roman" w:cs="Times New Roman" w:eastAsiaTheme="minorEastAsia"/>
                      <w:sz w:val="21"/>
                      <w:lang w:val="zh-CN"/>
                    </w:rPr>
                    <w:t>拟建项目厂址下游2000m</w:t>
                  </w:r>
                </w:p>
              </w:tc>
            </w:tr>
          </w:tbl>
          <w:p>
            <w:pPr>
              <w:spacing w:line="360" w:lineRule="auto"/>
              <w:jc w:val="center"/>
              <w:rPr>
                <w:rFonts w:ascii="Times New Roman" w:hAnsi="Times New Roman"/>
                <w:b/>
                <w:kern w:val="0"/>
                <w:sz w:val="24"/>
                <w:szCs w:val="22"/>
              </w:rPr>
            </w:pPr>
          </w:p>
          <w:p>
            <w:pPr>
              <w:spacing w:line="360" w:lineRule="auto"/>
              <w:jc w:val="center"/>
              <w:rPr>
                <w:rFonts w:ascii="Times New Roman" w:hAnsi="Times New Roman" w:eastAsiaTheme="minorEastAsia"/>
                <w:b/>
                <w:sz w:val="24"/>
              </w:rPr>
            </w:pPr>
            <w:r>
              <w:rPr>
                <w:rFonts w:ascii="Times New Roman" w:hAnsi="Times New Roman"/>
                <w:b/>
                <w:kern w:val="0"/>
                <w:sz w:val="24"/>
                <w:szCs w:val="22"/>
              </w:rPr>
              <w:t xml:space="preserve">表3-3  地表水水质监测断面一览表 </w:t>
            </w:r>
            <w:r>
              <w:rPr>
                <w:rFonts w:ascii="Times New Roman" w:hAnsi="Times New Roman" w:eastAsiaTheme="minorEastAsia"/>
                <w:b/>
                <w:sz w:val="24"/>
              </w:rPr>
              <w:t xml:space="preserve">      </w:t>
            </w:r>
            <w:r>
              <w:rPr>
                <w:rFonts w:ascii="Times New Roman" w:hAnsi="Times New Roman" w:eastAsiaTheme="minorEastAsia"/>
                <w:sz w:val="24"/>
              </w:rPr>
              <w:t>单位：mg/L</w:t>
            </w:r>
          </w:p>
          <w:tbl>
            <w:tblPr>
              <w:tblStyle w:val="3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94"/>
              <w:gridCol w:w="1495"/>
              <w:gridCol w:w="1207"/>
              <w:gridCol w:w="1150"/>
              <w:gridCol w:w="1234"/>
              <w:gridCol w:w="1266"/>
              <w:gridCol w:w="11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restart"/>
                  <w:vAlign w:val="center"/>
                </w:tcPr>
                <w:p>
                  <w:pPr>
                    <w:jc w:val="center"/>
                    <w:rPr>
                      <w:rFonts w:ascii="Times New Roman" w:hAnsi="Times New Roman" w:eastAsiaTheme="minorEastAsia"/>
                      <w:b/>
                      <w:szCs w:val="21"/>
                    </w:rPr>
                  </w:pPr>
                  <w:r>
                    <w:rPr>
                      <w:rFonts w:ascii="Times New Roman" w:hAnsi="Times New Roman" w:eastAsiaTheme="minorEastAsia"/>
                      <w:b/>
                      <w:szCs w:val="21"/>
                    </w:rPr>
                    <w:t>监测时间</w:t>
                  </w:r>
                </w:p>
              </w:tc>
              <w:tc>
                <w:tcPr>
                  <w:tcW w:w="1495" w:type="dxa"/>
                  <w:vMerge w:val="restart"/>
                  <w:vAlign w:val="center"/>
                </w:tcPr>
                <w:p>
                  <w:pPr>
                    <w:jc w:val="center"/>
                    <w:rPr>
                      <w:rFonts w:ascii="Times New Roman" w:hAnsi="Times New Roman" w:eastAsiaTheme="minorEastAsia"/>
                      <w:b/>
                      <w:szCs w:val="21"/>
                    </w:rPr>
                  </w:pPr>
                  <w:r>
                    <w:rPr>
                      <w:rFonts w:ascii="Times New Roman" w:hAnsi="Times New Roman" w:eastAsiaTheme="minorEastAsia"/>
                      <w:b/>
                      <w:szCs w:val="21"/>
                    </w:rPr>
                    <w:t>监测因子</w:t>
                  </w:r>
                </w:p>
              </w:tc>
              <w:tc>
                <w:tcPr>
                  <w:tcW w:w="4857" w:type="dxa"/>
                  <w:gridSpan w:val="4"/>
                  <w:vAlign w:val="center"/>
                </w:tcPr>
                <w:p>
                  <w:pPr>
                    <w:jc w:val="center"/>
                    <w:rPr>
                      <w:rFonts w:ascii="Times New Roman" w:hAnsi="Times New Roman" w:eastAsiaTheme="minorEastAsia"/>
                      <w:b/>
                      <w:szCs w:val="21"/>
                    </w:rPr>
                  </w:pPr>
                  <w:r>
                    <w:rPr>
                      <w:rFonts w:ascii="Times New Roman" w:hAnsi="Times New Roman" w:eastAsiaTheme="minorEastAsia"/>
                      <w:b/>
                      <w:szCs w:val="21"/>
                    </w:rPr>
                    <w:t>监测点位</w:t>
                  </w:r>
                </w:p>
              </w:tc>
              <w:tc>
                <w:tcPr>
                  <w:tcW w:w="1117" w:type="dxa"/>
                  <w:vMerge w:val="restart"/>
                  <w:vAlign w:val="center"/>
                </w:tcPr>
                <w:p>
                  <w:pPr>
                    <w:jc w:val="center"/>
                    <w:rPr>
                      <w:rFonts w:ascii="Times New Roman" w:hAnsi="Times New Roman" w:eastAsiaTheme="minorEastAsia"/>
                      <w:b/>
                      <w:szCs w:val="21"/>
                    </w:rPr>
                  </w:pPr>
                  <w:r>
                    <w:rPr>
                      <w:rFonts w:ascii="Times New Roman" w:hAnsi="Times New Roman" w:eastAsiaTheme="minorEastAsia"/>
                      <w:b/>
                      <w:szCs w:val="21"/>
                    </w:rPr>
                    <w:t>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Merge w:val="continue"/>
                  <w:vAlign w:val="center"/>
                </w:tcPr>
                <w:p>
                  <w:pPr>
                    <w:jc w:val="center"/>
                    <w:rPr>
                      <w:rFonts w:ascii="Times New Roman" w:hAnsi="Times New Roman" w:eastAsiaTheme="minorEastAsia"/>
                      <w:szCs w:val="21"/>
                    </w:rPr>
                  </w:pPr>
                </w:p>
              </w:tc>
              <w:tc>
                <w:tcPr>
                  <w:tcW w:w="1207" w:type="dxa"/>
                  <w:vAlign w:val="center"/>
                </w:tcPr>
                <w:p>
                  <w:pPr>
                    <w:jc w:val="center"/>
                    <w:rPr>
                      <w:rFonts w:ascii="Times New Roman" w:hAnsi="Times New Roman" w:eastAsiaTheme="minorEastAsia"/>
                      <w:b/>
                      <w:szCs w:val="21"/>
                    </w:rPr>
                  </w:pPr>
                  <w:r>
                    <w:rPr>
                      <w:rFonts w:ascii="Times New Roman" w:hAnsi="Times New Roman" w:eastAsiaTheme="minorEastAsia"/>
                      <w:b/>
                      <w:szCs w:val="21"/>
                    </w:rPr>
                    <w:t>1#</w:t>
                  </w:r>
                </w:p>
              </w:tc>
              <w:tc>
                <w:tcPr>
                  <w:tcW w:w="1150" w:type="dxa"/>
                  <w:vAlign w:val="center"/>
                </w:tcPr>
                <w:p>
                  <w:pPr>
                    <w:jc w:val="center"/>
                    <w:rPr>
                      <w:rFonts w:ascii="Times New Roman" w:hAnsi="Times New Roman" w:eastAsiaTheme="minorEastAsia"/>
                      <w:b/>
                      <w:szCs w:val="21"/>
                    </w:rPr>
                  </w:pPr>
                  <w:r>
                    <w:rPr>
                      <w:rFonts w:ascii="Times New Roman" w:hAnsi="Times New Roman" w:eastAsiaTheme="minorEastAsia"/>
                      <w:b/>
                      <w:szCs w:val="21"/>
                    </w:rPr>
                    <w:t>2#</w:t>
                  </w:r>
                </w:p>
              </w:tc>
              <w:tc>
                <w:tcPr>
                  <w:tcW w:w="1234" w:type="dxa"/>
                  <w:tcBorders>
                    <w:right w:val="single" w:color="auto" w:sz="4" w:space="0"/>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3#</w:t>
                  </w:r>
                </w:p>
              </w:tc>
              <w:tc>
                <w:tcPr>
                  <w:tcW w:w="1266" w:type="dxa"/>
                  <w:tcBorders>
                    <w:left w:val="single" w:color="auto" w:sz="4" w:space="0"/>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4#</w:t>
                  </w:r>
                </w:p>
              </w:tc>
              <w:tc>
                <w:tcPr>
                  <w:tcW w:w="1117" w:type="dxa"/>
                  <w:vMerge w:val="continue"/>
                  <w:vAlign w:val="center"/>
                </w:tcPr>
                <w:p>
                  <w:pPr>
                    <w:jc w:val="center"/>
                    <w:rPr>
                      <w:rFonts w:ascii="Times New Roman" w:hAnsi="Times New Roman" w:eastAsiaTheme="minor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restart"/>
                  <w:vAlign w:val="center"/>
                </w:tcPr>
                <w:p>
                  <w:pPr>
                    <w:jc w:val="center"/>
                    <w:rPr>
                      <w:rFonts w:ascii="Times New Roman" w:hAnsi="Times New Roman" w:eastAsiaTheme="minorEastAsia"/>
                      <w:szCs w:val="21"/>
                    </w:rPr>
                  </w:pPr>
                  <w:r>
                    <w:rPr>
                      <w:rFonts w:ascii="Times New Roman" w:hAnsi="Times New Roman" w:eastAsiaTheme="minorEastAsia"/>
                      <w:szCs w:val="21"/>
                    </w:rPr>
                    <w:t>2018.11.20</w:t>
                  </w: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pH</w:t>
                  </w:r>
                </w:p>
              </w:tc>
              <w:tc>
                <w:tcPr>
                  <w:tcW w:w="1207" w:type="dxa"/>
                  <w:vAlign w:val="center"/>
                </w:tcPr>
                <w:p>
                  <w:pPr>
                    <w:jc w:val="center"/>
                    <w:rPr>
                      <w:rFonts w:ascii="Times New Roman" w:hAnsi="Times New Roman" w:eastAsiaTheme="minorEastAsia"/>
                      <w:szCs w:val="21"/>
                    </w:rPr>
                  </w:pPr>
                  <w:r>
                    <w:rPr>
                      <w:rFonts w:ascii="Times New Roman" w:hAnsi="Times New Roman" w:eastAsiaTheme="minorEastAsia"/>
                      <w:szCs w:val="21"/>
                    </w:rPr>
                    <w:t>7.</w:t>
                  </w:r>
                  <w:r>
                    <w:rPr>
                      <w:rFonts w:hint="eastAsia" w:ascii="Times New Roman" w:hAnsi="Times New Roman" w:eastAsiaTheme="minorEastAsia"/>
                      <w:szCs w:val="21"/>
                    </w:rPr>
                    <w:t>0</w:t>
                  </w:r>
                </w:p>
              </w:tc>
              <w:tc>
                <w:tcPr>
                  <w:tcW w:w="1150" w:type="dxa"/>
                  <w:vAlign w:val="center"/>
                </w:tcPr>
                <w:p>
                  <w:pPr>
                    <w:jc w:val="center"/>
                    <w:rPr>
                      <w:rFonts w:ascii="Times New Roman" w:hAnsi="Times New Roman" w:eastAsiaTheme="minorEastAsia"/>
                      <w:szCs w:val="21"/>
                    </w:rPr>
                  </w:pPr>
                  <w:r>
                    <w:rPr>
                      <w:rFonts w:ascii="Times New Roman" w:hAnsi="Times New Roman" w:eastAsiaTheme="minorEastAsia"/>
                      <w:szCs w:val="21"/>
                    </w:rPr>
                    <w:t>7.</w:t>
                  </w:r>
                  <w:r>
                    <w:rPr>
                      <w:rFonts w:hint="eastAsia" w:ascii="Times New Roman" w:hAnsi="Times New Roman" w:eastAsiaTheme="minorEastAsia"/>
                      <w:szCs w:val="21"/>
                    </w:rPr>
                    <w:t>1</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ascii="Times New Roman" w:hAnsi="Times New Roman" w:eastAsiaTheme="minorEastAsia"/>
                      <w:szCs w:val="21"/>
                    </w:rPr>
                    <w:t>7.</w:t>
                  </w:r>
                  <w:r>
                    <w:rPr>
                      <w:rFonts w:hint="eastAsia" w:ascii="Times New Roman" w:hAnsi="Times New Roman" w:eastAsiaTheme="minorEastAsia"/>
                      <w:szCs w:val="21"/>
                    </w:rPr>
                    <w:t>0</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6.9</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CODcr</w:t>
                  </w:r>
                </w:p>
              </w:tc>
              <w:tc>
                <w:tcPr>
                  <w:tcW w:w="1207"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9.67</w:t>
                  </w:r>
                </w:p>
              </w:tc>
              <w:tc>
                <w:tcPr>
                  <w:tcW w:w="1150"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10.5</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10.8</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9.22</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vertAlign w:val="subscript"/>
                    </w:rPr>
                  </w:pPr>
                  <w:r>
                    <w:rPr>
                      <w:rFonts w:ascii="Times New Roman" w:hAnsi="Times New Roman" w:eastAsiaTheme="minorEastAsia"/>
                      <w:szCs w:val="21"/>
                    </w:rPr>
                    <w:t>BOD</w:t>
                  </w:r>
                  <w:r>
                    <w:rPr>
                      <w:rFonts w:ascii="Times New Roman" w:hAnsi="Times New Roman" w:eastAsiaTheme="minorEastAsia"/>
                      <w:szCs w:val="21"/>
                      <w:vertAlign w:val="subscript"/>
                    </w:rPr>
                    <w:t>5</w:t>
                  </w:r>
                </w:p>
              </w:tc>
              <w:tc>
                <w:tcPr>
                  <w:tcW w:w="1207"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1.0</w:t>
                  </w:r>
                </w:p>
              </w:tc>
              <w:tc>
                <w:tcPr>
                  <w:tcW w:w="1150"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1.2</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1.4</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1.1</w:t>
                  </w:r>
                </w:p>
              </w:tc>
              <w:tc>
                <w:tcPr>
                  <w:tcW w:w="1117" w:type="dxa"/>
                </w:tcPr>
                <w:p>
                  <w:pPr>
                    <w:jc w:val="center"/>
                    <w:rPr>
                      <w:rFonts w:ascii="Times New Roman" w:hAnsi="Times New Roman" w:eastAsiaTheme="minorEastAsia"/>
                      <w:szCs w:val="21"/>
                    </w:rPr>
                  </w:pPr>
                  <w:r>
                    <w:rPr>
                      <w:rFonts w:ascii="Times New Roman" w:hAnsi="Times New Roman" w:eastAsiaTheme="minorEastAsia"/>
                      <w:szCs w:val="21"/>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NH</w:t>
                  </w:r>
                  <w:r>
                    <w:rPr>
                      <w:rFonts w:ascii="Times New Roman" w:hAnsi="Times New Roman" w:eastAsiaTheme="minorEastAsia"/>
                      <w:szCs w:val="21"/>
                      <w:vertAlign w:val="subscript"/>
                    </w:rPr>
                    <w:t>3</w:t>
                  </w:r>
                  <w:r>
                    <w:rPr>
                      <w:rFonts w:ascii="Times New Roman" w:hAnsi="Times New Roman" w:eastAsiaTheme="minorEastAsia"/>
                      <w:szCs w:val="21"/>
                    </w:rPr>
                    <w:t>-N</w:t>
                  </w:r>
                </w:p>
              </w:tc>
              <w:tc>
                <w:tcPr>
                  <w:tcW w:w="1207" w:type="dxa"/>
                  <w:vAlign w:val="center"/>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.134</w:t>
                  </w:r>
                </w:p>
              </w:tc>
              <w:tc>
                <w:tcPr>
                  <w:tcW w:w="1150" w:type="dxa"/>
                  <w:vAlign w:val="center"/>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150</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142</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0.133</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TP</w:t>
                  </w:r>
                </w:p>
              </w:tc>
              <w:tc>
                <w:tcPr>
                  <w:tcW w:w="1207" w:type="dxa"/>
                  <w:vAlign w:val="center"/>
                </w:tcPr>
                <w:p>
                  <w:pPr>
                    <w:jc w:val="center"/>
                    <w:rPr>
                      <w:rFonts w:ascii="Times New Roman" w:hAnsi="Times New Roman" w:eastAsiaTheme="minorEastAsia"/>
                      <w:szCs w:val="21"/>
                    </w:rPr>
                  </w:pPr>
                  <w:r>
                    <w:rPr>
                      <w:rFonts w:ascii="Times New Roman" w:hAnsi="Times New Roman" w:eastAsiaTheme="minorEastAsia"/>
                      <w:szCs w:val="21"/>
                    </w:rPr>
                    <w:t>0.08</w:t>
                  </w:r>
                </w:p>
              </w:tc>
              <w:tc>
                <w:tcPr>
                  <w:tcW w:w="1150" w:type="dxa"/>
                  <w:vAlign w:val="center"/>
                </w:tcPr>
                <w:p>
                  <w:pPr>
                    <w:jc w:val="center"/>
                    <w:rPr>
                      <w:rFonts w:ascii="Times New Roman" w:hAnsi="Times New Roman" w:eastAsiaTheme="minorEastAsia"/>
                      <w:szCs w:val="21"/>
                    </w:rPr>
                  </w:pPr>
                  <w:r>
                    <w:rPr>
                      <w:rFonts w:ascii="Times New Roman" w:hAnsi="Times New Roman" w:eastAsiaTheme="minorEastAsia"/>
                      <w:szCs w:val="21"/>
                    </w:rPr>
                    <w:t>0.1</w:t>
                  </w:r>
                  <w:r>
                    <w:rPr>
                      <w:rFonts w:hint="eastAsia" w:ascii="Times New Roman" w:hAnsi="Times New Roman" w:eastAsiaTheme="minorEastAsia"/>
                      <w:szCs w:val="21"/>
                    </w:rPr>
                    <w:t>2</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10</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0.09</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restart"/>
                  <w:vAlign w:val="center"/>
                </w:tcPr>
                <w:p>
                  <w:pPr>
                    <w:jc w:val="center"/>
                    <w:rPr>
                      <w:rFonts w:ascii="Times New Roman" w:hAnsi="Times New Roman" w:eastAsiaTheme="minorEastAsia"/>
                      <w:szCs w:val="21"/>
                    </w:rPr>
                  </w:pPr>
                  <w:r>
                    <w:rPr>
                      <w:rFonts w:ascii="Times New Roman" w:hAnsi="Times New Roman" w:eastAsiaTheme="minorEastAsia"/>
                      <w:szCs w:val="21"/>
                    </w:rPr>
                    <w:t>2018.</w:t>
                  </w:r>
                  <w:r>
                    <w:rPr>
                      <w:rFonts w:hint="eastAsia" w:ascii="Times New Roman" w:hAnsi="Times New Roman" w:eastAsiaTheme="minorEastAsia"/>
                      <w:szCs w:val="21"/>
                    </w:rPr>
                    <w:t>11</w:t>
                  </w:r>
                  <w:r>
                    <w:rPr>
                      <w:rFonts w:ascii="Times New Roman" w:hAnsi="Times New Roman" w:eastAsiaTheme="minorEastAsia"/>
                      <w:szCs w:val="21"/>
                    </w:rPr>
                    <w:t>.</w:t>
                  </w:r>
                  <w:r>
                    <w:rPr>
                      <w:rFonts w:hint="eastAsia" w:ascii="Times New Roman" w:hAnsi="Times New Roman" w:eastAsiaTheme="minorEastAsia"/>
                      <w:szCs w:val="21"/>
                    </w:rPr>
                    <w:t>21</w:t>
                  </w: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pH</w:t>
                  </w:r>
                </w:p>
              </w:tc>
              <w:tc>
                <w:tcPr>
                  <w:tcW w:w="1207"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6.8</w:t>
                  </w:r>
                </w:p>
              </w:tc>
              <w:tc>
                <w:tcPr>
                  <w:tcW w:w="1150"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6.8</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6.9</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7.0</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CODcr</w:t>
                  </w:r>
                </w:p>
              </w:tc>
              <w:tc>
                <w:tcPr>
                  <w:tcW w:w="1207"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9.42</w:t>
                  </w:r>
                </w:p>
              </w:tc>
              <w:tc>
                <w:tcPr>
                  <w:tcW w:w="1150"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9.86</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10.1</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9.35</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BOD</w:t>
                  </w:r>
                  <w:r>
                    <w:rPr>
                      <w:rFonts w:ascii="Times New Roman" w:hAnsi="Times New Roman" w:eastAsiaTheme="minorEastAsia"/>
                      <w:szCs w:val="21"/>
                      <w:vertAlign w:val="subscript"/>
                    </w:rPr>
                    <w:t>5</w:t>
                  </w:r>
                </w:p>
              </w:tc>
              <w:tc>
                <w:tcPr>
                  <w:tcW w:w="1207"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0</w:t>
                  </w:r>
                  <w:r>
                    <w:rPr>
                      <w:rFonts w:ascii="Times New Roman" w:hAnsi="Times New Roman" w:eastAsiaTheme="minorEastAsia"/>
                      <w:szCs w:val="21"/>
                    </w:rPr>
                    <w:t>.8</w:t>
                  </w:r>
                </w:p>
              </w:tc>
              <w:tc>
                <w:tcPr>
                  <w:tcW w:w="1150" w:type="dxa"/>
                  <w:vAlign w:val="center"/>
                </w:tcPr>
                <w:p>
                  <w:pPr>
                    <w:jc w:val="center"/>
                    <w:rPr>
                      <w:rFonts w:ascii="Times New Roman" w:hAnsi="Times New Roman" w:eastAsiaTheme="minorEastAsia"/>
                      <w:szCs w:val="21"/>
                    </w:rPr>
                  </w:pPr>
                  <w:r>
                    <w:rPr>
                      <w:rFonts w:hint="eastAsia" w:ascii="Times New Roman" w:hAnsi="Times New Roman" w:eastAsiaTheme="minorEastAsia"/>
                      <w:szCs w:val="21"/>
                    </w:rPr>
                    <w:t>0.9</w:t>
                  </w:r>
                </w:p>
              </w:tc>
              <w:tc>
                <w:tcPr>
                  <w:tcW w:w="1234" w:type="dxa"/>
                  <w:tcBorders>
                    <w:righ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1.1</w:t>
                  </w:r>
                </w:p>
              </w:tc>
              <w:tc>
                <w:tcPr>
                  <w:tcW w:w="1266" w:type="dxa"/>
                  <w:tcBorders>
                    <w:left w:val="single" w:color="auto" w:sz="4" w:space="0"/>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1.0</w:t>
                  </w:r>
                </w:p>
              </w:tc>
              <w:tc>
                <w:tcPr>
                  <w:tcW w:w="1117" w:type="dxa"/>
                </w:tcPr>
                <w:p>
                  <w:pPr>
                    <w:jc w:val="center"/>
                    <w:rPr>
                      <w:rFonts w:ascii="Times New Roman" w:hAnsi="Times New Roman" w:eastAsiaTheme="minorEastAsia"/>
                      <w:szCs w:val="21"/>
                    </w:rPr>
                  </w:pPr>
                  <w:r>
                    <w:rPr>
                      <w:rFonts w:ascii="Times New Roman" w:hAnsi="Times New Roman" w:eastAsiaTheme="minorEastAsia"/>
                      <w:szCs w:val="21"/>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NH</w:t>
                  </w:r>
                  <w:r>
                    <w:rPr>
                      <w:rFonts w:ascii="Times New Roman" w:hAnsi="Times New Roman" w:eastAsiaTheme="minorEastAsia"/>
                      <w:szCs w:val="21"/>
                      <w:vertAlign w:val="subscript"/>
                    </w:rPr>
                    <w:t>3</w:t>
                  </w:r>
                  <w:r>
                    <w:rPr>
                      <w:rFonts w:ascii="Times New Roman" w:hAnsi="Times New Roman" w:eastAsiaTheme="minorEastAsia"/>
                      <w:szCs w:val="21"/>
                    </w:rPr>
                    <w:t>-N</w:t>
                  </w:r>
                </w:p>
              </w:tc>
              <w:tc>
                <w:tcPr>
                  <w:tcW w:w="1207" w:type="dxa"/>
                  <w:vAlign w:val="center"/>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12</w:t>
                  </w:r>
                  <w:r>
                    <w:rPr>
                      <w:rFonts w:ascii="Times New Roman" w:hAnsi="Times New Roman" w:eastAsiaTheme="minorEastAsia"/>
                      <w:szCs w:val="21"/>
                    </w:rPr>
                    <w:t>8</w:t>
                  </w:r>
                </w:p>
              </w:tc>
              <w:tc>
                <w:tcPr>
                  <w:tcW w:w="1150" w:type="dxa"/>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14</w:t>
                  </w:r>
                  <w:r>
                    <w:rPr>
                      <w:rFonts w:ascii="Times New Roman" w:hAnsi="Times New Roman" w:eastAsiaTheme="minorEastAsia"/>
                      <w:szCs w:val="21"/>
                    </w:rPr>
                    <w:t>2</w:t>
                  </w:r>
                </w:p>
              </w:tc>
              <w:tc>
                <w:tcPr>
                  <w:tcW w:w="1234" w:type="dxa"/>
                  <w:tcBorders>
                    <w:right w:val="single" w:color="auto" w:sz="4" w:space="0"/>
                  </w:tcBorders>
                </w:tcPr>
                <w:p>
                  <w:pPr>
                    <w:jc w:val="center"/>
                    <w:rPr>
                      <w:rFonts w:ascii="Times New Roman" w:hAnsi="Times New Roman" w:eastAsiaTheme="minorEastAsia"/>
                      <w:szCs w:val="21"/>
                    </w:rPr>
                  </w:pPr>
                  <w:r>
                    <w:rPr>
                      <w:rFonts w:ascii="Times New Roman" w:hAnsi="Times New Roman" w:eastAsiaTheme="minorEastAsia"/>
                      <w:szCs w:val="21"/>
                    </w:rPr>
                    <w:t>0.</w:t>
                  </w:r>
                  <w:r>
                    <w:rPr>
                      <w:rFonts w:hint="eastAsia" w:ascii="Times New Roman" w:hAnsi="Times New Roman" w:eastAsiaTheme="minorEastAsia"/>
                      <w:szCs w:val="21"/>
                    </w:rPr>
                    <w:t>138</w:t>
                  </w:r>
                </w:p>
              </w:tc>
              <w:tc>
                <w:tcPr>
                  <w:tcW w:w="1266" w:type="dxa"/>
                  <w:tcBorders>
                    <w:left w:val="single" w:color="auto" w:sz="4" w:space="0"/>
                  </w:tcBorders>
                </w:tcPr>
                <w:p>
                  <w:pPr>
                    <w:jc w:val="center"/>
                    <w:rPr>
                      <w:rFonts w:ascii="Times New Roman" w:hAnsi="Times New Roman" w:eastAsiaTheme="minorEastAsia"/>
                      <w:szCs w:val="21"/>
                    </w:rPr>
                  </w:pPr>
                  <w:r>
                    <w:rPr>
                      <w:rFonts w:hint="eastAsia" w:ascii="Times New Roman" w:hAnsi="Times New Roman" w:eastAsiaTheme="minorEastAsia"/>
                      <w:szCs w:val="21"/>
                    </w:rPr>
                    <w:t>0.126</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94" w:type="dxa"/>
                  <w:vMerge w:val="continue"/>
                  <w:vAlign w:val="center"/>
                </w:tcPr>
                <w:p>
                  <w:pPr>
                    <w:jc w:val="center"/>
                    <w:rPr>
                      <w:rFonts w:ascii="Times New Roman" w:hAnsi="Times New Roman" w:eastAsiaTheme="minorEastAsia"/>
                      <w:szCs w:val="21"/>
                    </w:rPr>
                  </w:pPr>
                </w:p>
              </w:tc>
              <w:tc>
                <w:tcPr>
                  <w:tcW w:w="1495" w:type="dxa"/>
                  <w:vAlign w:val="center"/>
                </w:tcPr>
                <w:p>
                  <w:pPr>
                    <w:jc w:val="center"/>
                    <w:rPr>
                      <w:rFonts w:ascii="Times New Roman" w:hAnsi="Times New Roman" w:eastAsiaTheme="minorEastAsia"/>
                      <w:szCs w:val="21"/>
                    </w:rPr>
                  </w:pPr>
                  <w:r>
                    <w:rPr>
                      <w:rFonts w:ascii="Times New Roman" w:hAnsi="Times New Roman" w:eastAsiaTheme="minorEastAsia"/>
                      <w:szCs w:val="21"/>
                    </w:rPr>
                    <w:t>TP</w:t>
                  </w:r>
                </w:p>
              </w:tc>
              <w:tc>
                <w:tcPr>
                  <w:tcW w:w="1207" w:type="dxa"/>
                  <w:vAlign w:val="center"/>
                </w:tcPr>
                <w:p>
                  <w:pPr>
                    <w:jc w:val="center"/>
                    <w:rPr>
                      <w:rFonts w:ascii="Times New Roman" w:hAnsi="Times New Roman" w:eastAsiaTheme="minorEastAsia"/>
                      <w:szCs w:val="21"/>
                    </w:rPr>
                  </w:pPr>
                  <w:r>
                    <w:rPr>
                      <w:rFonts w:ascii="Times New Roman" w:hAnsi="Times New Roman" w:eastAsiaTheme="minorEastAsia"/>
                      <w:szCs w:val="21"/>
                    </w:rPr>
                    <w:t>0.0</w:t>
                  </w:r>
                  <w:r>
                    <w:rPr>
                      <w:rFonts w:hint="eastAsia" w:ascii="Times New Roman" w:hAnsi="Times New Roman" w:eastAsiaTheme="minorEastAsia"/>
                      <w:szCs w:val="21"/>
                    </w:rPr>
                    <w:t>9</w:t>
                  </w:r>
                </w:p>
              </w:tc>
              <w:tc>
                <w:tcPr>
                  <w:tcW w:w="1150" w:type="dxa"/>
                </w:tcPr>
                <w:p>
                  <w:pPr>
                    <w:jc w:val="center"/>
                    <w:rPr>
                      <w:rFonts w:ascii="Times New Roman" w:hAnsi="Times New Roman" w:eastAsiaTheme="minorEastAsia"/>
                      <w:szCs w:val="21"/>
                    </w:rPr>
                  </w:pPr>
                  <w:r>
                    <w:rPr>
                      <w:rFonts w:ascii="Times New Roman" w:hAnsi="Times New Roman" w:eastAsiaTheme="minorEastAsia"/>
                      <w:szCs w:val="21"/>
                    </w:rPr>
                    <w:t>0.14</w:t>
                  </w:r>
                </w:p>
              </w:tc>
              <w:tc>
                <w:tcPr>
                  <w:tcW w:w="1234" w:type="dxa"/>
                  <w:tcBorders>
                    <w:right w:val="single" w:color="auto" w:sz="4" w:space="0"/>
                  </w:tcBorders>
                </w:tcPr>
                <w:p>
                  <w:pPr>
                    <w:jc w:val="center"/>
                    <w:rPr>
                      <w:rFonts w:ascii="Times New Roman" w:hAnsi="Times New Roman" w:eastAsiaTheme="minorEastAsia"/>
                      <w:szCs w:val="21"/>
                    </w:rPr>
                  </w:pPr>
                  <w:r>
                    <w:rPr>
                      <w:rFonts w:ascii="Times New Roman" w:hAnsi="Times New Roman" w:eastAsiaTheme="minorEastAsia"/>
                      <w:szCs w:val="21"/>
                    </w:rPr>
                    <w:t>0.1</w:t>
                  </w:r>
                  <w:r>
                    <w:rPr>
                      <w:rFonts w:hint="eastAsia" w:ascii="Times New Roman" w:hAnsi="Times New Roman" w:eastAsiaTheme="minorEastAsia"/>
                      <w:szCs w:val="21"/>
                    </w:rPr>
                    <w:t>1</w:t>
                  </w:r>
                </w:p>
              </w:tc>
              <w:tc>
                <w:tcPr>
                  <w:tcW w:w="1266" w:type="dxa"/>
                  <w:tcBorders>
                    <w:left w:val="single" w:color="auto" w:sz="4" w:space="0"/>
                  </w:tcBorders>
                </w:tcPr>
                <w:p>
                  <w:pPr>
                    <w:jc w:val="center"/>
                    <w:rPr>
                      <w:rFonts w:ascii="Times New Roman" w:hAnsi="Times New Roman" w:eastAsiaTheme="minorEastAsia"/>
                      <w:szCs w:val="21"/>
                    </w:rPr>
                  </w:pPr>
                  <w:r>
                    <w:rPr>
                      <w:rFonts w:hint="eastAsia" w:ascii="Times New Roman" w:hAnsi="Times New Roman" w:eastAsiaTheme="minorEastAsia"/>
                      <w:szCs w:val="21"/>
                    </w:rPr>
                    <w:t>0.12</w:t>
                  </w:r>
                </w:p>
              </w:tc>
              <w:tc>
                <w:tcPr>
                  <w:tcW w:w="1117" w:type="dxa"/>
                  <w:vAlign w:val="center"/>
                </w:tcPr>
                <w:p>
                  <w:pPr>
                    <w:jc w:val="center"/>
                    <w:rPr>
                      <w:rFonts w:ascii="Times New Roman" w:hAnsi="Times New Roman" w:eastAsiaTheme="minorEastAsia"/>
                      <w:szCs w:val="21"/>
                    </w:rPr>
                  </w:pPr>
                  <w:r>
                    <w:rPr>
                      <w:rFonts w:ascii="Times New Roman" w:hAnsi="Times New Roman" w:eastAsiaTheme="minorEastAsia"/>
                      <w:szCs w:val="21"/>
                    </w:rPr>
                    <w:t>≤0.2</w:t>
                  </w:r>
                </w:p>
              </w:tc>
            </w:tr>
          </w:tbl>
          <w:p>
            <w:pPr>
              <w:spacing w:line="360" w:lineRule="auto"/>
              <w:ind w:firstLine="480" w:firstLineChars="200"/>
              <w:rPr>
                <w:rFonts w:eastAsiaTheme="minorEastAsia"/>
                <w:sz w:val="24"/>
              </w:rPr>
            </w:pP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对照上表监测结果，</w:t>
            </w:r>
            <w:r>
              <w:rPr>
                <w:rFonts w:hint="eastAsia" w:ascii="Times New Roman" w:hAnsi="Times New Roman" w:eastAsiaTheme="minorEastAsia"/>
                <w:sz w:val="24"/>
              </w:rPr>
              <w:t>长江</w:t>
            </w:r>
            <w:r>
              <w:rPr>
                <w:rFonts w:ascii="Times New Roman" w:hAnsi="Times New Roman" w:eastAsiaTheme="minorEastAsia"/>
                <w:sz w:val="24"/>
              </w:rPr>
              <w:t>不同监测断面处各水质指标均能满足《地表水环境质量标准》（GB3838-2002）中的III类水质标准要求，拟建项目区域地表水环境质量较好。</w:t>
            </w:r>
          </w:p>
          <w:p>
            <w:pPr>
              <w:spacing w:line="480" w:lineRule="exact"/>
              <w:ind w:firstLine="472" w:firstLineChars="196"/>
              <w:rPr>
                <w:rFonts w:ascii="Times New Roman" w:hAnsi="Times New Roman"/>
                <w:b/>
                <w:sz w:val="24"/>
              </w:rPr>
            </w:pPr>
          </w:p>
          <w:p>
            <w:pPr>
              <w:spacing w:line="480" w:lineRule="exact"/>
              <w:ind w:firstLine="472" w:firstLineChars="196"/>
              <w:rPr>
                <w:rFonts w:ascii="Times New Roman" w:hAnsi="Times New Roman"/>
                <w:b/>
                <w:sz w:val="24"/>
              </w:rPr>
            </w:pPr>
            <w:r>
              <w:rPr>
                <w:rFonts w:ascii="Times New Roman" w:hAnsi="Times New Roman"/>
                <w:b/>
                <w:sz w:val="24"/>
              </w:rPr>
              <w:t>3、声环境质量状况</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本次环境噪声现状监测点在在高</w:t>
            </w:r>
            <w:r>
              <w:rPr>
                <w:rFonts w:hint="eastAsia" w:ascii="Times New Roman" w:hAnsi="Times New Roman"/>
                <w:color w:val="000000"/>
                <w:sz w:val="24"/>
                <w:szCs w:val="24"/>
              </w:rPr>
              <w:t>安</w:t>
            </w:r>
            <w:r>
              <w:rPr>
                <w:rFonts w:ascii="Times New Roman" w:hAnsi="Times New Roman"/>
                <w:color w:val="000000"/>
                <w:sz w:val="24"/>
                <w:szCs w:val="24"/>
              </w:rPr>
              <w:t>站、横山站站址东、西、南、北厂界各布设1个噪声监测点位，管道沿线敏感点布设1处噪声监测点位，共9个点位，安徽威正测试技术有限公司于202</w:t>
            </w:r>
            <w:r>
              <w:rPr>
                <w:rFonts w:hint="eastAsia" w:ascii="Times New Roman" w:hAnsi="Times New Roman"/>
                <w:color w:val="000000"/>
                <w:sz w:val="24"/>
                <w:szCs w:val="24"/>
              </w:rPr>
              <w:t>1</w:t>
            </w:r>
            <w:r>
              <w:rPr>
                <w:rFonts w:ascii="Times New Roman" w:hAnsi="Times New Roman"/>
                <w:color w:val="000000"/>
                <w:sz w:val="24"/>
                <w:szCs w:val="24"/>
              </w:rPr>
              <w:t>年</w:t>
            </w:r>
            <w:r>
              <w:rPr>
                <w:rFonts w:hint="eastAsia" w:ascii="Times New Roman" w:hAnsi="Times New Roman"/>
                <w:color w:val="000000"/>
                <w:sz w:val="24"/>
                <w:szCs w:val="24"/>
              </w:rPr>
              <w:t>1</w:t>
            </w:r>
            <w:r>
              <w:rPr>
                <w:rFonts w:ascii="Times New Roman" w:hAnsi="Times New Roman"/>
                <w:color w:val="000000"/>
                <w:sz w:val="24"/>
                <w:szCs w:val="24"/>
              </w:rPr>
              <w:t>月</w:t>
            </w:r>
            <w:r>
              <w:rPr>
                <w:rFonts w:hint="eastAsia" w:ascii="Times New Roman" w:hAnsi="Times New Roman"/>
                <w:color w:val="000000"/>
                <w:sz w:val="24"/>
                <w:szCs w:val="24"/>
              </w:rPr>
              <w:t>17</w:t>
            </w:r>
            <w:r>
              <w:rPr>
                <w:rFonts w:ascii="Times New Roman" w:hAnsi="Times New Roman"/>
                <w:color w:val="000000"/>
                <w:sz w:val="24"/>
                <w:szCs w:val="24"/>
              </w:rPr>
              <w:t>日-</w:t>
            </w:r>
            <w:r>
              <w:rPr>
                <w:rFonts w:hint="eastAsia" w:ascii="Times New Roman" w:hAnsi="Times New Roman"/>
                <w:color w:val="000000"/>
                <w:sz w:val="24"/>
                <w:szCs w:val="24"/>
              </w:rPr>
              <w:t>1</w:t>
            </w:r>
            <w:r>
              <w:rPr>
                <w:rFonts w:ascii="Times New Roman" w:hAnsi="Times New Roman"/>
                <w:color w:val="000000"/>
                <w:sz w:val="24"/>
                <w:szCs w:val="24"/>
              </w:rPr>
              <w:t>月</w:t>
            </w:r>
            <w:r>
              <w:rPr>
                <w:rFonts w:hint="eastAsia" w:ascii="Times New Roman" w:hAnsi="Times New Roman"/>
                <w:color w:val="000000"/>
                <w:sz w:val="24"/>
                <w:szCs w:val="24"/>
              </w:rPr>
              <w:t>18</w:t>
            </w:r>
            <w:r>
              <w:rPr>
                <w:rFonts w:ascii="Times New Roman" w:hAnsi="Times New Roman"/>
                <w:color w:val="000000"/>
                <w:sz w:val="24"/>
                <w:szCs w:val="24"/>
              </w:rPr>
              <w:t>日进行了现状监测。监测数据详见下表。</w:t>
            </w:r>
          </w:p>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表3-</w:t>
            </w:r>
            <w:r>
              <w:rPr>
                <w:rFonts w:hint="eastAsia" w:ascii="Times New Roman" w:hAnsi="Times New Roman"/>
                <w:b/>
                <w:color w:val="000000"/>
                <w:sz w:val="24"/>
                <w:szCs w:val="24"/>
              </w:rPr>
              <w:t>4</w:t>
            </w:r>
            <w:r>
              <w:rPr>
                <w:rFonts w:ascii="Times New Roman" w:hAnsi="Times New Roman"/>
                <w:b/>
                <w:color w:val="000000"/>
                <w:sz w:val="24"/>
                <w:szCs w:val="24"/>
              </w:rPr>
              <w:t xml:space="preserve">  环境噪声现状监测结果统计表    单位：LeqdB(A)</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856"/>
              <w:gridCol w:w="1380"/>
              <w:gridCol w:w="1665"/>
              <w:gridCol w:w="1399"/>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Merge w:val="restart"/>
                  <w:vAlign w:val="center"/>
                </w:tcPr>
                <w:p>
                  <w:pPr>
                    <w:jc w:val="center"/>
                    <w:rPr>
                      <w:rFonts w:ascii="Times New Roman" w:hAnsi="Times New Roman"/>
                      <w:b/>
                      <w:color w:val="000000"/>
                      <w:szCs w:val="21"/>
                    </w:rPr>
                  </w:pPr>
                  <w:r>
                    <w:rPr>
                      <w:rFonts w:ascii="Times New Roman" w:hAnsi="Times New Roman"/>
                      <w:b/>
                      <w:color w:val="000000"/>
                      <w:szCs w:val="21"/>
                    </w:rPr>
                    <w:t>序号</w:t>
                  </w:r>
                </w:p>
              </w:tc>
              <w:tc>
                <w:tcPr>
                  <w:tcW w:w="1856" w:type="dxa"/>
                  <w:vMerge w:val="restart"/>
                  <w:vAlign w:val="center"/>
                </w:tcPr>
                <w:p>
                  <w:pPr>
                    <w:jc w:val="center"/>
                    <w:rPr>
                      <w:rFonts w:ascii="Times New Roman" w:hAnsi="Times New Roman"/>
                      <w:b/>
                      <w:color w:val="000000"/>
                      <w:szCs w:val="21"/>
                    </w:rPr>
                  </w:pPr>
                  <w:r>
                    <w:rPr>
                      <w:rFonts w:ascii="Times New Roman" w:hAnsi="Times New Roman"/>
                      <w:b/>
                      <w:color w:val="000000"/>
                      <w:szCs w:val="21"/>
                    </w:rPr>
                    <w:t>检测点位</w:t>
                  </w:r>
                </w:p>
              </w:tc>
              <w:tc>
                <w:tcPr>
                  <w:tcW w:w="3045" w:type="dxa"/>
                  <w:gridSpan w:val="2"/>
                  <w:vAlign w:val="center"/>
                </w:tcPr>
                <w:p>
                  <w:pPr>
                    <w:jc w:val="center"/>
                    <w:rPr>
                      <w:rFonts w:ascii="Times New Roman" w:hAnsi="Times New Roman"/>
                      <w:b/>
                      <w:color w:val="000000"/>
                      <w:szCs w:val="21"/>
                    </w:rPr>
                  </w:pPr>
                  <w:r>
                    <w:rPr>
                      <w:rFonts w:ascii="Times New Roman" w:hAnsi="Times New Roman"/>
                      <w:b/>
                      <w:color w:val="000000"/>
                      <w:szCs w:val="21"/>
                    </w:rPr>
                    <w:t>202</w:t>
                  </w:r>
                  <w:r>
                    <w:rPr>
                      <w:rFonts w:hint="eastAsia" w:ascii="Times New Roman" w:hAnsi="Times New Roman"/>
                      <w:b/>
                      <w:color w:val="000000"/>
                      <w:szCs w:val="21"/>
                    </w:rPr>
                    <w:t>1</w:t>
                  </w:r>
                  <w:r>
                    <w:rPr>
                      <w:rFonts w:ascii="Times New Roman" w:hAnsi="Times New Roman"/>
                      <w:b/>
                      <w:color w:val="000000"/>
                      <w:szCs w:val="21"/>
                    </w:rPr>
                    <w:t>年</w:t>
                  </w:r>
                  <w:r>
                    <w:rPr>
                      <w:rFonts w:hint="eastAsia" w:ascii="Times New Roman" w:hAnsi="Times New Roman"/>
                      <w:b/>
                      <w:color w:val="000000"/>
                      <w:szCs w:val="21"/>
                    </w:rPr>
                    <w:t>1</w:t>
                  </w:r>
                  <w:r>
                    <w:rPr>
                      <w:rFonts w:ascii="Times New Roman" w:hAnsi="Times New Roman"/>
                      <w:b/>
                      <w:color w:val="000000"/>
                      <w:szCs w:val="21"/>
                    </w:rPr>
                    <w:t>月</w:t>
                  </w:r>
                  <w:r>
                    <w:rPr>
                      <w:rFonts w:hint="eastAsia" w:ascii="Times New Roman" w:hAnsi="Times New Roman"/>
                      <w:b/>
                      <w:color w:val="000000"/>
                      <w:szCs w:val="21"/>
                    </w:rPr>
                    <w:t>17</w:t>
                  </w:r>
                  <w:r>
                    <w:rPr>
                      <w:rFonts w:ascii="Times New Roman" w:hAnsi="Times New Roman"/>
                      <w:b/>
                      <w:color w:val="000000"/>
                      <w:szCs w:val="21"/>
                    </w:rPr>
                    <w:t>日</w:t>
                  </w:r>
                </w:p>
              </w:tc>
              <w:tc>
                <w:tcPr>
                  <w:tcW w:w="3087" w:type="dxa"/>
                  <w:gridSpan w:val="2"/>
                  <w:vAlign w:val="center"/>
                </w:tcPr>
                <w:p>
                  <w:pPr>
                    <w:jc w:val="center"/>
                    <w:rPr>
                      <w:rFonts w:ascii="Times New Roman" w:hAnsi="Times New Roman"/>
                      <w:b/>
                      <w:color w:val="000000"/>
                      <w:szCs w:val="21"/>
                    </w:rPr>
                  </w:pPr>
                  <w:r>
                    <w:rPr>
                      <w:rFonts w:ascii="Times New Roman" w:hAnsi="Times New Roman"/>
                      <w:b/>
                      <w:color w:val="000000"/>
                      <w:szCs w:val="21"/>
                    </w:rPr>
                    <w:t>202</w:t>
                  </w:r>
                  <w:r>
                    <w:rPr>
                      <w:rFonts w:hint="eastAsia" w:ascii="Times New Roman" w:hAnsi="Times New Roman"/>
                      <w:b/>
                      <w:color w:val="000000"/>
                      <w:szCs w:val="21"/>
                    </w:rPr>
                    <w:t>1</w:t>
                  </w:r>
                  <w:r>
                    <w:rPr>
                      <w:rFonts w:ascii="Times New Roman" w:hAnsi="Times New Roman"/>
                      <w:b/>
                      <w:color w:val="000000"/>
                      <w:szCs w:val="21"/>
                    </w:rPr>
                    <w:t>年</w:t>
                  </w:r>
                  <w:r>
                    <w:rPr>
                      <w:rFonts w:hint="eastAsia" w:ascii="Times New Roman" w:hAnsi="Times New Roman"/>
                      <w:b/>
                      <w:color w:val="000000"/>
                      <w:szCs w:val="21"/>
                    </w:rPr>
                    <w:t>1</w:t>
                  </w:r>
                  <w:r>
                    <w:rPr>
                      <w:rFonts w:ascii="Times New Roman" w:hAnsi="Times New Roman"/>
                      <w:b/>
                      <w:color w:val="000000"/>
                      <w:szCs w:val="21"/>
                    </w:rPr>
                    <w:t>月</w:t>
                  </w:r>
                  <w:r>
                    <w:rPr>
                      <w:rFonts w:hint="eastAsia" w:ascii="Times New Roman" w:hAnsi="Times New Roman"/>
                      <w:b/>
                      <w:color w:val="000000"/>
                      <w:szCs w:val="21"/>
                    </w:rPr>
                    <w:t>18</w:t>
                  </w:r>
                  <w:r>
                    <w:rPr>
                      <w:rFonts w:ascii="Times New Roman" w:hAnsi="Times New Roman"/>
                      <w:b/>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Merge w:val="continue"/>
                </w:tcPr>
                <w:p>
                  <w:pPr>
                    <w:jc w:val="center"/>
                    <w:rPr>
                      <w:rFonts w:ascii="Times New Roman" w:hAnsi="Times New Roman"/>
                      <w:b/>
                      <w:color w:val="000000"/>
                      <w:szCs w:val="21"/>
                    </w:rPr>
                  </w:pPr>
                </w:p>
              </w:tc>
              <w:tc>
                <w:tcPr>
                  <w:tcW w:w="1856" w:type="dxa"/>
                  <w:vMerge w:val="continue"/>
                </w:tcPr>
                <w:p>
                  <w:pPr>
                    <w:rPr>
                      <w:rFonts w:ascii="Times New Roman" w:hAnsi="Times New Roman"/>
                      <w:b/>
                      <w:color w:val="000000"/>
                      <w:szCs w:val="21"/>
                    </w:rPr>
                  </w:pPr>
                </w:p>
              </w:tc>
              <w:tc>
                <w:tcPr>
                  <w:tcW w:w="1380" w:type="dxa"/>
                  <w:vAlign w:val="center"/>
                </w:tcPr>
                <w:p>
                  <w:pPr>
                    <w:jc w:val="center"/>
                    <w:rPr>
                      <w:rFonts w:ascii="Times New Roman" w:hAnsi="Times New Roman"/>
                      <w:b/>
                      <w:color w:val="000000"/>
                      <w:szCs w:val="21"/>
                    </w:rPr>
                  </w:pPr>
                  <w:r>
                    <w:rPr>
                      <w:rFonts w:ascii="Times New Roman" w:hAnsi="Times New Roman"/>
                      <w:b/>
                      <w:color w:val="000000"/>
                      <w:szCs w:val="21"/>
                    </w:rPr>
                    <w:t>昼间Leq</w:t>
                  </w:r>
                </w:p>
              </w:tc>
              <w:tc>
                <w:tcPr>
                  <w:tcW w:w="1665" w:type="dxa"/>
                  <w:vAlign w:val="center"/>
                </w:tcPr>
                <w:p>
                  <w:pPr>
                    <w:jc w:val="center"/>
                    <w:rPr>
                      <w:rFonts w:ascii="Times New Roman" w:hAnsi="Times New Roman"/>
                      <w:b/>
                      <w:color w:val="000000"/>
                      <w:szCs w:val="21"/>
                    </w:rPr>
                  </w:pPr>
                  <w:r>
                    <w:rPr>
                      <w:rFonts w:ascii="Times New Roman" w:hAnsi="Times New Roman"/>
                      <w:b/>
                      <w:color w:val="000000"/>
                      <w:szCs w:val="21"/>
                    </w:rPr>
                    <w:t>夜间Leq</w:t>
                  </w:r>
                </w:p>
              </w:tc>
              <w:tc>
                <w:tcPr>
                  <w:tcW w:w="1399" w:type="dxa"/>
                  <w:vAlign w:val="center"/>
                </w:tcPr>
                <w:p>
                  <w:pPr>
                    <w:jc w:val="center"/>
                    <w:rPr>
                      <w:rFonts w:ascii="Times New Roman" w:hAnsi="Times New Roman"/>
                      <w:b/>
                      <w:color w:val="000000"/>
                      <w:szCs w:val="21"/>
                    </w:rPr>
                  </w:pPr>
                  <w:r>
                    <w:rPr>
                      <w:rFonts w:ascii="Times New Roman" w:hAnsi="Times New Roman"/>
                      <w:b/>
                      <w:color w:val="000000"/>
                      <w:szCs w:val="21"/>
                    </w:rPr>
                    <w:t>昼间Leq</w:t>
                  </w:r>
                </w:p>
              </w:tc>
              <w:tc>
                <w:tcPr>
                  <w:tcW w:w="1688" w:type="dxa"/>
                  <w:vAlign w:val="center"/>
                </w:tcPr>
                <w:p>
                  <w:pPr>
                    <w:jc w:val="center"/>
                    <w:rPr>
                      <w:rFonts w:ascii="Times New Roman" w:hAnsi="Times New Roman"/>
                      <w:b/>
                      <w:color w:val="000000"/>
                      <w:szCs w:val="21"/>
                    </w:rPr>
                  </w:pPr>
                  <w:r>
                    <w:rPr>
                      <w:rFonts w:ascii="Times New Roman" w:hAnsi="Times New Roman"/>
                      <w:b/>
                      <w:color w:val="000000"/>
                      <w:szCs w:val="21"/>
                    </w:rPr>
                    <w:t>夜间Leq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N1</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高安站</w:t>
                  </w:r>
                  <w:r>
                    <w:rPr>
                      <w:rFonts w:ascii="Times New Roman" w:hAnsi="Times New Roman"/>
                      <w:color w:val="000000"/>
                      <w:szCs w:val="21"/>
                    </w:rPr>
                    <w:t>东侧厂界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53.9</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43.7</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53.7</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N2</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高安站</w:t>
                  </w:r>
                  <w:r>
                    <w:rPr>
                      <w:rFonts w:ascii="Times New Roman" w:hAnsi="Times New Roman"/>
                      <w:color w:val="000000"/>
                      <w:szCs w:val="21"/>
                    </w:rPr>
                    <w:t>南侧厂界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54.4</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44.3</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54.3</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N3</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高安站</w:t>
                  </w:r>
                  <w:r>
                    <w:rPr>
                      <w:rFonts w:ascii="Times New Roman" w:hAnsi="Times New Roman"/>
                      <w:color w:val="000000"/>
                      <w:szCs w:val="21"/>
                    </w:rPr>
                    <w:t>西侧厂界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54.3</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43.8</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54.0</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N4</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高安站</w:t>
                  </w:r>
                  <w:r>
                    <w:rPr>
                      <w:rFonts w:ascii="Times New Roman" w:hAnsi="Times New Roman"/>
                      <w:color w:val="000000"/>
                      <w:szCs w:val="21"/>
                    </w:rPr>
                    <w:t>北侧厂界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53.7</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43.4</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53.4</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N5</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横山站</w:t>
                  </w:r>
                  <w:r>
                    <w:rPr>
                      <w:rFonts w:ascii="Times New Roman" w:hAnsi="Times New Roman"/>
                      <w:color w:val="000000"/>
                      <w:szCs w:val="21"/>
                    </w:rPr>
                    <w:t>东侧厂界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54.5</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44.7</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54.3</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N6</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横山站</w:t>
                  </w:r>
                  <w:r>
                    <w:rPr>
                      <w:rFonts w:ascii="Times New Roman" w:hAnsi="Times New Roman"/>
                      <w:color w:val="000000"/>
                      <w:szCs w:val="21"/>
                    </w:rPr>
                    <w:t>南侧厂界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53.6</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44.1</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53.5</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N7</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横山站</w:t>
                  </w:r>
                  <w:r>
                    <w:rPr>
                      <w:rFonts w:ascii="Times New Roman" w:hAnsi="Times New Roman"/>
                      <w:color w:val="000000"/>
                      <w:szCs w:val="21"/>
                    </w:rPr>
                    <w:t>西侧厂界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53.3</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43.8</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53.1</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ascii="Times New Roman" w:hAnsi="Times New Roman"/>
                      <w:color w:val="000000"/>
                      <w:szCs w:val="21"/>
                    </w:rPr>
                    <w:t>N8</w:t>
                  </w:r>
                </w:p>
              </w:tc>
              <w:tc>
                <w:tcPr>
                  <w:tcW w:w="1856" w:type="dxa"/>
                  <w:vAlign w:val="center"/>
                </w:tcPr>
                <w:p>
                  <w:pPr>
                    <w:adjustRightInd w:val="0"/>
                    <w:snapToGrid w:val="0"/>
                    <w:jc w:val="center"/>
                    <w:rPr>
                      <w:rFonts w:ascii="Times New Roman" w:hAnsi="Times New Roman"/>
                      <w:color w:val="000000"/>
                      <w:szCs w:val="21"/>
                    </w:rPr>
                  </w:pPr>
                  <w:r>
                    <w:rPr>
                      <w:rFonts w:hint="eastAsia" w:ascii="Times New Roman" w:hAnsi="Times New Roman"/>
                      <w:color w:val="000000"/>
                      <w:szCs w:val="21"/>
                    </w:rPr>
                    <w:t>横山站</w:t>
                  </w:r>
                  <w:r>
                    <w:rPr>
                      <w:rFonts w:ascii="Times New Roman" w:hAnsi="Times New Roman"/>
                      <w:color w:val="000000"/>
                      <w:szCs w:val="21"/>
                    </w:rPr>
                    <w:t>北侧厂界</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54.5</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44.2</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54.2</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56" w:type="dxa"/>
                  <w:vAlign w:val="center"/>
                </w:tcPr>
                <w:p>
                  <w:pPr>
                    <w:jc w:val="center"/>
                    <w:rPr>
                      <w:rFonts w:ascii="Times New Roman" w:hAnsi="Times New Roman"/>
                      <w:color w:val="000000"/>
                      <w:szCs w:val="21"/>
                    </w:rPr>
                  </w:pPr>
                  <w:r>
                    <w:rPr>
                      <w:rFonts w:hint="eastAsia" w:ascii="Times New Roman" w:hAnsi="Times New Roman"/>
                      <w:color w:val="000000"/>
                      <w:szCs w:val="21"/>
                    </w:rPr>
                    <w:t>N9</w:t>
                  </w:r>
                </w:p>
              </w:tc>
              <w:tc>
                <w:tcPr>
                  <w:tcW w:w="1856" w:type="dxa"/>
                  <w:vAlign w:val="center"/>
                </w:tcPr>
                <w:p>
                  <w:pPr>
                    <w:widowControl/>
                    <w:spacing w:line="240" w:lineRule="atLeast"/>
                    <w:jc w:val="center"/>
                    <w:textAlignment w:val="center"/>
                    <w:rPr>
                      <w:rFonts w:ascii="Times New Roman" w:hAnsi="Times New Roman"/>
                      <w:color w:val="000000"/>
                      <w:szCs w:val="21"/>
                    </w:rPr>
                  </w:pPr>
                  <w:r>
                    <w:rPr>
                      <w:rFonts w:hint="eastAsia" w:ascii="Times New Roman" w:hAnsi="Times New Roman"/>
                      <w:color w:val="000000"/>
                      <w:szCs w:val="21"/>
                    </w:rPr>
                    <w:t>王圩</w:t>
                  </w:r>
                </w:p>
              </w:tc>
              <w:tc>
                <w:tcPr>
                  <w:tcW w:w="1380"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53.0</w:t>
                  </w:r>
                </w:p>
              </w:tc>
              <w:tc>
                <w:tcPr>
                  <w:tcW w:w="1665"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43.8</w:t>
                  </w:r>
                </w:p>
              </w:tc>
              <w:tc>
                <w:tcPr>
                  <w:tcW w:w="1399"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52.8</w:t>
                  </w:r>
                </w:p>
              </w:tc>
              <w:tc>
                <w:tcPr>
                  <w:tcW w:w="1688" w:type="dxa"/>
                  <w:vAlign w:val="center"/>
                </w:tcPr>
                <w:p>
                  <w:pPr>
                    <w:jc w:val="center"/>
                    <w:rPr>
                      <w:rFonts w:ascii="Times New Roman" w:hAnsi="Times New Roman"/>
                      <w:color w:val="000000"/>
                      <w:szCs w:val="21"/>
                      <w:lang w:val="zh-CN"/>
                    </w:rPr>
                  </w:pPr>
                  <w:r>
                    <w:rPr>
                      <w:rFonts w:ascii="Times New Roman" w:hAnsi="Times New Roman"/>
                      <w:color w:val="000000"/>
                      <w:szCs w:val="21"/>
                      <w:lang w:val="zh-CN"/>
                    </w:rPr>
                    <w:t>43.6</w:t>
                  </w:r>
                </w:p>
              </w:tc>
            </w:tr>
          </w:tbl>
          <w:p>
            <w:pPr>
              <w:pStyle w:val="21"/>
              <w:tabs>
                <w:tab w:val="left" w:pos="5520"/>
              </w:tabs>
              <w:spacing w:line="480" w:lineRule="exact"/>
              <w:ind w:firstLine="480" w:firstLineChars="200"/>
              <w:rPr>
                <w:rFonts w:ascii="Times New Roman" w:hAnsi="Times New Roman" w:cs="Times New Roman"/>
                <w:color w:val="000000"/>
                <w:sz w:val="24"/>
              </w:rPr>
            </w:pPr>
          </w:p>
          <w:p>
            <w:pPr>
              <w:spacing w:line="360" w:lineRule="auto"/>
            </w:pPr>
            <w:r>
              <w:rPr>
                <w:sz w:val="24"/>
              </w:rPr>
              <w:drawing>
                <wp:anchor distT="0" distB="0" distL="114935" distR="114935" simplePos="0" relativeHeight="251734016" behindDoc="0" locked="0" layoutInCell="1" allowOverlap="1">
                  <wp:simplePos x="0" y="0"/>
                  <wp:positionH relativeFrom="column">
                    <wp:posOffset>4923155</wp:posOffset>
                  </wp:positionH>
                  <wp:positionV relativeFrom="paragraph">
                    <wp:posOffset>45720</wp:posOffset>
                  </wp:positionV>
                  <wp:extent cx="807720" cy="577215"/>
                  <wp:effectExtent l="0" t="0" r="11430" b="13335"/>
                  <wp:wrapNone/>
                  <wp:docPr id="7" name="图片 7" descr="图的好方法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的好方法片1"/>
                          <pic:cNvPicPr>
                            <a:picLocks noChangeAspect="1"/>
                          </pic:cNvPicPr>
                        </pic:nvPicPr>
                        <pic:blipFill>
                          <a:blip r:embed="rId10"/>
                          <a:stretch>
                            <a:fillRect/>
                          </a:stretch>
                        </pic:blipFill>
                        <pic:spPr>
                          <a:xfrm>
                            <a:off x="0" y="0"/>
                            <a:ext cx="807720" cy="577215"/>
                          </a:xfrm>
                          <a:prstGeom prst="rect">
                            <a:avLst/>
                          </a:prstGeom>
                        </pic:spPr>
                      </pic:pic>
                    </a:graphicData>
                  </a:graphic>
                </wp:anchor>
              </w:drawing>
            </w:r>
            <w:r>
              <w:drawing>
                <wp:inline distT="0" distB="0" distL="114300" distR="114300">
                  <wp:extent cx="5783580" cy="2862580"/>
                  <wp:effectExtent l="0" t="0" r="7620" b="1397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1"/>
                          <a:stretch>
                            <a:fillRect/>
                          </a:stretch>
                        </pic:blipFill>
                        <pic:spPr>
                          <a:xfrm>
                            <a:off x="0" y="0"/>
                            <a:ext cx="5783580" cy="2862580"/>
                          </a:xfrm>
                          <a:prstGeom prst="rect">
                            <a:avLst/>
                          </a:prstGeom>
                          <a:noFill/>
                          <a:ln>
                            <a:noFill/>
                          </a:ln>
                        </pic:spPr>
                      </pic:pic>
                    </a:graphicData>
                  </a:graphic>
                </wp:inline>
              </w:drawing>
            </w:r>
          </w:p>
          <w:p>
            <w:pPr>
              <w:spacing w:line="360" w:lineRule="auto"/>
              <w:ind w:firstLine="480" w:firstLineChars="200"/>
              <w:rPr>
                <w:rFonts w:hint="eastAsia" w:ascii="Times New Roman" w:hAnsi="Times New Roman"/>
                <w:color w:val="000000"/>
                <w:sz w:val="24"/>
              </w:rPr>
            </w:pPr>
            <w:r>
              <w:rPr>
                <w:rFonts w:ascii="Times New Roman" w:hAnsi="Times New Roman"/>
                <w:color w:val="000000"/>
                <w:sz w:val="24"/>
              </w:rPr>
              <w:t>从监测结果来看，</w:t>
            </w:r>
            <w:r>
              <w:rPr>
                <w:rFonts w:hint="eastAsia" w:ascii="Times New Roman" w:hAnsi="Times New Roman"/>
                <w:color w:val="000000"/>
                <w:sz w:val="24"/>
              </w:rPr>
              <w:t>高安站及横山站站址</w:t>
            </w:r>
            <w:r>
              <w:rPr>
                <w:rFonts w:ascii="Times New Roman" w:hAnsi="Times New Roman"/>
                <w:color w:val="000000"/>
                <w:sz w:val="24"/>
              </w:rPr>
              <w:t>四侧</w:t>
            </w:r>
            <w:r>
              <w:rPr>
                <w:rFonts w:hint="eastAsia" w:ascii="Times New Roman" w:hAnsi="Times New Roman"/>
                <w:color w:val="000000"/>
                <w:sz w:val="24"/>
              </w:rPr>
              <w:t>声环境监测结果</w:t>
            </w:r>
            <w:r>
              <w:rPr>
                <w:rFonts w:ascii="Times New Roman" w:hAnsi="Times New Roman"/>
                <w:color w:val="000000"/>
                <w:sz w:val="24"/>
              </w:rPr>
              <w:t>均能满足《声环境质量标准》（GB3096-2008）中的</w:t>
            </w:r>
            <w:r>
              <w:rPr>
                <w:rFonts w:hint="eastAsia" w:ascii="Times New Roman" w:hAnsi="Times New Roman"/>
                <w:color w:val="000000"/>
                <w:sz w:val="24"/>
              </w:rPr>
              <w:t>3</w:t>
            </w:r>
            <w:r>
              <w:rPr>
                <w:rFonts w:ascii="Times New Roman" w:hAnsi="Times New Roman"/>
                <w:color w:val="000000"/>
                <w:sz w:val="24"/>
              </w:rPr>
              <w:t>类声功能区标准要求</w:t>
            </w:r>
            <w:r>
              <w:rPr>
                <w:rFonts w:hint="eastAsia" w:ascii="Times New Roman" w:hAnsi="Times New Roman"/>
                <w:color w:val="000000"/>
                <w:sz w:val="24"/>
              </w:rPr>
              <w:t>，管线附近敏感点声环境监测结果</w:t>
            </w:r>
            <w:r>
              <w:rPr>
                <w:rFonts w:ascii="Times New Roman" w:hAnsi="Times New Roman"/>
                <w:color w:val="000000"/>
                <w:sz w:val="24"/>
              </w:rPr>
              <w:t>均能满足《声环境质量标准》（GB3096-2008）中的</w:t>
            </w:r>
            <w:r>
              <w:rPr>
                <w:rFonts w:hint="eastAsia" w:ascii="Times New Roman" w:hAnsi="Times New Roman"/>
                <w:color w:val="000000"/>
                <w:sz w:val="24"/>
              </w:rPr>
              <w:t>2</w:t>
            </w:r>
            <w:r>
              <w:rPr>
                <w:rFonts w:ascii="Times New Roman" w:hAnsi="Times New Roman"/>
                <w:color w:val="000000"/>
                <w:sz w:val="24"/>
              </w:rPr>
              <w:t>类声功能区标准要求。</w:t>
            </w:r>
            <w:r>
              <w:rPr>
                <w:rFonts w:hint="eastAsia" w:ascii="Times New Roman" w:hAnsi="Times New Roman"/>
                <w:color w:val="000000"/>
                <w:sz w:val="24"/>
              </w:rPr>
              <w:t>项目所在地声环境质量较好。</w:t>
            </w:r>
          </w:p>
          <w:p>
            <w:pPr>
              <w:spacing w:line="360" w:lineRule="auto"/>
              <w:ind w:firstLine="480" w:firstLineChars="200"/>
              <w:rPr>
                <w:rFonts w:hint="eastAsia" w:ascii="Times New Roman" w:hAnsi="Times New Roman"/>
                <w:color w:val="000000"/>
                <w:sz w:val="24"/>
              </w:rPr>
            </w:pPr>
          </w:p>
          <w:p>
            <w:pPr>
              <w:spacing w:line="360" w:lineRule="auto"/>
              <w:ind w:firstLine="480" w:firstLineChars="200"/>
              <w:rPr>
                <w:rFonts w:hint="eastAsia" w:ascii="Times New Roman" w:hAnsi="Times New Roman"/>
                <w:color w:val="000000"/>
                <w:sz w:val="24"/>
              </w:rPr>
            </w:pPr>
          </w:p>
          <w:p>
            <w:pPr>
              <w:spacing w:line="480" w:lineRule="exact"/>
              <w:ind w:firstLine="472" w:firstLineChars="196"/>
              <w:rPr>
                <w:rFonts w:hint="default" w:ascii="Times New Roman" w:hAnsi="Times New Roman"/>
                <w:b/>
                <w:sz w:val="24"/>
                <w:szCs w:val="22"/>
                <w:lang w:val="zh-CN"/>
              </w:rPr>
            </w:pPr>
            <w:r>
              <w:rPr>
                <w:rFonts w:hint="eastAsia" w:ascii="Times New Roman" w:hAnsi="Times New Roman"/>
                <w:b/>
                <w:sz w:val="24"/>
                <w:szCs w:val="22"/>
                <w:lang w:val="en-US" w:eastAsia="zh-CN"/>
              </w:rPr>
              <w:t>4、</w:t>
            </w:r>
            <w:r>
              <w:rPr>
                <w:rFonts w:hint="default" w:ascii="Times New Roman" w:hAnsi="Times New Roman"/>
                <w:b/>
                <w:sz w:val="24"/>
                <w:szCs w:val="22"/>
                <w:lang w:val="zh-CN"/>
              </w:rPr>
              <w:t>生态环境现状调查</w:t>
            </w:r>
          </w:p>
          <w:p>
            <w:pPr>
              <w:spacing w:line="360" w:lineRule="auto"/>
              <w:ind w:firstLine="480" w:firstLineChars="200"/>
              <w:rPr>
                <w:rFonts w:hint="eastAsia" w:ascii="Times New Roman" w:hAnsi="Times New Roman"/>
                <w:color w:val="000000"/>
                <w:sz w:val="24"/>
                <w:szCs w:val="22"/>
                <w:lang w:val="en-US" w:eastAsia="zh-CN"/>
              </w:rPr>
            </w:pPr>
            <w:r>
              <w:rPr>
                <w:rFonts w:hint="eastAsia" w:ascii="Times New Roman" w:hAnsi="Times New Roman"/>
                <w:color w:val="000000"/>
                <w:sz w:val="24"/>
                <w:szCs w:val="22"/>
                <w:lang w:val="zh-CN"/>
              </w:rPr>
              <w:t>（</w:t>
            </w:r>
            <w:r>
              <w:rPr>
                <w:rFonts w:hint="eastAsia" w:ascii="Times New Roman" w:hAnsi="Times New Roman"/>
                <w:color w:val="000000"/>
                <w:sz w:val="24"/>
                <w:szCs w:val="22"/>
                <w:lang w:val="en-US" w:eastAsia="zh-CN"/>
              </w:rPr>
              <w:t>1</w:t>
            </w:r>
            <w:r>
              <w:rPr>
                <w:rFonts w:hint="eastAsia" w:ascii="Times New Roman" w:hAnsi="Times New Roman"/>
                <w:color w:val="000000"/>
                <w:sz w:val="24"/>
                <w:szCs w:val="22"/>
                <w:lang w:val="zh-CN"/>
              </w:rPr>
              <w:t>）</w:t>
            </w:r>
            <w:r>
              <w:rPr>
                <w:rFonts w:hint="eastAsia" w:ascii="Times New Roman" w:hAnsi="Times New Roman"/>
                <w:color w:val="000000"/>
                <w:sz w:val="24"/>
                <w:szCs w:val="22"/>
                <w:lang w:val="en-US" w:eastAsia="zh-CN"/>
              </w:rPr>
              <w:t>陆生生态环境</w:t>
            </w:r>
          </w:p>
          <w:p>
            <w:pPr>
              <w:spacing w:line="360" w:lineRule="auto"/>
              <w:ind w:firstLine="480" w:firstLineChars="200"/>
              <w:rPr>
                <w:rFonts w:hint="default" w:ascii="Times New Roman" w:hAnsi="Times New Roman"/>
                <w:color w:val="000000"/>
                <w:sz w:val="24"/>
                <w:szCs w:val="22"/>
                <w:lang w:val="zh-CN"/>
              </w:rPr>
            </w:pPr>
            <w:r>
              <w:rPr>
                <w:rFonts w:hint="default" w:ascii="Times New Roman" w:hAnsi="Times New Roman"/>
                <w:color w:val="000000"/>
                <w:sz w:val="24"/>
                <w:szCs w:val="22"/>
                <w:lang w:val="zh-CN"/>
              </w:rPr>
              <w:t>拟建</w:t>
            </w:r>
            <w:r>
              <w:rPr>
                <w:rFonts w:hint="eastAsia" w:ascii="Times New Roman" w:hAnsi="Times New Roman"/>
                <w:color w:val="000000"/>
                <w:sz w:val="24"/>
                <w:szCs w:val="22"/>
                <w:lang w:val="en-US" w:eastAsia="zh-CN"/>
              </w:rPr>
              <w:t>项目</w:t>
            </w:r>
            <w:r>
              <w:rPr>
                <w:rFonts w:hint="default" w:ascii="Times New Roman" w:hAnsi="Times New Roman"/>
                <w:color w:val="000000"/>
                <w:sz w:val="24"/>
                <w:szCs w:val="22"/>
                <w:lang w:val="zh-CN"/>
              </w:rPr>
              <w:t>位于芜湖市三山区，</w:t>
            </w:r>
            <w:r>
              <w:rPr>
                <w:rFonts w:hint="eastAsia" w:ascii="Times New Roman" w:hAnsi="Times New Roman"/>
                <w:color w:val="000000"/>
                <w:sz w:val="24"/>
                <w:szCs w:val="22"/>
                <w:lang w:val="en-US" w:eastAsia="zh-CN"/>
              </w:rPr>
              <w:t>高安站</w:t>
            </w:r>
            <w:r>
              <w:rPr>
                <w:rFonts w:ascii="Times New Roman" w:hAnsi="Times New Roman" w:eastAsia="Times New Roman"/>
                <w:sz w:val="24"/>
                <w:lang w:val="zh-CN"/>
              </w:rPr>
              <w:t>具体位于芜湖长江大桥综合经济开发区疏港路以北，长江大堤以南，高安河路以东，中石化芜湖油库以西。</w:t>
            </w:r>
            <w:r>
              <w:rPr>
                <w:rFonts w:hint="eastAsia" w:ascii="Times New Roman" w:hAnsi="Times New Roman"/>
                <w:color w:val="000000"/>
                <w:sz w:val="24"/>
                <w:szCs w:val="24"/>
              </w:rPr>
              <w:t>横山分输站位于</w:t>
            </w:r>
            <w:r>
              <w:rPr>
                <w:rFonts w:hint="eastAsia" w:ascii="Times New Roman" w:hAnsi="Times New Roman"/>
                <w:kern w:val="0"/>
                <w:sz w:val="24"/>
              </w:rPr>
              <w:t>横山河路与裕民路交口西南侧</w:t>
            </w:r>
            <w:r>
              <w:rPr>
                <w:rFonts w:hint="eastAsia" w:ascii="Times New Roman" w:hAnsi="Times New Roman"/>
                <w:color w:val="000000"/>
                <w:sz w:val="24"/>
                <w:szCs w:val="24"/>
              </w:rPr>
              <w:t>，距离长江2.25km</w:t>
            </w:r>
            <w:r>
              <w:rPr>
                <w:rFonts w:hint="eastAsia" w:ascii="Times New Roman" w:hAnsi="Times New Roman"/>
                <w:color w:val="000000"/>
                <w:sz w:val="24"/>
                <w:szCs w:val="24"/>
                <w:lang w:eastAsia="zh-CN"/>
              </w:rPr>
              <w:t>。</w:t>
            </w:r>
            <w:r>
              <w:rPr>
                <w:rFonts w:hint="default" w:ascii="Times New Roman" w:hAnsi="Times New Roman"/>
                <w:color w:val="000000"/>
                <w:sz w:val="24"/>
                <w:szCs w:val="22"/>
                <w:lang w:val="zh-CN"/>
              </w:rPr>
              <w:t>项目区域属于长江中下游平原地区，该区域地表植被以农业种植植物为主，主要农作物为水稻种植。植被现状图见图4-2</w:t>
            </w:r>
            <w:r>
              <w:rPr>
                <w:rFonts w:hint="eastAsia" w:ascii="Times New Roman" w:hAnsi="Times New Roman"/>
                <w:color w:val="000000"/>
                <w:sz w:val="24"/>
                <w:szCs w:val="22"/>
                <w:lang w:val="zh-CN"/>
              </w:rPr>
              <w:t>，</w:t>
            </w:r>
            <w:r>
              <w:rPr>
                <w:rFonts w:hint="default" w:ascii="Times New Roman" w:hAnsi="Times New Roman"/>
                <w:color w:val="000000"/>
                <w:sz w:val="24"/>
                <w:szCs w:val="22"/>
                <w:lang w:val="zh-CN"/>
              </w:rPr>
              <w:t>区域植被分布图见图4-</w:t>
            </w:r>
            <w:r>
              <w:rPr>
                <w:rFonts w:hint="eastAsia" w:ascii="Times New Roman" w:hAnsi="Times New Roman"/>
                <w:color w:val="000000"/>
                <w:sz w:val="24"/>
                <w:szCs w:val="22"/>
                <w:lang w:val="en-US" w:eastAsia="zh-CN"/>
              </w:rPr>
              <w:t>2</w:t>
            </w:r>
            <w:r>
              <w:rPr>
                <w:rFonts w:hint="eastAsia" w:ascii="Times New Roman" w:hAnsi="Times New Roman"/>
                <w:color w:val="000000"/>
                <w:sz w:val="24"/>
                <w:szCs w:val="22"/>
                <w:lang w:val="zh-CN"/>
              </w:rPr>
              <w:t>。</w:t>
            </w:r>
          </w:p>
          <w:p>
            <w:pPr>
              <w:spacing w:line="360" w:lineRule="auto"/>
              <w:ind w:firstLine="480" w:firstLineChars="200"/>
              <w:rPr>
                <w:rFonts w:hint="default" w:ascii="Times New Roman" w:hAnsi="Times New Roman"/>
                <w:color w:val="000000"/>
                <w:sz w:val="24"/>
                <w:szCs w:val="22"/>
                <w:lang w:val="zh-CN"/>
              </w:rPr>
            </w:pPr>
            <w:r>
              <w:rPr>
                <w:rFonts w:hint="default" w:ascii="Times New Roman" w:hAnsi="Times New Roman"/>
                <w:color w:val="000000"/>
                <w:sz w:val="24"/>
                <w:szCs w:val="22"/>
                <w:lang w:val="zh-CN"/>
              </w:rPr>
              <w:t>工程区域所在江堤河滩较窄，没有大面积湿地分布；陆域范围内的主要植被类型为乔木和草本植被，占地范围现存植被仅为少量的草本植被和零星杨树，优势种为乔木意杨树种。工程占地区域植被覆盖度较高，根据现场估算约为90%，项目区的主要鸟类为麻雀、灰喜鹊等当地留鸟，据现场观测，工程区域分布鸟巢数约15个。</w:t>
            </w:r>
          </w:p>
          <w:p>
            <w:pPr>
              <w:pStyle w:val="17"/>
              <w:jc w:val="center"/>
            </w:pPr>
            <w:r>
              <w:drawing>
                <wp:inline distT="0" distB="0" distL="114300" distR="114300">
                  <wp:extent cx="5695950" cy="2038350"/>
                  <wp:effectExtent l="0" t="0" r="0"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12"/>
                          <a:stretch>
                            <a:fillRect/>
                          </a:stretch>
                        </pic:blipFill>
                        <pic:spPr>
                          <a:xfrm>
                            <a:off x="0" y="0"/>
                            <a:ext cx="5695950" cy="2038350"/>
                          </a:xfrm>
                          <a:prstGeom prst="rect">
                            <a:avLst/>
                          </a:prstGeom>
                          <a:noFill/>
                          <a:ln>
                            <a:noFill/>
                          </a:ln>
                        </pic:spPr>
                      </pic:pic>
                    </a:graphicData>
                  </a:graphic>
                </wp:inline>
              </w:drawing>
            </w:r>
          </w:p>
          <w:p>
            <w:pPr>
              <w:spacing w:line="360" w:lineRule="auto"/>
              <w:ind w:firstLine="482" w:firstLineChars="200"/>
              <w:jc w:val="center"/>
              <w:rPr>
                <w:rFonts w:hint="default" w:ascii="Times New Roman" w:hAnsi="Times New Roman"/>
                <w:b/>
                <w:bCs/>
                <w:color w:val="000000"/>
                <w:sz w:val="24"/>
                <w:szCs w:val="22"/>
                <w:lang w:val="zh-CN"/>
              </w:rPr>
            </w:pPr>
            <w:r>
              <w:rPr>
                <w:rFonts w:hint="eastAsia" w:ascii="Times New Roman" w:hAnsi="Times New Roman"/>
                <w:b/>
                <w:bCs/>
                <w:color w:val="000000"/>
                <w:sz w:val="24"/>
                <w:szCs w:val="22"/>
                <w:lang w:val="en-US" w:eastAsia="zh-CN"/>
              </w:rPr>
              <w:t xml:space="preserve">图3-1  </w:t>
            </w:r>
            <w:r>
              <w:rPr>
                <w:rFonts w:hint="default" w:ascii="Times New Roman" w:hAnsi="Times New Roman"/>
                <w:b/>
                <w:bCs/>
                <w:color w:val="000000"/>
                <w:sz w:val="24"/>
                <w:szCs w:val="22"/>
                <w:lang w:val="zh-CN"/>
              </w:rPr>
              <w:t>本项目</w:t>
            </w:r>
            <w:r>
              <w:rPr>
                <w:rFonts w:hint="eastAsia" w:ascii="Times New Roman" w:hAnsi="Times New Roman"/>
                <w:b/>
                <w:bCs/>
                <w:color w:val="000000"/>
                <w:sz w:val="24"/>
                <w:szCs w:val="22"/>
                <w:lang w:val="en-US" w:eastAsia="zh-CN"/>
              </w:rPr>
              <w:t>高安站</w:t>
            </w:r>
            <w:r>
              <w:rPr>
                <w:rFonts w:hint="default" w:ascii="Times New Roman" w:hAnsi="Times New Roman"/>
                <w:b/>
                <w:bCs/>
                <w:color w:val="000000"/>
                <w:sz w:val="24"/>
                <w:szCs w:val="22"/>
                <w:lang w:val="zh-CN"/>
              </w:rPr>
              <w:t>陆域植被现状</w:t>
            </w: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spacing w:line="360" w:lineRule="auto"/>
              <w:ind w:firstLine="482" w:firstLineChars="200"/>
              <w:jc w:val="center"/>
              <w:rPr>
                <w:rFonts w:hint="default" w:ascii="Times New Roman" w:hAnsi="Times New Roman"/>
                <w:b/>
                <w:bCs/>
                <w:color w:val="000000"/>
                <w:sz w:val="24"/>
                <w:szCs w:val="22"/>
                <w:lang w:val="zh-CN"/>
              </w:rPr>
            </w:pPr>
          </w:p>
          <w:p>
            <w:pPr>
              <w:pStyle w:val="17"/>
              <w:jc w:val="center"/>
            </w:pPr>
            <w:r>
              <w:rPr>
                <w:sz w:val="21"/>
              </w:rPr>
              <mc:AlternateContent>
                <mc:Choice Requires="wps">
                  <w:drawing>
                    <wp:anchor distT="0" distB="0" distL="114300" distR="114300" simplePos="0" relativeHeight="251735040" behindDoc="0" locked="0" layoutInCell="1" allowOverlap="1">
                      <wp:simplePos x="0" y="0"/>
                      <wp:positionH relativeFrom="column">
                        <wp:posOffset>3349625</wp:posOffset>
                      </wp:positionH>
                      <wp:positionV relativeFrom="paragraph">
                        <wp:posOffset>1772285</wp:posOffset>
                      </wp:positionV>
                      <wp:extent cx="83185" cy="83185"/>
                      <wp:effectExtent l="6350" t="6350" r="24765" b="24765"/>
                      <wp:wrapNone/>
                      <wp:docPr id="5" name="矩形 5"/>
                      <wp:cNvGraphicFramePr/>
                      <a:graphic xmlns:a="http://schemas.openxmlformats.org/drawingml/2006/main">
                        <a:graphicData uri="http://schemas.microsoft.com/office/word/2010/wordprocessingShape">
                          <wps:wsp>
                            <wps:cNvSpPr/>
                            <wps:spPr>
                              <a:xfrm>
                                <a:off x="4321810" y="2693035"/>
                                <a:ext cx="83185" cy="83185"/>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63.75pt;margin-top:139.55pt;height:6.55pt;width:6.55pt;z-index:251735040;v-text-anchor:middle;mso-width-relative:page;mso-height-relative:page;" filled="f" stroked="t" coordsize="21600,21600" o:gfxdata="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DQzleTYAAAACwEAAA8AAAAAAAAAAQAgAAAAIgAAAGRycy9kb3ducmV2LnhtbFBL&#10;AQIUABQAAAAIAIdO4kCnilBvaAIAAL0EAAAOAAAAAAAAAAEAIAAAACcBAABkcnMvZTJvRG9jLnht&#10;bFBLBQYAAAAABgAGAFkBAAABBgAAAAA=&#10;">
                      <v:fill on="f" focussize="0,0"/>
                      <v:stroke weight="1pt" color="#FF0000 [3204]" joinstyle="round"/>
                      <v:imagedata o:title=""/>
                      <o:lock v:ext="edit" aspectratio="f"/>
                    </v:rect>
                  </w:pict>
                </mc:Fallback>
              </mc:AlternateContent>
            </w:r>
            <w:r>
              <w:drawing>
                <wp:inline distT="0" distB="0" distL="114300" distR="114300">
                  <wp:extent cx="5756910" cy="3836035"/>
                  <wp:effectExtent l="0" t="0" r="15240" b="12065"/>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13"/>
                          <a:stretch>
                            <a:fillRect/>
                          </a:stretch>
                        </pic:blipFill>
                        <pic:spPr>
                          <a:xfrm>
                            <a:off x="0" y="0"/>
                            <a:ext cx="5756910" cy="3836035"/>
                          </a:xfrm>
                          <a:prstGeom prst="rect">
                            <a:avLst/>
                          </a:prstGeom>
                          <a:noFill/>
                          <a:ln>
                            <a:noFill/>
                          </a:ln>
                        </pic:spPr>
                      </pic:pic>
                    </a:graphicData>
                  </a:graphic>
                </wp:inline>
              </w:drawing>
            </w:r>
          </w:p>
          <w:bookmarkEnd w:id="0"/>
          <w:p>
            <w:pPr>
              <w:spacing w:beforeLines="0" w:afterLines="0" w:line="400" w:lineRule="exact"/>
              <w:ind w:firstLine="480"/>
              <w:jc w:val="center"/>
              <w:rPr>
                <w:rFonts w:hint="default" w:ascii="Times New Roman" w:hAnsi="Times New Roman" w:eastAsia="Times New Roman"/>
                <w:b/>
                <w:bCs/>
                <w:sz w:val="24"/>
                <w:lang w:val="zh-CN"/>
              </w:rPr>
            </w:pPr>
            <w:r>
              <w:rPr>
                <w:rFonts w:hint="default" w:ascii="Times New Roman" w:hAnsi="Times New Roman" w:eastAsia="Times New Roman"/>
                <w:b/>
                <w:bCs/>
                <w:sz w:val="24"/>
                <w:lang w:val="zh-CN"/>
              </w:rPr>
              <w:t>图</w:t>
            </w:r>
            <w:r>
              <w:rPr>
                <w:rFonts w:hint="eastAsia" w:ascii="Times New Roman" w:hAnsi="Times New Roman" w:eastAsia="宋体"/>
                <w:b/>
                <w:bCs/>
                <w:sz w:val="24"/>
                <w:lang w:val="en-US" w:eastAsia="zh-CN"/>
              </w:rPr>
              <w:t>3</w:t>
            </w:r>
            <w:r>
              <w:rPr>
                <w:rFonts w:hint="default" w:ascii="Times New Roman" w:hAnsi="Times New Roman" w:eastAsia="Times New Roman"/>
                <w:b/>
                <w:bCs/>
                <w:sz w:val="24"/>
                <w:lang w:val="zh-CN"/>
              </w:rPr>
              <w:t>-</w:t>
            </w:r>
            <w:r>
              <w:rPr>
                <w:rFonts w:hint="eastAsia" w:ascii="Times New Roman" w:hAnsi="Times New Roman" w:eastAsia="宋体"/>
                <w:b/>
                <w:bCs/>
                <w:sz w:val="24"/>
                <w:lang w:val="en-US" w:eastAsia="zh-CN"/>
              </w:rPr>
              <w:t>2</w:t>
            </w:r>
            <w:r>
              <w:rPr>
                <w:rFonts w:hint="default" w:ascii="Times New Roman" w:hAnsi="Times New Roman" w:eastAsia="Times New Roman"/>
                <w:b/>
                <w:bCs/>
                <w:sz w:val="24"/>
                <w:lang w:val="zh-CN"/>
              </w:rPr>
              <w:t xml:space="preserve"> 区域植被分布图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lang w:eastAsia="zh-CN"/>
              </w:rPr>
              <w:t>（</w:t>
            </w:r>
            <w:r>
              <w:rPr>
                <w:rFonts w:hint="eastAsia" w:ascii="Times New Roman" w:hAnsi="Times New Roman"/>
                <w:b w:val="0"/>
                <w:bCs/>
                <w:sz w:val="24"/>
                <w:lang w:val="en-US" w:eastAsia="zh-CN"/>
              </w:rPr>
              <w:t>2</w:t>
            </w:r>
            <w:r>
              <w:rPr>
                <w:rFonts w:hint="eastAsia" w:ascii="Times New Roman" w:hAnsi="Times New Roman"/>
                <w:b w:val="0"/>
                <w:bCs/>
                <w:sz w:val="24"/>
                <w:lang w:eastAsia="zh-CN"/>
              </w:rPr>
              <w:t>）</w:t>
            </w:r>
            <w:r>
              <w:rPr>
                <w:rFonts w:hint="eastAsia" w:ascii="Times New Roman" w:hAnsi="Times New Roman"/>
                <w:b w:val="0"/>
                <w:bCs/>
                <w:sz w:val="24"/>
              </w:rPr>
              <w:t>水生生态现状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本报告水生生态调查资料主要引用位于本项目下游约2.5km处芜湖长江公路二桥工程环境影响评价过程中的水生生态调查成果，调查河段与本项目所在位置临近，调查成果能反应本项目所处河段的水生生态环境，同时收集了近年来长江芜湖段相关的最新水生生态调查研究成果，以了解评价区水生生态环境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长江公路二桥工程环境影响评价调查内容主要包括浮游动植物、底栖动物以及鱼类种类组成和分布等。并进行了相关的数据处理分析，统计出水生生物的种群密度或生物量。具体调查内容如下：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1）采样点布设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浮游生物、底栖生物样品采集在芜湖长江二桥上游端线上游50m设采样点Ⅰ，在大桥处设采样点Ⅱ大桥下游端线下游500m设采样点Ⅲ，共三个点。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鱼类资源调查以区域性调查为主，走访附近渔民和收集有关水产管理部门的资料，同时进行现场捕捞调查。鱼类资源调查布设3个调查点，位置同浮游动植物采样点。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2）调查方法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水生生物调查方法主要依据《淡水浮游生物研究方法》、《内陆水域渔业自然资源调查手册》，同时参照《水环境监测规范》（SL219-98）进行。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①浮游生物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定性标本采集：小型浮游生物用25号浮游生物网，大型浮游生物用13号浮游生物网，在表层至0.5m深处以20~30cm/s的速度作“∞”形循回缓慢拖动1~3min，或在水中沿表层托虑1.5~5.0m水。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rPr>
            </w:pPr>
            <w:r>
              <w:rPr>
                <w:rFonts w:hint="eastAsia" w:ascii="Times New Roman" w:hAnsi="Times New Roman"/>
                <w:b w:val="0"/>
                <w:bCs/>
                <w:sz w:val="24"/>
              </w:rPr>
              <w:t>定量标本采集：小型浮游生物用有机玻璃采水器分别于表层0.5m、1m、3m水深处取等量的混合水样1L。大型浮游生物因数量稀少，每采样点均采水样10L，用25号浮游生物网过滤，收集水样装入玻璃瓶中。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rPr>
              <w:t>标本处理：水样采集之后，立即加固定液固定。对藻类、原生动物和轮虫水样，每升加入15m1左右的鲁哥氏液固定，对枝角类和桡足类水样，按100ml水样加4~5ml福</w:t>
            </w:r>
            <w:r>
              <w:rPr>
                <w:rFonts w:hint="eastAsia" w:ascii="Times New Roman" w:hAnsi="Times New Roman"/>
                <w:b w:val="0"/>
                <w:bCs/>
                <w:sz w:val="24"/>
                <w:szCs w:val="22"/>
              </w:rPr>
              <w:t>尔马林固定液。固定后，样品带回实验室保存。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标本处理：水样采集之后，立即加固定液固定。对藻类、原生动物和轮虫水样，每升加入15ml左右的鲁哥氏液固定，对枝角类和桡足类水样，按100m1水样加4~5m1福尔马林固定液。固定后，样品带回实验室保存。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从野外采集并经固定的水样，带回实验室后必须进一步浓缩，1000ml的水样直接静止沉淀24h后，用虹吸管小心抽调上清液，余下20-25m1沉淀物转入30ml容量瓶中。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标本鉴定：定性标本，在显微镜下，用目镜测微尺测量大小，根据其大小、形态、内含物参照藻类分类标准（参考胡鸿钩等《中国淡水藻类》）定出属种，一般确定到属。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定量标本，一般采用0.1ml计数框，10× 40高倍显微镜下分格斜线扫描计数。具体操作如下：用0.1ml定量吸管吸取摇匀后的样品液，放0.1ml浮游生物计数框中在显微镜下计数，并参照章宗涉等《淡水浮游生物研究方法》等统计到种的细胞数，然后换算成每升含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室内先将样品定量为30ml，摇匀后吸取0.1ml样品置于0.1ml计数框内，在显微镜下按视野法计数，数量特别少时全片计数，每个样品计数2次，取其平均值，每次计数结果与平均值之差应在15%以内，否则增加计数次数。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每升水样中浮游植物数量的计算公式如下：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drawing>
                <wp:inline distT="0" distB="0" distL="114300" distR="114300">
                  <wp:extent cx="1333500" cy="533400"/>
                  <wp:effectExtent l="0" t="0" r="0"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4"/>
                          <a:stretch>
                            <a:fillRect/>
                          </a:stretch>
                        </pic:blipFill>
                        <pic:spPr>
                          <a:xfrm>
                            <a:off x="0" y="0"/>
                            <a:ext cx="1333500" cy="5334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式中：N-一升水样中浮游植物的数量（ind</w:t>
            </w:r>
            <w:r>
              <w:rPr>
                <w:rFonts w:hint="eastAsia" w:ascii="Times New Roman" w:hAnsi="Times New Roman"/>
                <w:b w:val="0"/>
                <w:bCs/>
                <w:sz w:val="24"/>
                <w:szCs w:val="22"/>
                <w:lang w:val="en-US" w:eastAsia="zh-CN"/>
              </w:rPr>
              <w:t>.</w:t>
            </w:r>
            <w:r>
              <w:rPr>
                <w:rFonts w:hint="eastAsia" w:ascii="Times New Roman" w:hAnsi="Times New Roman"/>
                <w:b w:val="0"/>
                <w:bCs/>
                <w:sz w:val="24"/>
                <w:szCs w:val="22"/>
              </w:rPr>
              <w:t>/L）；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Cs-计数框的面积（mm</w:t>
            </w:r>
            <w:r>
              <w:rPr>
                <w:rFonts w:hint="eastAsia" w:ascii="Times New Roman" w:hAnsi="Times New Roman"/>
                <w:b w:val="0"/>
                <w:bCs/>
                <w:sz w:val="24"/>
                <w:szCs w:val="22"/>
                <w:vertAlign w:val="superscript"/>
              </w:rPr>
              <w:t>2</w:t>
            </w:r>
            <w:r>
              <w:rPr>
                <w:rFonts w:hint="eastAsia" w:ascii="Times New Roman" w:hAnsi="Times New Roman"/>
                <w:b w:val="0"/>
                <w:bCs/>
                <w:sz w:val="24"/>
                <w:szCs w:val="22"/>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Fs-视野面积（mm</w:t>
            </w:r>
            <w:r>
              <w:rPr>
                <w:rFonts w:hint="eastAsia" w:ascii="Times New Roman" w:hAnsi="Times New Roman"/>
                <w:b w:val="0"/>
                <w:bCs/>
                <w:sz w:val="24"/>
                <w:szCs w:val="22"/>
                <w:vertAlign w:val="superscript"/>
              </w:rPr>
              <w:t>2</w:t>
            </w:r>
            <w:r>
              <w:rPr>
                <w:rFonts w:hint="eastAsia" w:ascii="Times New Roman" w:hAnsi="Times New Roman"/>
                <w:b w:val="0"/>
                <w:bCs/>
                <w:sz w:val="24"/>
                <w:szCs w:val="22"/>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Fn-每片计数过的视野数；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V-一升水样经浓缩后的体积（ml）；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v-计数框的容积（ml）；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Pn-计数所得个数（ind.）。</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浮游植物生物量的计算采用体积换算法。根据浮游植物的体形，按最近似的几何形测量其体积，形状特殊的种类分解为几个部分测量，然后结果相加。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浮游动物的计数分为原生动物、轮虫、枝角类与桡足类计数。原生动物和轮虫的计数样品采样浮游植物定量样品。原生动物计数是从浓缩的30ml样品中取0.1ml，置于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0.1ml的计数框中，全片计数，每个样品计数2片；定量分析轮虫时从浓缩的30ml样品中取1m1，置于1ml的计数框中，全片计数，每个样品计数2片。同一样品的计数结果与均值之差不得高于15%，否则增加计数次数。枝角类和桡足类的计数用1ml计数框，将10L水过滤后的浮游动物定量样品分若干次全部计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单位水体浮游动物数量的计算公式如下：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b/>
                <w:sz w:val="24"/>
              </w:rPr>
            </w:pPr>
            <w:r>
              <w:drawing>
                <wp:inline distT="0" distB="0" distL="114300" distR="114300">
                  <wp:extent cx="742950" cy="381000"/>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5"/>
                          <a:stretch>
                            <a:fillRect/>
                          </a:stretch>
                        </pic:blipFill>
                        <pic:spPr>
                          <a:xfrm>
                            <a:off x="0" y="0"/>
                            <a:ext cx="742950" cy="3810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式中：N-一升水样中浮游动物的数量（ind./L）；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v-样品浓缩后的体积（L）；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V-采样体积（L）；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c--计数样品体积（ml）；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n-计数所获得的个数（ind.）；</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显微镜下检测各类浮游动物的种类、数量、大小，分别计算其密度、生物量，浮游动物现存量根据各类浮游动物现存量之和求得。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②底栖动物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底栖动物分三大类：水生昆虫、寡毛类、软体动物。依据断面长度布设采样点，用Petersen氏底泥采集器采集定量样品，每个采样点采泥样2~3个。将采集的泥样，用60目分样筛筛洗，然后装入封口塑料袋中，室内进行挑拣，把底栖动物标本拣入标本瓶中，用7%的福尔马林溶液保存待检。软体动物定性样品用D形踢网（kick-net）进行采集，水生昆虫、寡毛类定性样品采集同定量样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室内用解剖镜和显微镜对底栖动物定性样品进行分类鉴定；定量样品按不同种类统计个体数，根据采泥器面积计算种群数量，样品用滤纸吸去多余水分后用钮力天平称出湿重，计算底柄动物的数量和生物量。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③鱼类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鱼类区系组成：根据鱼类区系研究方法，在工程影响水域设置调查点，对调查范围内的鱼类资源进行调查。采取捕捞、市场调查和走访相结合的方法，采集鱼类标本、收集资料、进行记录，标本用福尔马林固定保存。通过对标本的分类鉴定，资料的分析整理，编制出鱼类种类组成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鱼类资源现状：鱼类资源量的调查采取社会捕捞渔获物统计分析结合现场调查取样进行。采用访问调查和统计表调查方法，调查资源量和渔获量。向渔业主管部门和渔政管理部门及渔民调查了解渔业资源现状以及鱼类资源管理中存在的问题。对渔获物资料进行整理分析，以判断鱼类资源状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鱼类“三场”和珍稀水生生物活动场：走访沿河居民、渔业部门和主要捕捞人员，并结合沿河鱼类产卵的历史记录，了解不同季节鱼类主要集中地和鱼类种群组成，结合鱼类生物学特性和水文学特征，分析鱼类“三场”和珍稀水生生物活动场的分布情况，并通过有经验的捕捞人员进行验证。经实地调查和资料分析，项目影响区域水生生态现状特点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3）浮游植物调查结果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①种类组成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经调查和查阅相关资料，项目所在水域浮游植物共8门24种，其中绿藻门最多，为7种，占浮游植物种类的29.2%；蓝藻门次之，为5种，占20.8%；硅藻门4种，占16.7%；金藻门、隐藻门、裸藻门2种，分别占8.3%；黄藻门和甲藻门最少，为1种，占4.2%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rPr>
            </w:pPr>
            <w:r>
              <w:rPr>
                <w:rFonts w:hint="eastAsia" w:ascii="Times New Roman" w:hAnsi="Times New Roman"/>
                <w:b w:val="0"/>
                <w:bCs/>
                <w:sz w:val="24"/>
                <w:szCs w:val="22"/>
              </w:rPr>
              <w:t>②优势种与常见种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lang w:val="en-US" w:eastAsia="zh-CN"/>
              </w:rPr>
            </w:pPr>
            <w:r>
              <w:rPr>
                <w:rFonts w:hint="eastAsia" w:ascii="Times New Roman" w:hAnsi="Times New Roman"/>
                <w:b w:val="0"/>
                <w:bCs/>
                <w:sz w:val="24"/>
                <w:szCs w:val="22"/>
              </w:rPr>
              <w:t>项目所在水域浮游植物优势种和常见种主要有实球藻、空球藻、水华束丝藻、卷曲鱼腥藻、颗粒直链藻、变异直链藻、尖针杆藻、小环藻、分歧锥囊藻、小型黄丝藻等，详见</w:t>
            </w:r>
            <w:r>
              <w:rPr>
                <w:rFonts w:hint="eastAsia" w:ascii="Times New Roman" w:hAnsi="Times New Roman"/>
                <w:b w:val="0"/>
                <w:bCs/>
                <w:sz w:val="24"/>
                <w:szCs w:val="22"/>
                <w:lang w:val="en-US" w:eastAsia="zh-CN"/>
              </w:rPr>
              <w:t>下表。</w:t>
            </w:r>
          </w:p>
          <w:p>
            <w:pPr>
              <w:spacing w:line="360" w:lineRule="auto"/>
              <w:ind w:firstLine="570"/>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表3</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
                <w:bCs/>
                <w:sz w:val="24"/>
                <w:szCs w:val="24"/>
              </w:rPr>
              <w:t xml:space="preserve"> 水生植物现状</w:t>
            </w:r>
          </w:p>
          <w:tbl>
            <w:tblPr>
              <w:tblStyle w:val="32"/>
              <w:tblW w:w="8844" w:type="dxa"/>
              <w:jc w:val="center"/>
              <w:tblLayout w:type="fixed"/>
              <w:tblCellMar>
                <w:top w:w="0" w:type="dxa"/>
                <w:left w:w="108" w:type="dxa"/>
                <w:bottom w:w="0" w:type="dxa"/>
                <w:right w:w="108" w:type="dxa"/>
              </w:tblCellMar>
            </w:tblPr>
            <w:tblGrid>
              <w:gridCol w:w="2757"/>
              <w:gridCol w:w="2768"/>
              <w:gridCol w:w="3319"/>
            </w:tblGrid>
            <w:tr>
              <w:trPr>
                <w:trHeight w:val="369" w:hRule="atLeast"/>
                <w:jc w:val="center"/>
              </w:trPr>
              <w:tc>
                <w:tcPr>
                  <w:tcW w:w="275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b/>
                      <w:bCs/>
                      <w:color w:val="000000"/>
                      <w:kern w:val="0"/>
                      <w:sz w:val="21"/>
                      <w:szCs w:val="21"/>
                      <w:lang w:val="en-US" w:eastAsia="zh-CN"/>
                    </w:rPr>
                  </w:pPr>
                  <w:r>
                    <w:rPr>
                      <w:rFonts w:hint="eastAsia" w:ascii="Times New Roman" w:hAnsi="Times New Roman" w:eastAsia="宋体" w:cs="Times New Roman"/>
                      <w:b/>
                      <w:bCs/>
                      <w:color w:val="000000"/>
                      <w:kern w:val="0"/>
                      <w:sz w:val="21"/>
                      <w:szCs w:val="21"/>
                      <w:lang w:val="en-US" w:eastAsia="zh-CN"/>
                    </w:rPr>
                    <w:t>类群</w:t>
                  </w:r>
                </w:p>
              </w:tc>
              <w:tc>
                <w:tcPr>
                  <w:tcW w:w="276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b/>
                      <w:bCs/>
                      <w:color w:val="000000"/>
                      <w:kern w:val="0"/>
                      <w:sz w:val="21"/>
                      <w:szCs w:val="21"/>
                      <w:lang w:eastAsia="zh-CN"/>
                    </w:rPr>
                  </w:pPr>
                  <w:r>
                    <w:rPr>
                      <w:rFonts w:hint="eastAsia" w:ascii="Times New Roman" w:hAnsi="Times New Roman" w:eastAsia="宋体" w:cs="Times New Roman"/>
                      <w:b/>
                      <w:bCs/>
                      <w:color w:val="000000"/>
                      <w:kern w:val="0"/>
                      <w:sz w:val="21"/>
                      <w:szCs w:val="21"/>
                      <w:lang w:val="en-US" w:eastAsia="zh-CN"/>
                    </w:rPr>
                    <w:t>中文名</w:t>
                  </w:r>
                </w:p>
              </w:tc>
              <w:tc>
                <w:tcPr>
                  <w:tcW w:w="3319"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b/>
                      <w:bCs/>
                      <w:color w:val="000000"/>
                      <w:kern w:val="0"/>
                      <w:sz w:val="21"/>
                      <w:szCs w:val="21"/>
                      <w:lang w:val="en-US" w:eastAsia="zh-CN"/>
                    </w:rPr>
                  </w:pPr>
                  <w:r>
                    <w:rPr>
                      <w:rFonts w:hint="eastAsia" w:ascii="Times New Roman" w:hAnsi="Times New Roman" w:eastAsia="宋体" w:cs="Times New Roman"/>
                      <w:b/>
                      <w:bCs/>
                      <w:color w:val="000000"/>
                      <w:kern w:val="0"/>
                      <w:sz w:val="21"/>
                      <w:szCs w:val="21"/>
                      <w:lang w:val="en-US" w:eastAsia="zh-CN"/>
                    </w:rPr>
                    <w:t>学名</w:t>
                  </w:r>
                </w:p>
              </w:tc>
            </w:tr>
            <w:tr>
              <w:tblPrEx>
                <w:tblCellMar>
                  <w:top w:w="0" w:type="dxa"/>
                  <w:left w:w="108" w:type="dxa"/>
                  <w:bottom w:w="0" w:type="dxa"/>
                  <w:right w:w="108" w:type="dxa"/>
                </w:tblCellMar>
              </w:tblPrEx>
              <w:trPr>
                <w:trHeight w:val="369" w:hRule="atLeast"/>
                <w:jc w:val="center"/>
              </w:trPr>
              <w:tc>
                <w:tcPr>
                  <w:tcW w:w="2757" w:type="dxa"/>
                  <w:vMerge w:val="restart"/>
                  <w:tcBorders>
                    <w:top w:val="nil"/>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硅藻门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Bacillariophyta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val="zh-CN"/>
                    </w:rPr>
                    <w:t>变异直链藻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Melosira varians</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val="zh-CN"/>
                    </w:rPr>
                    <w:t>短小舟形藻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Navicula exigua</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val="zh-CN"/>
                    </w:rPr>
                    <w:t>颗粒直链藻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Melosira granulata</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bottom w:val="nil"/>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val="zh-CN"/>
                    </w:rPr>
                    <w:t>尖针杆藻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Synedra acus</w:t>
                  </w:r>
                </w:p>
              </w:tc>
            </w:tr>
            <w:tr>
              <w:tblPrEx>
                <w:tblCellMar>
                  <w:top w:w="0" w:type="dxa"/>
                  <w:left w:w="108" w:type="dxa"/>
                  <w:bottom w:w="0" w:type="dxa"/>
                  <w:right w:w="108" w:type="dxa"/>
                </w:tblCellMar>
              </w:tblPrEx>
              <w:trPr>
                <w:trHeight w:val="369" w:hRule="atLeast"/>
                <w:jc w:val="center"/>
              </w:trPr>
              <w:tc>
                <w:tcPr>
                  <w:tcW w:w="2757"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绿藻门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Chlorophyta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纤维藻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Ankistrodesmus</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水绵</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Spirogyra sp.</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实球藻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Pandorina morum</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bottom w:val="single" w:color="000000"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空球藻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Eudorina elegans</w:t>
                  </w:r>
                </w:p>
              </w:tc>
            </w:tr>
            <w:tr>
              <w:tblPrEx>
                <w:tblCellMar>
                  <w:top w:w="0" w:type="dxa"/>
                  <w:left w:w="108" w:type="dxa"/>
                  <w:bottom w:w="0" w:type="dxa"/>
                  <w:right w:w="108" w:type="dxa"/>
                </w:tblCellMar>
              </w:tblPrEx>
              <w:trPr>
                <w:trHeight w:val="369" w:hRule="atLeast"/>
                <w:jc w:val="center"/>
              </w:trPr>
              <w:tc>
                <w:tcPr>
                  <w:tcW w:w="2757" w:type="dxa"/>
                  <w:vMerge w:val="restart"/>
                  <w:tcBorders>
                    <w:top w:val="nil"/>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裸藻门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Euglenophyta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圆柱扁裸藻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Phacus cylindrus</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绿色裸藻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Euglena viridis</w:t>
                  </w:r>
                </w:p>
              </w:tc>
            </w:tr>
            <w:tr>
              <w:tblPrEx>
                <w:tblCellMar>
                  <w:top w:w="0" w:type="dxa"/>
                  <w:left w:w="108" w:type="dxa"/>
                  <w:bottom w:w="0" w:type="dxa"/>
                  <w:right w:w="108" w:type="dxa"/>
                </w:tblCellMar>
              </w:tblPrEx>
              <w:trPr>
                <w:trHeight w:val="369" w:hRule="atLeast"/>
                <w:jc w:val="center"/>
              </w:trPr>
              <w:tc>
                <w:tcPr>
                  <w:tcW w:w="2757" w:type="dxa"/>
                  <w:vMerge w:val="restart"/>
                  <w:tcBorders>
                    <w:top w:val="nil"/>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金藻门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Chrysophyta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分歧锥囊藻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Dinobryon divergens</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密集锥囊藻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Dinobryon sertularia</w:t>
                  </w:r>
                </w:p>
              </w:tc>
            </w:tr>
            <w:tr>
              <w:tblPrEx>
                <w:tblCellMar>
                  <w:top w:w="0" w:type="dxa"/>
                  <w:left w:w="108" w:type="dxa"/>
                  <w:bottom w:w="0" w:type="dxa"/>
                  <w:right w:w="108" w:type="dxa"/>
                </w:tblCellMar>
              </w:tblPrEx>
              <w:trPr>
                <w:trHeight w:val="369" w:hRule="atLeast"/>
                <w:jc w:val="center"/>
              </w:trPr>
              <w:tc>
                <w:tcPr>
                  <w:tcW w:w="2757"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隐藻门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Cryptophyta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尖尾蓝隐藻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Chroomonas acuta</w:t>
                  </w:r>
                </w:p>
              </w:tc>
            </w:tr>
            <w:tr>
              <w:tblPrEx>
                <w:tblCellMar>
                  <w:top w:w="0" w:type="dxa"/>
                  <w:left w:w="108" w:type="dxa"/>
                  <w:bottom w:w="0" w:type="dxa"/>
                  <w:right w:w="108" w:type="dxa"/>
                </w:tblCellMar>
              </w:tblPrEx>
              <w:trPr>
                <w:trHeight w:val="369" w:hRule="atLeast"/>
                <w:jc w:val="center"/>
              </w:trPr>
              <w:tc>
                <w:tcPr>
                  <w:tcW w:w="2757" w:type="dxa"/>
                  <w:tcBorders>
                    <w:top w:val="nil"/>
                    <w:left w:val="single" w:color="auto" w:sz="4" w:space="0"/>
                    <w:bottom w:val="single" w:color="000000"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甲藻门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Pyrrophyta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角甲藻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Ceratium hinundinella</w:t>
                  </w:r>
                </w:p>
              </w:tc>
            </w:tr>
            <w:tr>
              <w:tblPrEx>
                <w:tblCellMar>
                  <w:top w:w="0" w:type="dxa"/>
                  <w:left w:w="108" w:type="dxa"/>
                  <w:bottom w:w="0" w:type="dxa"/>
                  <w:right w:w="108" w:type="dxa"/>
                </w:tblCellMar>
              </w:tblPrEx>
              <w:trPr>
                <w:trHeight w:val="369" w:hRule="atLeast"/>
                <w:jc w:val="center"/>
              </w:trPr>
              <w:tc>
                <w:tcPr>
                  <w:tcW w:w="2757" w:type="dxa"/>
                  <w:vMerge w:val="restart"/>
                  <w:tcBorders>
                    <w:top w:val="nil"/>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蓝藻门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Cyanophyta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卷曲鱼腥藻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Anabaena circinalis</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史氏棒胶藻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Rhabdogloea smithii</w:t>
                  </w:r>
                </w:p>
              </w:tc>
            </w:tr>
            <w:tr>
              <w:tblPrEx>
                <w:tblCellMar>
                  <w:top w:w="0" w:type="dxa"/>
                  <w:left w:w="108" w:type="dxa"/>
                  <w:bottom w:w="0" w:type="dxa"/>
                  <w:right w:w="108" w:type="dxa"/>
                </w:tblCellMar>
              </w:tblPrEx>
              <w:trPr>
                <w:trHeight w:val="369" w:hRule="atLeast"/>
                <w:jc w:val="center"/>
              </w:trPr>
              <w:tc>
                <w:tcPr>
                  <w:tcW w:w="2757"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类颤鱼腥藻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Anabaena</w:t>
                  </w:r>
                </w:p>
              </w:tc>
            </w:tr>
            <w:tr>
              <w:tblPrEx>
                <w:tblCellMar>
                  <w:top w:w="0" w:type="dxa"/>
                  <w:left w:w="108" w:type="dxa"/>
                  <w:bottom w:w="0" w:type="dxa"/>
                  <w:right w:w="108" w:type="dxa"/>
                </w:tblCellMar>
              </w:tblPrEx>
              <w:trPr>
                <w:trHeight w:val="369" w:hRule="atLeast"/>
                <w:jc w:val="center"/>
              </w:trPr>
              <w:tc>
                <w:tcPr>
                  <w:tcW w:w="2757"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黄藻门</w:t>
                  </w:r>
                </w:p>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Xanthophyta</w:t>
                  </w:r>
                </w:p>
              </w:tc>
              <w:tc>
                <w:tcPr>
                  <w:tcW w:w="276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小型黄丝藻</w:t>
                  </w:r>
                </w:p>
              </w:tc>
              <w:tc>
                <w:tcPr>
                  <w:tcW w:w="3319"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kern w:val="0"/>
                      <w:sz w:val="21"/>
                      <w:szCs w:val="21"/>
                      <w:lang w:val="zh-CN"/>
                    </w:rPr>
                  </w:pPr>
                  <w:r>
                    <w:rPr>
                      <w:rFonts w:hint="default" w:ascii="Times New Roman" w:hAnsi="Times New Roman" w:eastAsia="宋体" w:cs="Times New Roman"/>
                      <w:color w:val="000000"/>
                      <w:kern w:val="0"/>
                      <w:sz w:val="21"/>
                      <w:szCs w:val="21"/>
                      <w:lang w:val="zh-CN"/>
                    </w:rPr>
                    <w:t>oscillarioides</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lang w:val="en-US" w:eastAsia="zh-CN"/>
              </w:rPr>
            </w:pPr>
            <w:r>
              <w:rPr>
                <w:rFonts w:hint="eastAsia" w:ascii="Times New Roman" w:hAnsi="Times New Roman"/>
                <w:b w:val="0"/>
                <w:bCs/>
                <w:sz w:val="24"/>
                <w:szCs w:val="22"/>
                <w:lang w:val="en-US" w:eastAsia="zh-CN"/>
              </w:rPr>
              <w:t>③密度和生物量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vertAlign w:val="baseline"/>
                <w:lang w:val="en-US" w:eastAsia="zh-CN"/>
              </w:rPr>
            </w:pPr>
            <w:r>
              <w:rPr>
                <w:rFonts w:hint="eastAsia" w:ascii="Times New Roman" w:hAnsi="Times New Roman"/>
                <w:b w:val="0"/>
                <w:bCs/>
                <w:sz w:val="24"/>
                <w:szCs w:val="22"/>
                <w:lang w:val="en-US" w:eastAsia="zh-CN"/>
              </w:rPr>
              <w:t>从浮游植物的中以绿藻门密度最大，为8.14×10</w:t>
            </w:r>
            <w:r>
              <w:rPr>
                <w:rFonts w:hint="eastAsia" w:ascii="Times New Roman" w:hAnsi="Times New Roman"/>
                <w:b w:val="0"/>
                <w:bCs/>
                <w:sz w:val="24"/>
                <w:szCs w:val="22"/>
                <w:vertAlign w:val="superscript"/>
                <w:lang w:val="en-US" w:eastAsia="zh-CN"/>
              </w:rPr>
              <w:t>4</w:t>
            </w:r>
            <w:r>
              <w:rPr>
                <w:rFonts w:hint="eastAsia" w:ascii="Times New Roman" w:hAnsi="Times New Roman"/>
                <w:b w:val="0"/>
                <w:bCs/>
                <w:sz w:val="24"/>
                <w:szCs w:val="22"/>
                <w:lang w:val="en-US" w:eastAsia="zh-CN"/>
              </w:rPr>
              <w:t>ind.L-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lang w:val="en-US" w:eastAsia="zh-CN"/>
              </w:rPr>
              <w:t>，蓝藻门、硅藻门密度也较大，分别为5.48×10</w:t>
            </w:r>
            <w:r>
              <w:rPr>
                <w:rFonts w:hint="eastAsia" w:ascii="Times New Roman" w:hAnsi="Times New Roman"/>
                <w:b w:val="0"/>
                <w:bCs/>
                <w:sz w:val="24"/>
                <w:szCs w:val="22"/>
                <w:vertAlign w:val="superscript"/>
                <w:lang w:val="en-US" w:eastAsia="zh-CN"/>
              </w:rPr>
              <w:t>4</w:t>
            </w:r>
            <w:r>
              <w:rPr>
                <w:rFonts w:hint="eastAsia" w:ascii="Times New Roman" w:hAnsi="Times New Roman"/>
                <w:b w:val="0"/>
                <w:bCs/>
                <w:sz w:val="24"/>
                <w:szCs w:val="22"/>
                <w:lang w:val="en-US" w:eastAsia="zh-CN"/>
              </w:rPr>
              <w:t>ind.L-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lang w:val="en-US" w:eastAsia="zh-CN"/>
              </w:rPr>
              <w:t>，3.3×10</w:t>
            </w:r>
            <w:r>
              <w:rPr>
                <w:rFonts w:hint="eastAsia" w:ascii="Times New Roman" w:hAnsi="Times New Roman"/>
                <w:b w:val="0"/>
                <w:bCs/>
                <w:sz w:val="24"/>
                <w:szCs w:val="22"/>
                <w:vertAlign w:val="superscript"/>
                <w:lang w:val="en-US" w:eastAsia="zh-CN"/>
              </w:rPr>
              <w:t>4</w:t>
            </w:r>
            <w:r>
              <w:rPr>
                <w:rFonts w:hint="eastAsia" w:ascii="Times New Roman" w:hAnsi="Times New Roman"/>
                <w:b w:val="0"/>
                <w:bCs/>
                <w:sz w:val="24"/>
                <w:szCs w:val="22"/>
                <w:lang w:val="en-US" w:eastAsia="zh-CN"/>
              </w:rPr>
              <w:t>ind.L-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lang w:val="en-US" w:eastAsia="zh-CN"/>
              </w:rPr>
              <w:t>，以金藻门密度最小，为0.26×10</w:t>
            </w:r>
            <w:r>
              <w:rPr>
                <w:rFonts w:hint="eastAsia" w:ascii="Times New Roman" w:hAnsi="Times New Roman"/>
                <w:b w:val="0"/>
                <w:bCs/>
                <w:sz w:val="24"/>
                <w:szCs w:val="22"/>
                <w:vertAlign w:val="superscript"/>
                <w:lang w:val="en-US" w:eastAsia="zh-CN"/>
              </w:rPr>
              <w:t>4</w:t>
            </w:r>
            <w:r>
              <w:rPr>
                <w:rFonts w:hint="eastAsia" w:ascii="Times New Roman" w:hAnsi="Times New Roman"/>
                <w:b w:val="0"/>
                <w:bCs/>
                <w:sz w:val="24"/>
                <w:szCs w:val="22"/>
                <w:lang w:val="en-US" w:eastAsia="zh-CN"/>
              </w:rPr>
              <w:t>ind.L-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lang w:val="en-US" w:eastAsia="zh-CN"/>
              </w:rPr>
            </w:pPr>
            <w:r>
              <w:rPr>
                <w:rFonts w:hint="eastAsia" w:ascii="Times New Roman" w:hAnsi="Times New Roman"/>
                <w:b w:val="0"/>
                <w:bCs/>
                <w:sz w:val="24"/>
                <w:szCs w:val="22"/>
                <w:lang w:val="en-US" w:eastAsia="zh-CN"/>
              </w:rPr>
              <w:t>在生物量方面，生物量以绿藻门最大，为0.1628mg·L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lang w:val="en-US" w:eastAsia="zh-CN"/>
              </w:rPr>
              <w:t>，硅藻门生物量也较大，为0.1059mg·L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lang w:val="en-US" w:eastAsia="zh-CN"/>
              </w:rPr>
              <w:t>，以金藻门生物量最小，为0.0043mg·L</w:t>
            </w:r>
            <w:r>
              <w:rPr>
                <w:rFonts w:hint="eastAsia" w:ascii="Times New Roman" w:hAnsi="Times New Roman"/>
                <w:b w:val="0"/>
                <w:bCs/>
                <w:sz w:val="24"/>
                <w:szCs w:val="22"/>
                <w:vertAlign w:val="superscript"/>
                <w:lang w:val="en-US" w:eastAsia="zh-CN"/>
              </w:rPr>
              <w:t>-1</w:t>
            </w:r>
            <w:r>
              <w:rPr>
                <w:rFonts w:hint="eastAsia" w:ascii="Times New Roman" w:hAnsi="Times New Roman"/>
                <w:b w:val="0"/>
                <w:bCs/>
                <w:sz w:val="24"/>
                <w:szCs w:val="22"/>
                <w:lang w:val="en-US" w:eastAsia="zh-CN"/>
              </w:rPr>
              <w:t>。由此可见，项目所在水域的浮游植物以绿藻为优势类群。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 w:val="0"/>
                <w:bCs/>
                <w:sz w:val="24"/>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b w:val="0"/>
                <w:bCs/>
                <w:sz w:val="24"/>
                <w:szCs w:val="22"/>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44" w:hRule="atLeast"/>
          <w:jc w:val="center"/>
        </w:trPr>
        <w:tc>
          <w:tcPr>
            <w:tcW w:w="9286"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b/>
                <w:bCs/>
                <w:color w:val="000000"/>
                <w:sz w:val="28"/>
              </w:rPr>
            </w:pPr>
            <w:r>
              <w:rPr>
                <w:rFonts w:ascii="Times New Roman" w:hAnsi="Times New Roman"/>
                <w:b/>
                <w:bCs/>
                <w:color w:val="000000"/>
                <w:sz w:val="28"/>
              </w:rPr>
              <w:t>主要环境保护目标（列出名单及保护级别）：</w:t>
            </w:r>
          </w:p>
          <w:p>
            <w:pPr>
              <w:spacing w:line="360" w:lineRule="auto"/>
              <w:ind w:firstLine="480" w:firstLineChars="200"/>
              <w:rPr>
                <w:rFonts w:ascii="Times New Roman" w:hAnsi="Times New Roman"/>
                <w:sz w:val="24"/>
                <w:szCs w:val="24"/>
              </w:rPr>
            </w:pPr>
            <w:r>
              <w:rPr>
                <w:rFonts w:ascii="Times New Roman" w:hAnsi="Times New Roman"/>
                <w:color w:val="000000"/>
                <w:sz w:val="24"/>
              </w:rPr>
              <w:t>本项目位于</w:t>
            </w:r>
            <w:r>
              <w:rPr>
                <w:rFonts w:hint="eastAsia" w:ascii="Times New Roman" w:hAnsi="Times New Roman"/>
                <w:color w:val="000000"/>
                <w:sz w:val="24"/>
                <w:szCs w:val="24"/>
              </w:rPr>
              <w:t>芜湖三山经济开发区境内</w:t>
            </w:r>
            <w:r>
              <w:rPr>
                <w:rFonts w:ascii="Times New Roman" w:hAnsi="Times New Roman"/>
                <w:color w:val="000000"/>
                <w:sz w:val="24"/>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p>
          <w:p>
            <w:pPr>
              <w:spacing w:line="360" w:lineRule="auto"/>
              <w:ind w:firstLine="480" w:firstLineChars="200"/>
              <w:rPr>
                <w:rFonts w:ascii="Times New Roman" w:hAnsi="Times New Roman"/>
                <w:sz w:val="24"/>
                <w:szCs w:val="24"/>
              </w:rPr>
            </w:pPr>
            <w:r>
              <w:rPr>
                <w:rFonts w:ascii="Times New Roman" w:hAnsi="Times New Roman"/>
                <w:sz w:val="24"/>
                <w:szCs w:val="24"/>
              </w:rPr>
              <w:t>（1）区域地表水体长江以《地表水环境质量标准》（GB3838-2002）III类保护。</w:t>
            </w:r>
          </w:p>
          <w:p>
            <w:pPr>
              <w:spacing w:line="360" w:lineRule="auto"/>
              <w:ind w:firstLine="480" w:firstLineChars="200"/>
              <w:rPr>
                <w:rFonts w:ascii="Times New Roman" w:hAnsi="Times New Roman"/>
                <w:sz w:val="24"/>
                <w:szCs w:val="24"/>
              </w:rPr>
            </w:pPr>
            <w:r>
              <w:rPr>
                <w:rFonts w:ascii="Times New Roman" w:hAnsi="Times New Roman"/>
                <w:sz w:val="24"/>
                <w:szCs w:val="24"/>
              </w:rPr>
              <w:t>（2）保护项目区域所在地环境空气质量达到《环境空气质量标准》（GB3095-2012）中的二级标准；</w:t>
            </w:r>
          </w:p>
          <w:p>
            <w:pPr>
              <w:spacing w:line="360" w:lineRule="auto"/>
              <w:ind w:firstLine="480" w:firstLineChars="200"/>
              <w:rPr>
                <w:rFonts w:ascii="Times New Roman" w:hAnsi="Times New Roman"/>
                <w:sz w:val="24"/>
                <w:szCs w:val="24"/>
              </w:rPr>
            </w:pPr>
            <w:r>
              <w:rPr>
                <w:rFonts w:ascii="Times New Roman" w:hAnsi="Times New Roman"/>
                <w:sz w:val="24"/>
                <w:szCs w:val="24"/>
              </w:rPr>
              <w:t>（3）</w:t>
            </w:r>
            <w:r>
              <w:rPr>
                <w:rFonts w:hint="eastAsia" w:ascii="Times New Roman" w:hAnsi="Times New Roman"/>
                <w:sz w:val="24"/>
                <w:szCs w:val="24"/>
              </w:rPr>
              <w:t>站址</w:t>
            </w:r>
            <w:r>
              <w:rPr>
                <w:rFonts w:ascii="Times New Roman" w:hAnsi="Times New Roman"/>
                <w:sz w:val="24"/>
                <w:szCs w:val="24"/>
              </w:rPr>
              <w:t>周围环境噪声满足《声环境质量标准》（GB3096-2008）中</w:t>
            </w:r>
            <w:r>
              <w:rPr>
                <w:rFonts w:hint="eastAsia" w:ascii="Times New Roman" w:hAnsi="Times New Roman"/>
                <w:sz w:val="24"/>
                <w:szCs w:val="24"/>
              </w:rPr>
              <w:t>3类</w:t>
            </w:r>
            <w:r>
              <w:rPr>
                <w:rFonts w:ascii="Times New Roman" w:hAnsi="Times New Roman"/>
                <w:sz w:val="24"/>
                <w:szCs w:val="24"/>
              </w:rPr>
              <w:t>功能区标准。</w:t>
            </w:r>
          </w:p>
          <w:p>
            <w:pPr>
              <w:spacing w:line="360" w:lineRule="auto"/>
              <w:ind w:firstLine="480" w:firstLineChars="200"/>
              <w:rPr>
                <w:rFonts w:ascii="Times New Roman" w:hAnsi="Times New Roman"/>
                <w:sz w:val="24"/>
                <w:szCs w:val="24"/>
              </w:rPr>
            </w:pPr>
            <w:r>
              <w:rPr>
                <w:rFonts w:ascii="Times New Roman" w:hAnsi="Times New Roman"/>
                <w:sz w:val="24"/>
                <w:szCs w:val="24"/>
              </w:rPr>
              <w:t>其主要环境保护目标详见下表。</w:t>
            </w: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pStyle w:val="27"/>
              <w:ind w:left="902" w:hanging="482"/>
              <w:rPr>
                <w:rFonts w:ascii="Times New Roman" w:hAnsi="Times New Roman"/>
                <w:b/>
                <w:color w:val="000000"/>
                <w:sz w:val="24"/>
              </w:rPr>
            </w:pPr>
          </w:p>
          <w:p>
            <w:pPr>
              <w:rPr>
                <w:rFonts w:ascii="Times New Roman" w:hAnsi="Times New Roman"/>
                <w:b/>
                <w:color w:val="000000"/>
                <w:sz w:val="24"/>
              </w:rPr>
            </w:pPr>
          </w:p>
          <w:p>
            <w:pPr>
              <w:pStyle w:val="27"/>
              <w:ind w:left="902" w:hanging="482"/>
              <w:rPr>
                <w:rFonts w:ascii="Times New Roman" w:hAnsi="Times New Roman"/>
                <w:b/>
                <w:color w:val="000000"/>
                <w:sz w:val="24"/>
              </w:rPr>
            </w:pPr>
          </w:p>
          <w:p>
            <w:pPr>
              <w:rPr>
                <w:rFonts w:ascii="Times New Roman" w:hAnsi="Times New Roman"/>
                <w:b/>
                <w:color w:val="000000"/>
                <w:sz w:val="24"/>
              </w:rPr>
            </w:pPr>
          </w:p>
          <w:p>
            <w:pPr>
              <w:pStyle w:val="27"/>
              <w:ind w:left="840" w:hanging="420"/>
              <w:rPr>
                <w:rFonts w:ascii="Times New Roman" w:hAnsi="Times New Roman"/>
              </w:rPr>
            </w:pPr>
          </w:p>
          <w:p>
            <w:pPr>
              <w:rPr>
                <w:rFonts w:ascii="Times New Roman" w:hAnsi="Times New Roman"/>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Cs w:val="21"/>
              </w:rPr>
            </w:pPr>
            <w:r>
              <w:rPr>
                <w:rFonts w:ascii="Times New Roman" w:hAnsi="Times New Roman"/>
                <w:b/>
                <w:color w:val="000000"/>
                <w:sz w:val="24"/>
                <w:szCs w:val="24"/>
                <w:lang w:bidi="en-US"/>
              </w:rPr>
              <w:t>表3-</w:t>
            </w:r>
            <w:r>
              <w:rPr>
                <w:rFonts w:hint="eastAsia" w:ascii="Times New Roman" w:hAnsi="Times New Roman"/>
                <w:b/>
                <w:color w:val="000000"/>
                <w:sz w:val="24"/>
                <w:szCs w:val="24"/>
                <w:lang w:val="en-US" w:eastAsia="zh-CN" w:bidi="en-US"/>
              </w:rPr>
              <w:t>6</w:t>
            </w:r>
            <w:r>
              <w:rPr>
                <w:rFonts w:ascii="Times New Roman" w:hAnsi="Times New Roman"/>
                <w:b/>
                <w:color w:val="000000"/>
                <w:sz w:val="24"/>
                <w:szCs w:val="24"/>
                <w:lang w:bidi="en-US"/>
              </w:rPr>
              <w:t xml:space="preserve">  </w:t>
            </w:r>
            <w:r>
              <w:rPr>
                <w:rFonts w:hint="eastAsia" w:ascii="Times New Roman" w:hAnsi="Times New Roman"/>
                <w:b/>
                <w:color w:val="000000"/>
                <w:sz w:val="24"/>
                <w:szCs w:val="24"/>
                <w:lang w:bidi="en-US"/>
              </w:rPr>
              <w:t>高安站</w:t>
            </w:r>
            <w:r>
              <w:rPr>
                <w:rFonts w:ascii="Times New Roman" w:hAnsi="Times New Roman"/>
                <w:b/>
                <w:color w:val="000000"/>
                <w:sz w:val="24"/>
                <w:szCs w:val="24"/>
                <w:lang w:bidi="en-US"/>
              </w:rPr>
              <w:t>环境空气保护目标一览表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986"/>
              <w:gridCol w:w="1000"/>
              <w:gridCol w:w="950"/>
              <w:gridCol w:w="1517"/>
              <w:gridCol w:w="1350"/>
              <w:gridCol w:w="933"/>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44"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名称</w:t>
                  </w:r>
                </w:p>
              </w:tc>
              <w:tc>
                <w:tcPr>
                  <w:tcW w:w="1986" w:type="dxa"/>
                  <w:gridSpan w:val="2"/>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坐标/m</w:t>
                  </w:r>
                </w:p>
              </w:tc>
              <w:tc>
                <w:tcPr>
                  <w:tcW w:w="9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保护对象</w:t>
                  </w:r>
                </w:p>
              </w:tc>
              <w:tc>
                <w:tcPr>
                  <w:tcW w:w="1517"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保护内容</w:t>
                  </w:r>
                </w:p>
              </w:tc>
              <w:tc>
                <w:tcPr>
                  <w:tcW w:w="13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环境功能区</w:t>
                  </w:r>
                </w:p>
              </w:tc>
              <w:tc>
                <w:tcPr>
                  <w:tcW w:w="933"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相对厂址位置</w:t>
                  </w:r>
                </w:p>
              </w:tc>
              <w:tc>
                <w:tcPr>
                  <w:tcW w:w="1064"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044" w:type="dxa"/>
                  <w:vMerge w:val="continue"/>
                  <w:vAlign w:val="center"/>
                </w:tcPr>
                <w:p>
                  <w:pPr>
                    <w:spacing w:line="240" w:lineRule="atLeast"/>
                    <w:jc w:val="center"/>
                    <w:rPr>
                      <w:rFonts w:ascii="Times New Roman" w:hAnsi="Times New Roman"/>
                      <w:color w:val="000000"/>
                      <w:szCs w:val="21"/>
                    </w:rPr>
                  </w:pPr>
                </w:p>
              </w:tc>
              <w:tc>
                <w:tcPr>
                  <w:tcW w:w="986" w:type="dxa"/>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X</w:t>
                  </w:r>
                </w:p>
              </w:tc>
              <w:tc>
                <w:tcPr>
                  <w:tcW w:w="1000" w:type="dxa"/>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Y</w:t>
                  </w:r>
                </w:p>
              </w:tc>
              <w:tc>
                <w:tcPr>
                  <w:tcW w:w="950" w:type="dxa"/>
                  <w:vMerge w:val="continue"/>
                  <w:vAlign w:val="center"/>
                </w:tcPr>
                <w:p>
                  <w:pPr>
                    <w:spacing w:line="240" w:lineRule="atLeast"/>
                    <w:jc w:val="center"/>
                    <w:rPr>
                      <w:rFonts w:ascii="Times New Roman" w:hAnsi="Times New Roman"/>
                      <w:color w:val="000000"/>
                      <w:szCs w:val="21"/>
                    </w:rPr>
                  </w:pPr>
                </w:p>
              </w:tc>
              <w:tc>
                <w:tcPr>
                  <w:tcW w:w="1517" w:type="dxa"/>
                  <w:vMerge w:val="continue"/>
                  <w:vAlign w:val="center"/>
                </w:tcPr>
                <w:p>
                  <w:pPr>
                    <w:spacing w:line="240" w:lineRule="atLeast"/>
                    <w:jc w:val="center"/>
                    <w:rPr>
                      <w:rFonts w:ascii="Times New Roman" w:hAnsi="Times New Roman"/>
                      <w:color w:val="000000"/>
                      <w:szCs w:val="21"/>
                    </w:rPr>
                  </w:pP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Merge w:val="continue"/>
                  <w:vAlign w:val="center"/>
                </w:tcPr>
                <w:p>
                  <w:pPr>
                    <w:spacing w:line="240" w:lineRule="atLeast"/>
                    <w:jc w:val="center"/>
                    <w:rPr>
                      <w:rFonts w:ascii="Times New Roman" w:hAnsi="Times New Roman"/>
                      <w:color w:val="000000"/>
                      <w:szCs w:val="21"/>
                    </w:rPr>
                  </w:pPr>
                </w:p>
              </w:tc>
              <w:tc>
                <w:tcPr>
                  <w:tcW w:w="1064" w:type="dxa"/>
                  <w:vMerge w:val="continue"/>
                  <w:vAlign w:val="center"/>
                </w:tcPr>
                <w:p>
                  <w:pPr>
                    <w:spacing w:line="240" w:lineRule="atLeas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花墩</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400</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-352</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w:t>
                  </w:r>
                  <w:r>
                    <w:rPr>
                      <w:rFonts w:ascii="Times New Roman" w:hAnsi="Times New Roman"/>
                      <w:color w:val="000000"/>
                      <w:kern w:val="2"/>
                      <w:sz w:val="21"/>
                      <w:szCs w:val="21"/>
                      <w:lang w:eastAsia="zh-CN"/>
                    </w:rPr>
                    <w:t>6户，</w:t>
                  </w:r>
                  <w:r>
                    <w:rPr>
                      <w:rFonts w:hint="eastAsia" w:ascii="Times New Roman" w:hAnsi="Times New Roman"/>
                      <w:color w:val="000000"/>
                      <w:kern w:val="2"/>
                      <w:sz w:val="21"/>
                      <w:szCs w:val="21"/>
                      <w:lang w:eastAsia="zh-CN"/>
                    </w:rPr>
                    <w:t>78</w:t>
                  </w:r>
                  <w:r>
                    <w:rPr>
                      <w:rFonts w:ascii="Times New Roman" w:hAnsi="Times New Roman"/>
                      <w:color w:val="000000"/>
                      <w:kern w:val="2"/>
                      <w:sz w:val="21"/>
                      <w:szCs w:val="21"/>
                      <w:lang w:eastAsia="zh-CN"/>
                    </w:rPr>
                    <w:t>人</w:t>
                  </w:r>
                </w:p>
              </w:tc>
              <w:tc>
                <w:tcPr>
                  <w:tcW w:w="13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《环境空气质量标准》（GB3095－2012）中二级标准要求</w:t>
                  </w: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西洋村</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0</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-1322</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21</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63</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尚墩</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957</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-1256</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32户</w:t>
                  </w:r>
                  <w:r>
                    <w:rPr>
                      <w:rFonts w:ascii="Times New Roman" w:hAnsi="Times New Roman"/>
                      <w:color w:val="000000"/>
                      <w:kern w:val="2"/>
                      <w:sz w:val="21"/>
                      <w:szCs w:val="21"/>
                      <w:lang w:eastAsia="zh-CN"/>
                    </w:rPr>
                    <w:t>，</w:t>
                  </w:r>
                  <w:r>
                    <w:rPr>
                      <w:rFonts w:hint="eastAsia" w:ascii="Times New Roman" w:hAnsi="Times New Roman"/>
                      <w:color w:val="000000"/>
                      <w:kern w:val="2"/>
                      <w:sz w:val="21"/>
                      <w:szCs w:val="21"/>
                      <w:lang w:eastAsia="zh-CN"/>
                    </w:rPr>
                    <w:t>96人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李家墩</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1333</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420</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19</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57</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NE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陡门口</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-698</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-2017</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38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104</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SW</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2103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新港镇</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-2117</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1960</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224</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672</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SW</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2872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滕老村</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1226</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-1661</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szCs w:val="21"/>
                    </w:rPr>
                  </w:pPr>
                  <w:r>
                    <w:rPr>
                      <w:rFonts w:ascii="Times New Roman" w:hAnsi="Times New Roman"/>
                      <w:color w:val="000000"/>
                      <w:szCs w:val="21"/>
                    </w:rPr>
                    <w:t>约</w:t>
                  </w:r>
                  <w:r>
                    <w:rPr>
                      <w:rFonts w:hint="eastAsia" w:ascii="Times New Roman" w:hAnsi="Times New Roman"/>
                      <w:color w:val="000000"/>
                      <w:szCs w:val="21"/>
                    </w:rPr>
                    <w:t>31</w:t>
                  </w:r>
                  <w:r>
                    <w:rPr>
                      <w:rFonts w:ascii="Times New Roman" w:hAnsi="Times New Roman"/>
                      <w:color w:val="000000"/>
                      <w:szCs w:val="21"/>
                    </w:rPr>
                    <w:t>户，</w:t>
                  </w:r>
                  <w:r>
                    <w:rPr>
                      <w:rFonts w:hint="eastAsia" w:ascii="Times New Roman" w:hAnsi="Times New Roman"/>
                      <w:color w:val="000000"/>
                      <w:szCs w:val="21"/>
                    </w:rPr>
                    <w:t>93</w:t>
                  </w:r>
                  <w:r>
                    <w:rPr>
                      <w:rFonts w:ascii="Times New Roman" w:hAnsi="Times New Roman"/>
                      <w:color w:val="000000"/>
                      <w:szCs w:val="21"/>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SE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支房村</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1963</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-1343</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szCs w:val="21"/>
                    </w:rPr>
                  </w:pPr>
                  <w:r>
                    <w:rPr>
                      <w:rFonts w:ascii="Times New Roman" w:hAnsi="Times New Roman"/>
                      <w:color w:val="000000"/>
                      <w:szCs w:val="21"/>
                    </w:rPr>
                    <w:t>约</w:t>
                  </w:r>
                  <w:r>
                    <w:rPr>
                      <w:rFonts w:hint="eastAsia" w:ascii="Times New Roman" w:hAnsi="Times New Roman"/>
                      <w:color w:val="000000"/>
                      <w:szCs w:val="21"/>
                    </w:rPr>
                    <w:t>41</w:t>
                  </w:r>
                  <w:r>
                    <w:rPr>
                      <w:rFonts w:ascii="Times New Roman" w:hAnsi="Times New Roman"/>
                      <w:color w:val="000000"/>
                      <w:szCs w:val="21"/>
                    </w:rPr>
                    <w:t>户，</w:t>
                  </w:r>
                  <w:r>
                    <w:rPr>
                      <w:rFonts w:hint="eastAsia" w:ascii="Times New Roman" w:hAnsi="Times New Roman"/>
                      <w:color w:val="000000"/>
                      <w:szCs w:val="21"/>
                    </w:rPr>
                    <w:t>123</w:t>
                  </w:r>
                  <w:r>
                    <w:rPr>
                      <w:rFonts w:ascii="Times New Roman" w:hAnsi="Times New Roman"/>
                      <w:color w:val="000000"/>
                      <w:szCs w:val="21"/>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2457</w:t>
                  </w:r>
                </w:p>
              </w:tc>
            </w:tr>
          </w:tbl>
          <w:p>
            <w:pPr>
              <w:pStyle w:val="20"/>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ascii="Times New Roman" w:hAnsi="Times New Roman"/>
                <w:b/>
                <w:color w:val="000000"/>
                <w:szCs w:val="21"/>
              </w:rPr>
            </w:pPr>
            <w:r>
              <w:rPr>
                <w:rFonts w:hint="eastAsia" w:ascii="Times New Roman" w:hAnsi="Times New Roman"/>
                <w:b/>
                <w:bCs/>
                <w:lang w:val="en-US" w:eastAsia="zh-CN"/>
              </w:rPr>
              <w:t>厂区西南角为坐标原点</w:t>
            </w:r>
          </w:p>
          <w:p>
            <w:pPr>
              <w:spacing w:line="360" w:lineRule="auto"/>
              <w:jc w:val="center"/>
              <w:rPr>
                <w:rFonts w:ascii="Times New Roman" w:hAnsi="Times New Roman"/>
                <w:b/>
                <w:color w:val="000000"/>
                <w:szCs w:val="21"/>
              </w:rPr>
            </w:pPr>
            <w:r>
              <w:rPr>
                <w:rFonts w:ascii="Times New Roman" w:hAnsi="Times New Roman"/>
                <w:b/>
                <w:color w:val="000000"/>
                <w:sz w:val="24"/>
                <w:szCs w:val="24"/>
                <w:lang w:bidi="en-US"/>
              </w:rPr>
              <w:t>表3-</w:t>
            </w:r>
            <w:r>
              <w:rPr>
                <w:rFonts w:hint="eastAsia" w:ascii="Times New Roman" w:hAnsi="Times New Roman"/>
                <w:b/>
                <w:color w:val="000000"/>
                <w:sz w:val="24"/>
                <w:szCs w:val="24"/>
                <w:lang w:val="en-US" w:eastAsia="zh-CN" w:bidi="en-US"/>
              </w:rPr>
              <w:t>7</w:t>
            </w:r>
            <w:r>
              <w:rPr>
                <w:rFonts w:ascii="Times New Roman" w:hAnsi="Times New Roman"/>
                <w:b/>
                <w:color w:val="000000"/>
                <w:sz w:val="24"/>
                <w:szCs w:val="24"/>
                <w:lang w:bidi="en-US"/>
              </w:rPr>
              <w:t xml:space="preserve">  </w:t>
            </w:r>
            <w:r>
              <w:rPr>
                <w:rFonts w:hint="eastAsia" w:ascii="Times New Roman" w:hAnsi="Times New Roman"/>
                <w:b/>
                <w:color w:val="000000"/>
                <w:sz w:val="24"/>
                <w:szCs w:val="24"/>
                <w:lang w:bidi="en-US"/>
              </w:rPr>
              <w:t>横山站</w:t>
            </w:r>
            <w:r>
              <w:rPr>
                <w:rFonts w:ascii="Times New Roman" w:hAnsi="Times New Roman"/>
                <w:b/>
                <w:color w:val="000000"/>
                <w:sz w:val="24"/>
                <w:szCs w:val="24"/>
                <w:lang w:bidi="en-US"/>
              </w:rPr>
              <w:t>环境空气保护目标一览表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986"/>
              <w:gridCol w:w="1000"/>
              <w:gridCol w:w="950"/>
              <w:gridCol w:w="1517"/>
              <w:gridCol w:w="1350"/>
              <w:gridCol w:w="933"/>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44"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名称</w:t>
                  </w:r>
                </w:p>
              </w:tc>
              <w:tc>
                <w:tcPr>
                  <w:tcW w:w="1986" w:type="dxa"/>
                  <w:gridSpan w:val="2"/>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坐标/m</w:t>
                  </w:r>
                </w:p>
              </w:tc>
              <w:tc>
                <w:tcPr>
                  <w:tcW w:w="9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保护对象</w:t>
                  </w:r>
                </w:p>
              </w:tc>
              <w:tc>
                <w:tcPr>
                  <w:tcW w:w="1517"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保护内容</w:t>
                  </w:r>
                </w:p>
              </w:tc>
              <w:tc>
                <w:tcPr>
                  <w:tcW w:w="13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环境功能区</w:t>
                  </w:r>
                </w:p>
              </w:tc>
              <w:tc>
                <w:tcPr>
                  <w:tcW w:w="933"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相对厂址位置</w:t>
                  </w:r>
                </w:p>
              </w:tc>
              <w:tc>
                <w:tcPr>
                  <w:tcW w:w="1064"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044" w:type="dxa"/>
                  <w:vMerge w:val="continue"/>
                  <w:vAlign w:val="center"/>
                </w:tcPr>
                <w:p>
                  <w:pPr>
                    <w:spacing w:line="240" w:lineRule="atLeast"/>
                    <w:jc w:val="center"/>
                    <w:rPr>
                      <w:rFonts w:ascii="Times New Roman" w:hAnsi="Times New Roman"/>
                      <w:color w:val="000000"/>
                      <w:szCs w:val="21"/>
                    </w:rPr>
                  </w:pPr>
                </w:p>
              </w:tc>
              <w:tc>
                <w:tcPr>
                  <w:tcW w:w="986" w:type="dxa"/>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X</w:t>
                  </w:r>
                </w:p>
              </w:tc>
              <w:tc>
                <w:tcPr>
                  <w:tcW w:w="1000" w:type="dxa"/>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Y</w:t>
                  </w:r>
                </w:p>
              </w:tc>
              <w:tc>
                <w:tcPr>
                  <w:tcW w:w="950" w:type="dxa"/>
                  <w:vMerge w:val="continue"/>
                  <w:vAlign w:val="center"/>
                </w:tcPr>
                <w:p>
                  <w:pPr>
                    <w:spacing w:line="240" w:lineRule="atLeast"/>
                    <w:jc w:val="center"/>
                    <w:rPr>
                      <w:rFonts w:ascii="Times New Roman" w:hAnsi="Times New Roman"/>
                      <w:color w:val="000000"/>
                      <w:szCs w:val="21"/>
                    </w:rPr>
                  </w:pPr>
                </w:p>
              </w:tc>
              <w:tc>
                <w:tcPr>
                  <w:tcW w:w="1517" w:type="dxa"/>
                  <w:vMerge w:val="continue"/>
                  <w:vAlign w:val="center"/>
                </w:tcPr>
                <w:p>
                  <w:pPr>
                    <w:spacing w:line="240" w:lineRule="atLeast"/>
                    <w:jc w:val="center"/>
                    <w:rPr>
                      <w:rFonts w:ascii="Times New Roman" w:hAnsi="Times New Roman"/>
                      <w:color w:val="000000"/>
                      <w:szCs w:val="21"/>
                    </w:rPr>
                  </w:pP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Merge w:val="continue"/>
                  <w:vAlign w:val="center"/>
                </w:tcPr>
                <w:p>
                  <w:pPr>
                    <w:spacing w:line="240" w:lineRule="atLeast"/>
                    <w:jc w:val="center"/>
                    <w:rPr>
                      <w:rFonts w:ascii="Times New Roman" w:hAnsi="Times New Roman"/>
                      <w:color w:val="000000"/>
                      <w:szCs w:val="21"/>
                    </w:rPr>
                  </w:pPr>
                </w:p>
              </w:tc>
              <w:tc>
                <w:tcPr>
                  <w:tcW w:w="1064" w:type="dxa"/>
                  <w:vMerge w:val="continue"/>
                  <w:vAlign w:val="center"/>
                </w:tcPr>
                <w:p>
                  <w:pPr>
                    <w:spacing w:line="240" w:lineRule="atLeas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张家滩</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171</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1094</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25</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75</w:t>
                  </w:r>
                  <w:r>
                    <w:rPr>
                      <w:rFonts w:ascii="Times New Roman" w:hAnsi="Times New Roman"/>
                      <w:color w:val="000000"/>
                      <w:kern w:val="2"/>
                      <w:sz w:val="21"/>
                      <w:szCs w:val="21"/>
                      <w:lang w:eastAsia="zh-CN"/>
                    </w:rPr>
                    <w:t>人</w:t>
                  </w:r>
                </w:p>
              </w:tc>
              <w:tc>
                <w:tcPr>
                  <w:tcW w:w="13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《环境空气质量标准》（GB3095－2012）中二级标准要求</w:t>
                  </w: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NE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枫杨树</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1293</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0</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30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90</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孙家湾</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1710</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-468</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21户</w:t>
                  </w:r>
                  <w:r>
                    <w:rPr>
                      <w:rFonts w:ascii="Times New Roman" w:hAnsi="Times New Roman"/>
                      <w:color w:val="000000"/>
                      <w:kern w:val="2"/>
                      <w:sz w:val="21"/>
                      <w:szCs w:val="21"/>
                      <w:lang w:eastAsia="zh-CN"/>
                    </w:rPr>
                    <w:t>，</w:t>
                  </w:r>
                  <w:r>
                    <w:rPr>
                      <w:rFonts w:hint="eastAsia" w:ascii="Times New Roman" w:hAnsi="Times New Roman"/>
                      <w:color w:val="000000"/>
                      <w:kern w:val="2"/>
                      <w:sz w:val="21"/>
                      <w:szCs w:val="21"/>
                      <w:lang w:eastAsia="zh-CN"/>
                    </w:rPr>
                    <w:t>63人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罗湖</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949</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-1770</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180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540</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1882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谷屋基</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-1530</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-1447</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19</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57</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SW</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江北村</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-1725</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1798</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42</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126</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NW</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2551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西埂</w:t>
                  </w:r>
                </w:p>
              </w:tc>
              <w:tc>
                <w:tcPr>
                  <w:tcW w:w="986"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1727</w:t>
                  </w:r>
                </w:p>
              </w:tc>
              <w:tc>
                <w:tcPr>
                  <w:tcW w:w="1000"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1494</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szCs w:val="21"/>
                    </w:rPr>
                  </w:pPr>
                  <w:r>
                    <w:rPr>
                      <w:rFonts w:ascii="Times New Roman" w:hAnsi="Times New Roman"/>
                      <w:color w:val="000000"/>
                      <w:szCs w:val="21"/>
                    </w:rPr>
                    <w:t>约</w:t>
                  </w:r>
                  <w:r>
                    <w:rPr>
                      <w:rFonts w:hint="eastAsia" w:ascii="Times New Roman" w:hAnsi="Times New Roman"/>
                      <w:color w:val="000000"/>
                      <w:szCs w:val="21"/>
                    </w:rPr>
                    <w:t>15</w:t>
                  </w:r>
                  <w:r>
                    <w:rPr>
                      <w:rFonts w:ascii="Times New Roman" w:hAnsi="Times New Roman"/>
                      <w:color w:val="000000"/>
                      <w:szCs w:val="21"/>
                    </w:rPr>
                    <w:t>户，</w:t>
                  </w:r>
                  <w:r>
                    <w:rPr>
                      <w:rFonts w:hint="eastAsia" w:ascii="Times New Roman" w:hAnsi="Times New Roman"/>
                      <w:color w:val="000000"/>
                      <w:szCs w:val="21"/>
                    </w:rPr>
                    <w:t>45</w:t>
                  </w:r>
                  <w:r>
                    <w:rPr>
                      <w:rFonts w:ascii="Times New Roman" w:hAnsi="Times New Roman"/>
                      <w:color w:val="000000"/>
                      <w:szCs w:val="21"/>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autoSpaceDE w:val="0"/>
                    <w:autoSpaceDN w:val="0"/>
                    <w:spacing w:line="240" w:lineRule="atLeast"/>
                    <w:jc w:val="center"/>
                    <w:rPr>
                      <w:rFonts w:ascii="Times New Roman" w:hAnsi="Times New Roman"/>
                      <w:color w:val="000000"/>
                      <w:szCs w:val="21"/>
                    </w:rPr>
                  </w:pPr>
                  <w:r>
                    <w:rPr>
                      <w:rFonts w:hint="eastAsia" w:ascii="Times New Roman" w:hAnsi="Times New Roman"/>
                      <w:color w:val="000000"/>
                      <w:szCs w:val="21"/>
                    </w:rPr>
                    <w:t>NE</w:t>
                  </w:r>
                </w:p>
              </w:tc>
              <w:tc>
                <w:tcPr>
                  <w:tcW w:w="1064"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2217</w:t>
                  </w:r>
                </w:p>
              </w:tc>
            </w:tr>
          </w:tbl>
          <w:p>
            <w:pPr>
              <w:pStyle w:val="20"/>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Times New Roman" w:hAnsi="Times New Roman" w:eastAsia="宋体"/>
                <w:b/>
                <w:bCs/>
                <w:lang w:val="en-US" w:eastAsia="zh-CN"/>
              </w:rPr>
            </w:pPr>
            <w:r>
              <w:rPr>
                <w:rFonts w:hint="eastAsia" w:ascii="Times New Roman" w:hAnsi="Times New Roman"/>
                <w:b/>
                <w:bCs/>
                <w:lang w:val="en-US" w:eastAsia="zh-CN"/>
              </w:rPr>
              <w:t>厂区西南角为坐标原点</w:t>
            </w:r>
          </w:p>
          <w:p>
            <w:pPr>
              <w:spacing w:line="360" w:lineRule="auto"/>
              <w:jc w:val="both"/>
              <w:rPr>
                <w:rFonts w:ascii="Times New Roman" w:hAnsi="Times New Roman"/>
                <w:b/>
                <w:color w:val="000000"/>
                <w:sz w:val="24"/>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Cs w:val="21"/>
              </w:rPr>
            </w:pPr>
            <w:r>
              <w:rPr>
                <w:rFonts w:ascii="Times New Roman" w:hAnsi="Times New Roman"/>
                <w:b/>
                <w:color w:val="000000"/>
                <w:sz w:val="24"/>
                <w:szCs w:val="24"/>
                <w:lang w:bidi="en-US"/>
              </w:rPr>
              <w:t>表3-</w:t>
            </w:r>
            <w:r>
              <w:rPr>
                <w:rFonts w:hint="eastAsia" w:ascii="Times New Roman" w:hAnsi="Times New Roman"/>
                <w:b/>
                <w:color w:val="000000"/>
                <w:sz w:val="24"/>
                <w:szCs w:val="24"/>
                <w:lang w:val="en-US" w:eastAsia="zh-CN" w:bidi="en-US"/>
              </w:rPr>
              <w:t>8</w:t>
            </w:r>
            <w:r>
              <w:rPr>
                <w:rFonts w:ascii="Times New Roman" w:hAnsi="Times New Roman"/>
                <w:b/>
                <w:color w:val="000000"/>
                <w:sz w:val="24"/>
                <w:szCs w:val="24"/>
                <w:lang w:bidi="en-US"/>
              </w:rPr>
              <w:t xml:space="preserve">  </w:t>
            </w:r>
            <w:r>
              <w:rPr>
                <w:rFonts w:hint="eastAsia" w:ascii="Times New Roman" w:hAnsi="Times New Roman"/>
                <w:b/>
                <w:color w:val="000000"/>
                <w:sz w:val="24"/>
                <w:szCs w:val="24"/>
                <w:lang w:val="en-US" w:eastAsia="zh-CN" w:bidi="en-US"/>
              </w:rPr>
              <w:t>管线</w:t>
            </w:r>
            <w:r>
              <w:rPr>
                <w:rFonts w:ascii="Times New Roman" w:hAnsi="Times New Roman"/>
                <w:b/>
                <w:color w:val="000000"/>
                <w:sz w:val="24"/>
                <w:szCs w:val="24"/>
                <w:lang w:bidi="en-US"/>
              </w:rPr>
              <w:t>环境空气保护目标一览表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986"/>
              <w:gridCol w:w="1000"/>
              <w:gridCol w:w="950"/>
              <w:gridCol w:w="1517"/>
              <w:gridCol w:w="1350"/>
              <w:gridCol w:w="933"/>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44"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名称</w:t>
                  </w:r>
                </w:p>
              </w:tc>
              <w:tc>
                <w:tcPr>
                  <w:tcW w:w="1986" w:type="dxa"/>
                  <w:gridSpan w:val="2"/>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坐标/m</w:t>
                  </w:r>
                </w:p>
              </w:tc>
              <w:tc>
                <w:tcPr>
                  <w:tcW w:w="9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保护对象</w:t>
                  </w:r>
                </w:p>
              </w:tc>
              <w:tc>
                <w:tcPr>
                  <w:tcW w:w="1517"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保护内容</w:t>
                  </w:r>
                </w:p>
              </w:tc>
              <w:tc>
                <w:tcPr>
                  <w:tcW w:w="13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环境功能区</w:t>
                  </w:r>
                </w:p>
              </w:tc>
              <w:tc>
                <w:tcPr>
                  <w:tcW w:w="933"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相对厂址位置</w:t>
                  </w:r>
                </w:p>
              </w:tc>
              <w:tc>
                <w:tcPr>
                  <w:tcW w:w="1064"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044" w:type="dxa"/>
                  <w:vMerge w:val="continue"/>
                  <w:vAlign w:val="center"/>
                </w:tcPr>
                <w:p>
                  <w:pPr>
                    <w:spacing w:line="240" w:lineRule="atLeast"/>
                    <w:jc w:val="center"/>
                    <w:rPr>
                      <w:rFonts w:ascii="Times New Roman" w:hAnsi="Times New Roman"/>
                      <w:color w:val="000000"/>
                      <w:szCs w:val="21"/>
                    </w:rPr>
                  </w:pPr>
                </w:p>
              </w:tc>
              <w:tc>
                <w:tcPr>
                  <w:tcW w:w="986" w:type="dxa"/>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X</w:t>
                  </w:r>
                </w:p>
              </w:tc>
              <w:tc>
                <w:tcPr>
                  <w:tcW w:w="1000" w:type="dxa"/>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Y</w:t>
                  </w:r>
                </w:p>
              </w:tc>
              <w:tc>
                <w:tcPr>
                  <w:tcW w:w="950" w:type="dxa"/>
                  <w:vMerge w:val="continue"/>
                  <w:vAlign w:val="center"/>
                </w:tcPr>
                <w:p>
                  <w:pPr>
                    <w:spacing w:line="240" w:lineRule="atLeast"/>
                    <w:jc w:val="center"/>
                    <w:rPr>
                      <w:rFonts w:ascii="Times New Roman" w:hAnsi="Times New Roman"/>
                      <w:color w:val="000000"/>
                      <w:szCs w:val="21"/>
                    </w:rPr>
                  </w:pPr>
                </w:p>
              </w:tc>
              <w:tc>
                <w:tcPr>
                  <w:tcW w:w="1517" w:type="dxa"/>
                  <w:vMerge w:val="continue"/>
                  <w:vAlign w:val="center"/>
                </w:tcPr>
                <w:p>
                  <w:pPr>
                    <w:spacing w:line="240" w:lineRule="atLeast"/>
                    <w:jc w:val="center"/>
                    <w:rPr>
                      <w:rFonts w:ascii="Times New Roman" w:hAnsi="Times New Roman"/>
                      <w:color w:val="000000"/>
                      <w:szCs w:val="21"/>
                    </w:rPr>
                  </w:pP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Merge w:val="continue"/>
                  <w:vAlign w:val="center"/>
                </w:tcPr>
                <w:p>
                  <w:pPr>
                    <w:spacing w:line="240" w:lineRule="atLeast"/>
                    <w:jc w:val="center"/>
                    <w:rPr>
                      <w:rFonts w:ascii="Times New Roman" w:hAnsi="Times New Roman"/>
                      <w:color w:val="000000"/>
                      <w:szCs w:val="21"/>
                    </w:rPr>
                  </w:pPr>
                </w:p>
              </w:tc>
              <w:tc>
                <w:tcPr>
                  <w:tcW w:w="1064" w:type="dxa"/>
                  <w:vMerge w:val="continue"/>
                  <w:vAlign w:val="center"/>
                </w:tcPr>
                <w:p>
                  <w:pPr>
                    <w:spacing w:line="240" w:lineRule="atLeas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王圩</w:t>
                  </w:r>
                </w:p>
              </w:tc>
              <w:tc>
                <w:tcPr>
                  <w:tcW w:w="986" w:type="dxa"/>
                  <w:vAlign w:val="center"/>
                </w:tcPr>
                <w:p>
                  <w:pPr>
                    <w:spacing w:line="240" w:lineRule="atLeast"/>
                    <w:jc w:val="center"/>
                    <w:rPr>
                      <w:rFonts w:hint="eastAsia" w:ascii="Times New Roman" w:hAnsi="Times New Roman" w:eastAsia="宋体"/>
                      <w:color w:val="000000"/>
                      <w:szCs w:val="21"/>
                      <w:lang w:eastAsia="zh-CN"/>
                    </w:rPr>
                  </w:pPr>
                  <w:r>
                    <w:rPr>
                      <w:rFonts w:hint="eastAsia" w:ascii="Times New Roman" w:hAnsi="Times New Roman"/>
                      <w:color w:val="000000"/>
                      <w:szCs w:val="21"/>
                      <w:lang w:val="en-US" w:eastAsia="zh-CN"/>
                    </w:rPr>
                    <w:t>0</w:t>
                  </w:r>
                </w:p>
              </w:tc>
              <w:tc>
                <w:tcPr>
                  <w:tcW w:w="1000" w:type="dxa"/>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-83</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pStyle w:val="100"/>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54</w:t>
                  </w:r>
                  <w:r>
                    <w:rPr>
                      <w:rFonts w:ascii="Times New Roman" w:hAnsi="Times New Roman"/>
                      <w:color w:val="000000"/>
                      <w:kern w:val="2"/>
                      <w:sz w:val="21"/>
                      <w:szCs w:val="21"/>
                      <w:lang w:eastAsia="zh-CN"/>
                    </w:rPr>
                    <w:t>人</w:t>
                  </w:r>
                </w:p>
              </w:tc>
              <w:tc>
                <w:tcPr>
                  <w:tcW w:w="1350"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《环境空气质量标准》（GB3095－2012）中二级标准要求</w:t>
                  </w:r>
                </w:p>
              </w:tc>
              <w:tc>
                <w:tcPr>
                  <w:tcW w:w="933" w:type="dxa"/>
                  <w:vAlign w:val="center"/>
                </w:tcPr>
                <w:p>
                  <w:pPr>
                    <w:pStyle w:val="100"/>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w:t>
                  </w:r>
                </w:p>
              </w:tc>
              <w:tc>
                <w:tcPr>
                  <w:tcW w:w="1064"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小滩</w:t>
                  </w:r>
                </w:p>
              </w:tc>
              <w:tc>
                <w:tcPr>
                  <w:tcW w:w="986"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0</w:t>
                  </w:r>
                </w:p>
              </w:tc>
              <w:tc>
                <w:tcPr>
                  <w:tcW w:w="1000"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-529</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32</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96</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S</w:t>
                  </w:r>
                </w:p>
              </w:tc>
              <w:tc>
                <w:tcPr>
                  <w:tcW w:w="1064"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慕英冲</w:t>
                  </w:r>
                </w:p>
              </w:tc>
              <w:tc>
                <w:tcPr>
                  <w:tcW w:w="986"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0</w:t>
                  </w:r>
                </w:p>
              </w:tc>
              <w:tc>
                <w:tcPr>
                  <w:tcW w:w="1000"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-639</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40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120</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S</w:t>
                  </w:r>
                </w:p>
              </w:tc>
              <w:tc>
                <w:tcPr>
                  <w:tcW w:w="1064"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瓦谷洲</w:t>
                  </w:r>
                </w:p>
              </w:tc>
              <w:tc>
                <w:tcPr>
                  <w:tcW w:w="986"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0</w:t>
                  </w:r>
                </w:p>
              </w:tc>
              <w:tc>
                <w:tcPr>
                  <w:tcW w:w="1000"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642</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28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84</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N</w:t>
                  </w:r>
                </w:p>
              </w:tc>
              <w:tc>
                <w:tcPr>
                  <w:tcW w:w="1064"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江北村</w:t>
                  </w:r>
                </w:p>
              </w:tc>
              <w:tc>
                <w:tcPr>
                  <w:tcW w:w="986"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0</w:t>
                  </w:r>
                </w:p>
              </w:tc>
              <w:tc>
                <w:tcPr>
                  <w:tcW w:w="1000"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485</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51</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153</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N</w:t>
                  </w:r>
                </w:p>
              </w:tc>
              <w:tc>
                <w:tcPr>
                  <w:tcW w:w="1064"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赵家</w:t>
                  </w:r>
                </w:p>
              </w:tc>
              <w:tc>
                <w:tcPr>
                  <w:tcW w:w="986"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0</w:t>
                  </w:r>
                </w:p>
              </w:tc>
              <w:tc>
                <w:tcPr>
                  <w:tcW w:w="1000" w:type="dxa"/>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-586</w:t>
                  </w:r>
                </w:p>
              </w:tc>
              <w:tc>
                <w:tcPr>
                  <w:tcW w:w="950" w:type="dxa"/>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22</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66</w:t>
                  </w:r>
                  <w:r>
                    <w:rPr>
                      <w:rFonts w:ascii="Times New Roman" w:hAnsi="Times New Roman"/>
                      <w:color w:val="000000"/>
                      <w:kern w:val="2"/>
                      <w:sz w:val="21"/>
                      <w:szCs w:val="21"/>
                      <w:lang w:eastAsia="zh-CN"/>
                    </w:rPr>
                    <w:t>人</w:t>
                  </w:r>
                </w:p>
              </w:tc>
              <w:tc>
                <w:tcPr>
                  <w:tcW w:w="1350" w:type="dxa"/>
                  <w:vMerge w:val="continue"/>
                  <w:vAlign w:val="center"/>
                </w:tcPr>
                <w:p>
                  <w:pPr>
                    <w:spacing w:line="240" w:lineRule="atLeast"/>
                    <w:jc w:val="center"/>
                    <w:rPr>
                      <w:rFonts w:ascii="Times New Roman" w:hAnsi="Times New Roman"/>
                      <w:color w:val="000000"/>
                      <w:szCs w:val="21"/>
                    </w:rPr>
                  </w:pPr>
                </w:p>
              </w:tc>
              <w:tc>
                <w:tcPr>
                  <w:tcW w:w="933"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S</w:t>
                  </w:r>
                </w:p>
              </w:tc>
              <w:tc>
                <w:tcPr>
                  <w:tcW w:w="1064"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586</w:t>
                  </w:r>
                </w:p>
              </w:tc>
            </w:tr>
          </w:tbl>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Cs w:val="21"/>
              </w:rPr>
            </w:pPr>
            <w:r>
              <w:rPr>
                <w:rFonts w:ascii="Times New Roman" w:hAnsi="Times New Roman"/>
                <w:b/>
                <w:color w:val="000000"/>
                <w:sz w:val="24"/>
              </w:rPr>
              <w:t>表3-</w:t>
            </w:r>
            <w:r>
              <w:rPr>
                <w:rFonts w:hint="eastAsia" w:ascii="Times New Roman" w:hAnsi="Times New Roman"/>
                <w:b/>
                <w:color w:val="000000"/>
                <w:sz w:val="24"/>
                <w:lang w:val="en-US" w:eastAsia="zh-CN"/>
              </w:rPr>
              <w:t>9</w:t>
            </w:r>
            <w:r>
              <w:rPr>
                <w:rFonts w:hint="eastAsia" w:ascii="Times New Roman" w:hAnsi="Times New Roman"/>
                <w:b/>
                <w:color w:val="000000"/>
                <w:sz w:val="24"/>
              </w:rPr>
              <w:t xml:space="preserve"> </w:t>
            </w:r>
            <w:r>
              <w:rPr>
                <w:rFonts w:ascii="Times New Roman" w:hAnsi="Times New Roman"/>
                <w:b/>
                <w:color w:val="000000"/>
                <w:sz w:val="24"/>
              </w:rPr>
              <w:t>地表水环境和声环境保护目标一览表</w:t>
            </w:r>
          </w:p>
          <w:tbl>
            <w:tblPr>
              <w:tblStyle w:val="3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475"/>
              <w:gridCol w:w="1113"/>
              <w:gridCol w:w="1570"/>
              <w:gridCol w:w="159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6" w:type="dxa"/>
                  <w:vAlign w:val="center"/>
                </w:tcPr>
                <w:p>
                  <w:pPr>
                    <w:spacing w:line="240" w:lineRule="atLeast"/>
                    <w:jc w:val="center"/>
                    <w:rPr>
                      <w:rFonts w:ascii="Times New Roman" w:hAnsi="Times New Roman"/>
                      <w:szCs w:val="21"/>
                    </w:rPr>
                  </w:pPr>
                  <w:r>
                    <w:rPr>
                      <w:rFonts w:ascii="Times New Roman" w:hAnsi="Times New Roman"/>
                      <w:szCs w:val="21"/>
                    </w:rPr>
                    <w:t>环境</w:t>
                  </w:r>
                </w:p>
                <w:p>
                  <w:pPr>
                    <w:spacing w:line="240" w:lineRule="atLeast"/>
                    <w:jc w:val="center"/>
                    <w:rPr>
                      <w:rFonts w:ascii="Times New Roman" w:hAnsi="Times New Roman"/>
                      <w:szCs w:val="21"/>
                    </w:rPr>
                  </w:pPr>
                  <w:r>
                    <w:rPr>
                      <w:rFonts w:ascii="Times New Roman" w:hAnsi="Times New Roman"/>
                      <w:szCs w:val="21"/>
                    </w:rPr>
                    <w:t>要素</w:t>
                  </w:r>
                </w:p>
              </w:tc>
              <w:tc>
                <w:tcPr>
                  <w:tcW w:w="1475" w:type="dxa"/>
                  <w:vAlign w:val="center"/>
                </w:tcPr>
                <w:p>
                  <w:pPr>
                    <w:spacing w:line="240" w:lineRule="atLeast"/>
                    <w:jc w:val="center"/>
                    <w:rPr>
                      <w:rFonts w:ascii="Times New Roman" w:hAnsi="Times New Roman"/>
                      <w:szCs w:val="21"/>
                    </w:rPr>
                  </w:pPr>
                  <w:r>
                    <w:rPr>
                      <w:rFonts w:ascii="Times New Roman" w:hAnsi="Times New Roman"/>
                      <w:szCs w:val="21"/>
                    </w:rPr>
                    <w:t>名称</w:t>
                  </w:r>
                </w:p>
              </w:tc>
              <w:tc>
                <w:tcPr>
                  <w:tcW w:w="1113" w:type="dxa"/>
                  <w:vAlign w:val="center"/>
                </w:tcPr>
                <w:p>
                  <w:pPr>
                    <w:spacing w:line="240" w:lineRule="atLeast"/>
                    <w:jc w:val="center"/>
                    <w:rPr>
                      <w:rFonts w:ascii="Times New Roman" w:hAnsi="Times New Roman"/>
                      <w:szCs w:val="21"/>
                    </w:rPr>
                  </w:pPr>
                  <w:r>
                    <w:rPr>
                      <w:rFonts w:ascii="Times New Roman" w:hAnsi="Times New Roman"/>
                      <w:szCs w:val="21"/>
                    </w:rPr>
                    <w:t>相对项</w:t>
                  </w:r>
                </w:p>
                <w:p>
                  <w:pPr>
                    <w:spacing w:line="240" w:lineRule="atLeast"/>
                    <w:jc w:val="center"/>
                    <w:rPr>
                      <w:rFonts w:ascii="Times New Roman" w:hAnsi="Times New Roman"/>
                      <w:szCs w:val="21"/>
                    </w:rPr>
                  </w:pPr>
                  <w:r>
                    <w:rPr>
                      <w:rFonts w:ascii="Times New Roman" w:hAnsi="Times New Roman"/>
                      <w:szCs w:val="21"/>
                    </w:rPr>
                    <w:t>目方位</w:t>
                  </w:r>
                </w:p>
              </w:tc>
              <w:tc>
                <w:tcPr>
                  <w:tcW w:w="1570" w:type="dxa"/>
                  <w:vAlign w:val="center"/>
                </w:tcPr>
                <w:p>
                  <w:pPr>
                    <w:spacing w:line="240" w:lineRule="atLeast"/>
                    <w:jc w:val="center"/>
                    <w:rPr>
                      <w:rFonts w:ascii="Times New Roman" w:hAnsi="Times New Roman"/>
                      <w:szCs w:val="21"/>
                    </w:rPr>
                  </w:pPr>
                  <w:r>
                    <w:rPr>
                      <w:rFonts w:ascii="Times New Roman" w:hAnsi="Times New Roman"/>
                      <w:szCs w:val="21"/>
                    </w:rPr>
                    <w:t>与项目厂界最近距离m</w:t>
                  </w:r>
                </w:p>
              </w:tc>
              <w:tc>
                <w:tcPr>
                  <w:tcW w:w="1590" w:type="dxa"/>
                  <w:vAlign w:val="center"/>
                </w:tcPr>
                <w:p>
                  <w:pPr>
                    <w:spacing w:line="240" w:lineRule="atLeast"/>
                    <w:jc w:val="center"/>
                    <w:rPr>
                      <w:rFonts w:ascii="Times New Roman" w:hAnsi="Times New Roman"/>
                      <w:szCs w:val="21"/>
                    </w:rPr>
                  </w:pPr>
                  <w:r>
                    <w:rPr>
                      <w:rFonts w:ascii="Times New Roman" w:hAnsi="Times New Roman"/>
                      <w:szCs w:val="21"/>
                    </w:rPr>
                    <w:t>规模</w:t>
                  </w:r>
                </w:p>
              </w:tc>
              <w:tc>
                <w:tcPr>
                  <w:tcW w:w="2260" w:type="dxa"/>
                  <w:vAlign w:val="center"/>
                </w:tcPr>
                <w:p>
                  <w:pPr>
                    <w:spacing w:line="240" w:lineRule="atLeast"/>
                    <w:jc w:val="center"/>
                    <w:rPr>
                      <w:rFonts w:ascii="Times New Roman" w:hAnsi="Times New Roman"/>
                      <w:szCs w:val="21"/>
                    </w:rPr>
                  </w:pPr>
                  <w:r>
                    <w:rPr>
                      <w:rFonts w:ascii="Times New Roman" w:hAnsi="Times New Roman"/>
                      <w:szCs w:val="21"/>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36" w:type="dxa"/>
                  <w:vMerge w:val="restart"/>
                  <w:vAlign w:val="center"/>
                </w:tcPr>
                <w:p>
                  <w:pPr>
                    <w:spacing w:line="240" w:lineRule="atLeast"/>
                    <w:jc w:val="center"/>
                    <w:rPr>
                      <w:rFonts w:ascii="Times New Roman" w:hAnsi="Times New Roman"/>
                      <w:szCs w:val="21"/>
                    </w:rPr>
                  </w:pPr>
                  <w:r>
                    <w:rPr>
                      <w:rFonts w:ascii="Times New Roman" w:hAnsi="Times New Roman"/>
                      <w:szCs w:val="21"/>
                    </w:rPr>
                    <w:t>水环境</w:t>
                  </w:r>
                </w:p>
              </w:tc>
              <w:tc>
                <w:tcPr>
                  <w:tcW w:w="1475" w:type="dxa"/>
                  <w:vAlign w:val="center"/>
                </w:tcPr>
                <w:p>
                  <w:pPr>
                    <w:pStyle w:val="100"/>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长江（评价河段）</w:t>
                  </w:r>
                </w:p>
              </w:tc>
              <w:tc>
                <w:tcPr>
                  <w:tcW w:w="1113" w:type="dxa"/>
                  <w:vAlign w:val="center"/>
                </w:tcPr>
                <w:p>
                  <w:pPr>
                    <w:pStyle w:val="100"/>
                    <w:autoSpaceDE w:val="0"/>
                    <w:autoSpaceDN w:val="0"/>
                    <w:spacing w:line="240" w:lineRule="atLeast"/>
                    <w:jc w:val="center"/>
                    <w:rPr>
                      <w:rFonts w:ascii="Times New Roman" w:hAnsi="Times New Roman"/>
                      <w:kern w:val="2"/>
                      <w:szCs w:val="21"/>
                    </w:rPr>
                  </w:pPr>
                  <w:r>
                    <w:rPr>
                      <w:rFonts w:hint="eastAsia" w:ascii="Times New Roman" w:hAnsi="Times New Roman"/>
                      <w:kern w:val="2"/>
                      <w:sz w:val="21"/>
                      <w:szCs w:val="21"/>
                      <w:lang w:eastAsia="zh-CN"/>
                    </w:rPr>
                    <w:t>N</w:t>
                  </w:r>
                </w:p>
              </w:tc>
              <w:tc>
                <w:tcPr>
                  <w:tcW w:w="1570" w:type="dxa"/>
                  <w:vAlign w:val="center"/>
                </w:tcPr>
                <w:p>
                  <w:pPr>
                    <w:pStyle w:val="100"/>
                    <w:autoSpaceDE w:val="0"/>
                    <w:autoSpaceDN w:val="0"/>
                    <w:spacing w:line="240" w:lineRule="atLeast"/>
                    <w:jc w:val="center"/>
                    <w:rPr>
                      <w:rFonts w:ascii="Times New Roman" w:hAnsi="Times New Roman"/>
                      <w:kern w:val="2"/>
                      <w:szCs w:val="21"/>
                    </w:rPr>
                  </w:pPr>
                  <w:r>
                    <w:rPr>
                      <w:rFonts w:hint="eastAsia" w:ascii="Times New Roman" w:hAnsi="Times New Roman"/>
                      <w:kern w:val="2"/>
                      <w:sz w:val="21"/>
                      <w:szCs w:val="21"/>
                      <w:lang w:eastAsia="zh-CN"/>
                    </w:rPr>
                    <w:t>28</w:t>
                  </w:r>
                  <w:r>
                    <w:rPr>
                      <w:rFonts w:ascii="Times New Roman" w:hAnsi="Times New Roman"/>
                      <w:kern w:val="2"/>
                      <w:sz w:val="21"/>
                      <w:szCs w:val="21"/>
                      <w:lang w:eastAsia="zh-CN"/>
                    </w:rPr>
                    <w:t>0</w:t>
                  </w:r>
                </w:p>
              </w:tc>
              <w:tc>
                <w:tcPr>
                  <w:tcW w:w="1590" w:type="dxa"/>
                  <w:vAlign w:val="center"/>
                </w:tcPr>
                <w:p>
                  <w:pPr>
                    <w:pStyle w:val="100"/>
                    <w:autoSpaceDE w:val="0"/>
                    <w:autoSpaceDN w:val="0"/>
                    <w:spacing w:line="240" w:lineRule="atLeast"/>
                    <w:jc w:val="center"/>
                    <w:rPr>
                      <w:rFonts w:ascii="Times New Roman" w:hAnsi="Times New Roman"/>
                      <w:kern w:val="2"/>
                    </w:rPr>
                  </w:pPr>
                  <w:r>
                    <w:rPr>
                      <w:rFonts w:ascii="Times New Roman" w:hAnsi="Times New Roman"/>
                      <w:kern w:val="2"/>
                      <w:sz w:val="21"/>
                      <w:szCs w:val="21"/>
                      <w:lang w:eastAsia="zh-CN"/>
                    </w:rPr>
                    <w:t>大型河流</w:t>
                  </w:r>
                </w:p>
              </w:tc>
              <w:tc>
                <w:tcPr>
                  <w:tcW w:w="2260" w:type="dxa"/>
                  <w:vMerge w:val="restart"/>
                  <w:vAlign w:val="center"/>
                </w:tcPr>
                <w:p>
                  <w:pPr>
                    <w:spacing w:line="240" w:lineRule="atLeast"/>
                    <w:jc w:val="center"/>
                    <w:rPr>
                      <w:rFonts w:ascii="Times New Roman" w:hAnsi="Times New Roman"/>
                      <w:szCs w:val="21"/>
                    </w:rPr>
                  </w:pPr>
                  <w:r>
                    <w:rPr>
                      <w:rFonts w:ascii="Times New Roman" w:hAnsi="Times New Roman"/>
                      <w:szCs w:val="21"/>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36" w:type="dxa"/>
                  <w:vMerge w:val="continue"/>
                  <w:vAlign w:val="center"/>
                </w:tcPr>
                <w:p>
                  <w:pPr>
                    <w:spacing w:line="240" w:lineRule="atLeast"/>
                    <w:jc w:val="center"/>
                    <w:rPr>
                      <w:rFonts w:ascii="Times New Roman" w:hAnsi="Times New Roman"/>
                      <w:szCs w:val="21"/>
                    </w:rPr>
                  </w:pPr>
                </w:p>
              </w:tc>
              <w:tc>
                <w:tcPr>
                  <w:tcW w:w="1475"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小江</w:t>
                  </w:r>
                </w:p>
              </w:tc>
              <w:tc>
                <w:tcPr>
                  <w:tcW w:w="1113"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N</w:t>
                  </w:r>
                </w:p>
              </w:tc>
              <w:tc>
                <w:tcPr>
                  <w:tcW w:w="1570"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547</w:t>
                  </w:r>
                </w:p>
              </w:tc>
              <w:tc>
                <w:tcPr>
                  <w:tcW w:w="1590"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小型河流</w:t>
                  </w:r>
                </w:p>
              </w:tc>
              <w:tc>
                <w:tcPr>
                  <w:tcW w:w="2260" w:type="dxa"/>
                  <w:vMerge w:val="continue"/>
                  <w:vAlign w:val="center"/>
                </w:tcPr>
                <w:p>
                  <w:pPr>
                    <w:spacing w:line="240"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36" w:type="dxa"/>
                  <w:vMerge w:val="continue"/>
                  <w:vAlign w:val="center"/>
                </w:tcPr>
                <w:p>
                  <w:pPr>
                    <w:spacing w:line="240" w:lineRule="atLeast"/>
                    <w:jc w:val="center"/>
                    <w:rPr>
                      <w:rFonts w:ascii="Times New Roman" w:hAnsi="Times New Roman"/>
                      <w:szCs w:val="21"/>
                    </w:rPr>
                  </w:pPr>
                </w:p>
              </w:tc>
              <w:tc>
                <w:tcPr>
                  <w:tcW w:w="1475"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横山河</w:t>
                  </w:r>
                </w:p>
              </w:tc>
              <w:tc>
                <w:tcPr>
                  <w:tcW w:w="1113"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E</w:t>
                  </w:r>
                </w:p>
              </w:tc>
              <w:tc>
                <w:tcPr>
                  <w:tcW w:w="1570" w:type="dxa"/>
                  <w:vAlign w:val="center"/>
                </w:tcPr>
                <w:p>
                  <w:pPr>
                    <w:pStyle w:val="100"/>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1541</w:t>
                  </w:r>
                </w:p>
              </w:tc>
              <w:tc>
                <w:tcPr>
                  <w:tcW w:w="1590" w:type="dxa"/>
                  <w:vAlign w:val="center"/>
                </w:tcPr>
                <w:p>
                  <w:pPr>
                    <w:pStyle w:val="100"/>
                    <w:autoSpaceDE w:val="0"/>
                    <w:autoSpaceDN w:val="0"/>
                    <w:spacing w:line="240" w:lineRule="atLeast"/>
                    <w:jc w:val="center"/>
                    <w:rPr>
                      <w:rFonts w:hint="eastAsia" w:ascii="Times New Roman" w:hAnsi="Times New Roman"/>
                      <w:kern w:val="2"/>
                      <w:sz w:val="21"/>
                      <w:szCs w:val="21"/>
                      <w:lang w:val="en-US" w:eastAsia="zh-CN"/>
                    </w:rPr>
                  </w:pPr>
                  <w:r>
                    <w:rPr>
                      <w:rFonts w:hint="eastAsia" w:ascii="Times New Roman" w:hAnsi="Times New Roman"/>
                      <w:kern w:val="2"/>
                      <w:sz w:val="21"/>
                      <w:szCs w:val="21"/>
                      <w:lang w:val="en-US" w:eastAsia="zh-CN"/>
                    </w:rPr>
                    <w:t>小型河流</w:t>
                  </w:r>
                </w:p>
              </w:tc>
              <w:tc>
                <w:tcPr>
                  <w:tcW w:w="2260" w:type="dxa"/>
                  <w:vMerge w:val="continue"/>
                  <w:vAlign w:val="center"/>
                </w:tcPr>
                <w:p>
                  <w:pPr>
                    <w:spacing w:line="240"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vMerge w:val="restart"/>
                  <w:vAlign w:val="center"/>
                </w:tcPr>
                <w:p>
                  <w:pPr>
                    <w:spacing w:line="240" w:lineRule="atLeast"/>
                    <w:jc w:val="center"/>
                    <w:rPr>
                      <w:rFonts w:ascii="Times New Roman" w:hAnsi="Times New Roman"/>
                      <w:szCs w:val="21"/>
                    </w:rPr>
                  </w:pPr>
                  <w:r>
                    <w:rPr>
                      <w:rFonts w:ascii="Times New Roman" w:hAnsi="Times New Roman"/>
                      <w:szCs w:val="21"/>
                    </w:rPr>
                    <w:t>声环境</w:t>
                  </w:r>
                </w:p>
              </w:tc>
              <w:tc>
                <w:tcPr>
                  <w:tcW w:w="1475" w:type="dxa"/>
                  <w:vAlign w:val="center"/>
                </w:tcPr>
                <w:p>
                  <w:pPr>
                    <w:pStyle w:val="100"/>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厂界四周</w:t>
                  </w:r>
                </w:p>
              </w:tc>
              <w:tc>
                <w:tcPr>
                  <w:tcW w:w="1113" w:type="dxa"/>
                  <w:vAlign w:val="center"/>
                </w:tcPr>
                <w:p>
                  <w:pPr>
                    <w:pStyle w:val="100"/>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t>
                  </w:r>
                </w:p>
              </w:tc>
              <w:tc>
                <w:tcPr>
                  <w:tcW w:w="1570" w:type="dxa"/>
                  <w:vAlign w:val="center"/>
                </w:tcPr>
                <w:p>
                  <w:pPr>
                    <w:pStyle w:val="100"/>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t>
                  </w:r>
                </w:p>
              </w:tc>
              <w:tc>
                <w:tcPr>
                  <w:tcW w:w="1590" w:type="dxa"/>
                  <w:vAlign w:val="center"/>
                </w:tcPr>
                <w:p>
                  <w:pPr>
                    <w:pStyle w:val="100"/>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t>
                  </w:r>
                </w:p>
              </w:tc>
              <w:tc>
                <w:tcPr>
                  <w:tcW w:w="2260" w:type="dxa"/>
                  <w:vAlign w:val="center"/>
                </w:tcPr>
                <w:p>
                  <w:pPr>
                    <w:spacing w:line="240" w:lineRule="atLeast"/>
                    <w:jc w:val="center"/>
                    <w:rPr>
                      <w:rFonts w:ascii="Times New Roman" w:hAnsi="Times New Roman"/>
                      <w:szCs w:val="21"/>
                    </w:rPr>
                  </w:pPr>
                  <w:r>
                    <w:rPr>
                      <w:rFonts w:ascii="Times New Roman" w:hAnsi="Times New Roman"/>
                      <w:szCs w:val="21"/>
                    </w:rPr>
                    <w:t>《声环境质量标准》（3096-2008）中</w:t>
                  </w:r>
                  <w:r>
                    <w:rPr>
                      <w:rFonts w:hint="eastAsia" w:ascii="Times New Roman" w:hAnsi="Times New Roman"/>
                      <w:szCs w:val="21"/>
                      <w:lang w:val="en-US" w:eastAsia="zh-CN"/>
                    </w:rPr>
                    <w:t>3</w:t>
                  </w:r>
                  <w:r>
                    <w:rPr>
                      <w:rFonts w:ascii="Times New Roman" w:hAnsi="Times New Roman"/>
                      <w:szCs w:val="21"/>
                    </w:rPr>
                    <w:t>类区标准要求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vMerge w:val="continue"/>
                  <w:vAlign w:val="center"/>
                </w:tcPr>
                <w:p>
                  <w:pPr>
                    <w:spacing w:line="240" w:lineRule="atLeast"/>
                    <w:jc w:val="center"/>
                    <w:rPr>
                      <w:rFonts w:ascii="Times New Roman" w:hAnsi="Times New Roman"/>
                      <w:szCs w:val="21"/>
                    </w:rPr>
                  </w:pPr>
                </w:p>
              </w:tc>
              <w:tc>
                <w:tcPr>
                  <w:tcW w:w="147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王圩</w:t>
                  </w:r>
                </w:p>
              </w:tc>
              <w:tc>
                <w:tcPr>
                  <w:tcW w:w="1113" w:type="dxa"/>
                  <w:vAlign w:val="center"/>
                </w:tcPr>
                <w:p>
                  <w:pPr>
                    <w:pStyle w:val="100"/>
                    <w:autoSpaceDE w:val="0"/>
                    <w:autoSpaceDN w:val="0"/>
                    <w:spacing w:line="240" w:lineRule="atLeast"/>
                    <w:jc w:val="center"/>
                    <w:rPr>
                      <w:rFonts w:ascii="Times New Roman" w:hAnsi="Times New Roman"/>
                      <w:kern w:val="2"/>
                      <w:sz w:val="21"/>
                      <w:szCs w:val="21"/>
                      <w:lang w:eastAsia="zh-CN"/>
                    </w:rPr>
                  </w:pPr>
                  <w:r>
                    <w:rPr>
                      <w:rFonts w:hint="eastAsia" w:ascii="Times New Roman" w:hAnsi="Times New Roman"/>
                      <w:color w:val="000000"/>
                      <w:kern w:val="2"/>
                      <w:sz w:val="21"/>
                      <w:szCs w:val="21"/>
                      <w:lang w:eastAsia="zh-CN"/>
                    </w:rPr>
                    <w:t>S</w:t>
                  </w:r>
                </w:p>
              </w:tc>
              <w:tc>
                <w:tcPr>
                  <w:tcW w:w="1570" w:type="dxa"/>
                  <w:vAlign w:val="center"/>
                </w:tcPr>
                <w:p>
                  <w:pPr>
                    <w:pStyle w:val="100"/>
                    <w:autoSpaceDE w:val="0"/>
                    <w:autoSpaceDN w:val="0"/>
                    <w:spacing w:line="240" w:lineRule="atLeast"/>
                    <w:jc w:val="center"/>
                    <w:rPr>
                      <w:rFonts w:ascii="Times New Roman" w:hAnsi="Times New Roman"/>
                      <w:kern w:val="2"/>
                      <w:sz w:val="21"/>
                      <w:szCs w:val="21"/>
                      <w:lang w:eastAsia="zh-CN"/>
                    </w:rPr>
                  </w:pPr>
                  <w:r>
                    <w:rPr>
                      <w:rFonts w:hint="eastAsia" w:ascii="Times New Roman" w:hAnsi="Times New Roman"/>
                      <w:kern w:val="2"/>
                      <w:sz w:val="21"/>
                      <w:szCs w:val="21"/>
                      <w:lang w:val="en-US" w:eastAsia="zh-CN"/>
                    </w:rPr>
                    <w:t>8</w:t>
                  </w:r>
                  <w:r>
                    <w:rPr>
                      <w:rFonts w:hint="eastAsia" w:ascii="Times New Roman" w:hAnsi="Times New Roman"/>
                      <w:kern w:val="2"/>
                      <w:sz w:val="21"/>
                      <w:szCs w:val="21"/>
                      <w:lang w:eastAsia="zh-CN"/>
                    </w:rPr>
                    <w:t>3</w:t>
                  </w:r>
                </w:p>
              </w:tc>
              <w:tc>
                <w:tcPr>
                  <w:tcW w:w="1590" w:type="dxa"/>
                  <w:vAlign w:val="center"/>
                </w:tcPr>
                <w:p>
                  <w:pPr>
                    <w:pStyle w:val="100"/>
                    <w:autoSpaceDE w:val="0"/>
                    <w:autoSpaceDN w:val="0"/>
                    <w:spacing w:line="240" w:lineRule="atLeast"/>
                    <w:jc w:val="center"/>
                    <w:rPr>
                      <w:rFonts w:ascii="Times New Roman" w:hAnsi="Times New Roman"/>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54</w:t>
                  </w:r>
                  <w:r>
                    <w:rPr>
                      <w:rFonts w:ascii="Times New Roman" w:hAnsi="Times New Roman"/>
                      <w:color w:val="000000"/>
                      <w:kern w:val="2"/>
                      <w:sz w:val="21"/>
                      <w:szCs w:val="21"/>
                      <w:lang w:eastAsia="zh-CN"/>
                    </w:rPr>
                    <w:t>人</w:t>
                  </w:r>
                </w:p>
              </w:tc>
              <w:tc>
                <w:tcPr>
                  <w:tcW w:w="2260" w:type="dxa"/>
                  <w:vAlign w:val="center"/>
                </w:tcPr>
                <w:p>
                  <w:pPr>
                    <w:spacing w:line="240" w:lineRule="atLeast"/>
                    <w:jc w:val="center"/>
                    <w:rPr>
                      <w:rFonts w:ascii="Times New Roman" w:hAnsi="Times New Roman"/>
                      <w:szCs w:val="21"/>
                    </w:rPr>
                  </w:pPr>
                  <w:r>
                    <w:rPr>
                      <w:rFonts w:ascii="Times New Roman" w:hAnsi="Times New Roman"/>
                      <w:szCs w:val="21"/>
                    </w:rPr>
                    <w:t>《声环境质量标准》（3096-2008）中2类区标准要求</w:t>
                  </w:r>
                </w:p>
              </w:tc>
            </w:tr>
          </w:tbl>
          <w:p>
            <w:pPr>
              <w:rPr>
                <w:rFonts w:ascii="Times New Roman" w:hAnsi="Times New Roman"/>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p>
          <w:p>
            <w:pPr>
              <w:spacing w:line="360" w:lineRule="auto"/>
              <w:jc w:val="center"/>
              <w:rPr>
                <w:rFonts w:ascii="Times New Roman" w:hAnsi="Times New Roman"/>
                <w:b/>
                <w:color w:val="000000"/>
                <w:sz w:val="24"/>
                <w:szCs w:val="22"/>
              </w:rPr>
            </w:pPr>
            <w:r>
              <w:rPr>
                <w:rFonts w:ascii="Times New Roman" w:hAnsi="Times New Roman"/>
                <w:b/>
                <w:color w:val="000000"/>
                <w:sz w:val="24"/>
                <w:szCs w:val="22"/>
              </w:rPr>
              <w:t>表</w:t>
            </w:r>
            <w:r>
              <w:rPr>
                <w:rFonts w:hint="eastAsia" w:ascii="Times New Roman" w:hAnsi="Times New Roman"/>
                <w:b/>
                <w:color w:val="000000"/>
                <w:sz w:val="24"/>
                <w:szCs w:val="22"/>
                <w:lang w:val="en-US" w:eastAsia="zh-CN"/>
              </w:rPr>
              <w:t>3-10</w:t>
            </w:r>
            <w:r>
              <w:rPr>
                <w:rFonts w:ascii="Times New Roman" w:hAnsi="Times New Roman"/>
                <w:b/>
                <w:color w:val="000000"/>
                <w:sz w:val="24"/>
                <w:szCs w:val="22"/>
              </w:rPr>
              <w:t xml:space="preserve">   站场、管线主要生态环境保护目标</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625"/>
              <w:gridCol w:w="2956"/>
              <w:gridCol w:w="1335"/>
              <w:gridCol w:w="2836"/>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78" w:hRule="exact"/>
                <w:tblHeader/>
              </w:trPr>
              <w:tc>
                <w:tcPr>
                  <w:tcW w:w="344" w:type="pc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保护目标</w:t>
                  </w:r>
                </w:p>
              </w:tc>
              <w:tc>
                <w:tcPr>
                  <w:tcW w:w="1631" w:type="pc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位置及规模</w:t>
                  </w:r>
                </w:p>
              </w:tc>
              <w:tc>
                <w:tcPr>
                  <w:tcW w:w="736" w:type="pc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性质</w:t>
                  </w:r>
                </w:p>
              </w:tc>
              <w:tc>
                <w:tcPr>
                  <w:tcW w:w="1565" w:type="pc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保护级别或要求</w:t>
                  </w:r>
                </w:p>
              </w:tc>
              <w:tc>
                <w:tcPr>
                  <w:tcW w:w="721" w:type="pc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可能的工程影响因素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6" w:hRule="exact"/>
              </w:trPr>
              <w:tc>
                <w:tcPr>
                  <w:tcW w:w="344"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沿线耕地</w:t>
                  </w:r>
                </w:p>
              </w:tc>
              <w:tc>
                <w:tcPr>
                  <w:tcW w:w="16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工程永久占用旱地</w:t>
                  </w:r>
                  <w:r>
                    <w:rPr>
                      <w:rFonts w:hint="eastAsia" w:ascii="Times New Roman" w:hAnsi="Times New Roman"/>
                      <w:szCs w:val="21"/>
                      <w:lang w:val="en-US" w:eastAsia="zh-CN"/>
                    </w:rPr>
                    <w:t>144亩</w:t>
                  </w:r>
                  <w:r>
                    <w:rPr>
                      <w:rFonts w:ascii="Times New Roman" w:hAnsi="Times New Roman"/>
                      <w:szCs w:val="21"/>
                      <w:lang w:val="en-US"/>
                    </w:rPr>
                    <w:t>；不涉及基本农田，临时占地涉及部分基本农田。</w:t>
                  </w:r>
                </w:p>
              </w:tc>
              <w:tc>
                <w:tcPr>
                  <w:tcW w:w="73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农作物主要为水稻、蔬菜</w:t>
                  </w:r>
                </w:p>
              </w:tc>
              <w:tc>
                <w:tcPr>
                  <w:tcW w:w="156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减少临时用地对耕地的占用，及时进行项目沿线的农业生产恢复；永久占地需进行占地补偿；严格控制施工占地范围，禁止越线施工。</w:t>
                  </w:r>
                </w:p>
              </w:tc>
              <w:tc>
                <w:tcPr>
                  <w:tcW w:w="72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管线开挖、人为折损、砍伐；永久占地致旱地减少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243" w:hRule="exact"/>
              </w:trPr>
              <w:tc>
                <w:tcPr>
                  <w:tcW w:w="344" w:type="pct"/>
                  <w:tcBorders>
                    <w:top w:val="single" w:color="auto" w:sz="4" w:space="0"/>
                    <w:left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沿线林地植被</w:t>
                  </w:r>
                </w:p>
              </w:tc>
              <w:tc>
                <w:tcPr>
                  <w:tcW w:w="16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hint="eastAsia" w:ascii="Times New Roman" w:hAnsi="Times New Roman"/>
                      <w:szCs w:val="21"/>
                      <w:lang w:val="en-US" w:eastAsia="zh-CN"/>
                    </w:rPr>
                    <w:t>占用林地10亩</w:t>
                  </w:r>
                </w:p>
              </w:tc>
              <w:tc>
                <w:tcPr>
                  <w:tcW w:w="73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经济林</w:t>
                  </w:r>
                </w:p>
              </w:tc>
              <w:tc>
                <w:tcPr>
                  <w:tcW w:w="156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对胸径超过10cm的乔木移载，并严格采取分层开挖、分层堆放、分层回填的作业方式；选用本地绿化树种复绿。</w:t>
                  </w:r>
                </w:p>
              </w:tc>
              <w:tc>
                <w:tcPr>
                  <w:tcW w:w="72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113" w:hRule="exact"/>
              </w:trPr>
              <w:tc>
                <w:tcPr>
                  <w:tcW w:w="344"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生态景观</w:t>
                  </w:r>
                </w:p>
              </w:tc>
              <w:tc>
                <w:tcPr>
                  <w:tcW w:w="16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站场周边2km范围内农田、林地、</w:t>
                  </w:r>
                  <w:r>
                    <w:rPr>
                      <w:rFonts w:hint="eastAsia" w:ascii="Times New Roman" w:hAnsi="Times New Roman"/>
                      <w:szCs w:val="21"/>
                      <w:lang w:val="en-US" w:eastAsia="zh-CN"/>
                    </w:rPr>
                    <w:t>沟渠</w:t>
                  </w:r>
                  <w:r>
                    <w:rPr>
                      <w:rFonts w:ascii="Times New Roman" w:hAnsi="Times New Roman"/>
                      <w:szCs w:val="21"/>
                      <w:lang w:val="en-US"/>
                    </w:rPr>
                    <w:t>、水塘等景观</w:t>
                  </w:r>
                </w:p>
              </w:tc>
              <w:tc>
                <w:tcPr>
                  <w:tcW w:w="73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村落、农林、水塘景观</w:t>
                  </w:r>
                </w:p>
              </w:tc>
              <w:tc>
                <w:tcPr>
                  <w:tcW w:w="156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减少对自然景观的破坏，做到与区域景观协调</w:t>
                  </w:r>
                </w:p>
              </w:tc>
              <w:tc>
                <w:tcPr>
                  <w:tcW w:w="72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施工破坏、设计不合理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59" w:hRule="exact"/>
              </w:trPr>
              <w:tc>
                <w:tcPr>
                  <w:tcW w:w="344"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动物</w:t>
                  </w:r>
                </w:p>
              </w:tc>
              <w:tc>
                <w:tcPr>
                  <w:tcW w:w="16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工程管线沿线区域</w:t>
                  </w:r>
                </w:p>
              </w:tc>
              <w:tc>
                <w:tcPr>
                  <w:tcW w:w="73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常见野生动物，如青蛙、蛇、田鼠等</w:t>
                  </w:r>
                </w:p>
              </w:tc>
              <w:tc>
                <w:tcPr>
                  <w:tcW w:w="156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严禁捕捉青蛙、蛇等野生动物，减少施工对野生生物的惊扰。</w:t>
                  </w:r>
                </w:p>
              </w:tc>
              <w:tc>
                <w:tcPr>
                  <w:tcW w:w="72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施工影响，施工人员捕捉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254" w:hRule="exact"/>
              </w:trPr>
              <w:tc>
                <w:tcPr>
                  <w:tcW w:w="344"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水生生物</w:t>
                  </w:r>
                </w:p>
              </w:tc>
              <w:tc>
                <w:tcPr>
                  <w:tcW w:w="16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管线穿越水域</w:t>
                  </w:r>
                </w:p>
              </w:tc>
              <w:tc>
                <w:tcPr>
                  <w:tcW w:w="73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草、鲢、鲤、鲫等定居性鱼类</w:t>
                  </w:r>
                </w:p>
              </w:tc>
              <w:tc>
                <w:tcPr>
                  <w:tcW w:w="156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严禁施工人员炸鱼等，生产、生活污水达标排放</w:t>
                  </w:r>
                </w:p>
              </w:tc>
              <w:tc>
                <w:tcPr>
                  <w:tcW w:w="72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施工人员捕捞，施工生产、生活污水排放</w:t>
                  </w:r>
                </w:p>
              </w:tc>
            </w:tr>
          </w:tbl>
          <w:p>
            <w:pPr>
              <w:pStyle w:val="20"/>
              <w:spacing w:after="0"/>
              <w:ind w:left="0" w:leftChars="0" w:firstLine="0" w:firstLineChars="0"/>
              <w:rPr>
                <w:rFonts w:ascii="Times New Roman" w:hAnsi="Times New Roman"/>
              </w:rPr>
            </w:pPr>
          </w:p>
          <w:p>
            <w:pPr>
              <w:spacing w:line="360" w:lineRule="auto"/>
              <w:ind w:firstLine="480" w:firstLineChars="200"/>
              <w:rPr>
                <w:rFonts w:ascii="Times New Roman" w:hAnsi="Times New Roman"/>
                <w:color w:val="000000"/>
                <w:sz w:val="24"/>
                <w:szCs w:val="22"/>
              </w:rPr>
            </w:pPr>
          </w:p>
          <w:p>
            <w:pPr>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rPr>
              <w:t>环境风险评价范围为工程管线沿线两侧各200m的带状区域和以</w:t>
            </w:r>
            <w:r>
              <w:rPr>
                <w:rFonts w:hint="eastAsia" w:ascii="Times New Roman" w:hAnsi="Times New Roman"/>
                <w:color w:val="000000"/>
                <w:sz w:val="24"/>
                <w:szCs w:val="22"/>
                <w:lang w:val="en-US" w:eastAsia="zh-CN"/>
              </w:rPr>
              <w:t>高安首站和横山</w:t>
            </w:r>
            <w:r>
              <w:rPr>
                <w:rFonts w:hint="eastAsia" w:ascii="Times New Roman" w:hAnsi="Times New Roman"/>
                <w:color w:val="000000"/>
                <w:sz w:val="24"/>
                <w:szCs w:val="22"/>
              </w:rPr>
              <w:t>分输站为中心周边5km的圆形区域。风险敏感目标主要是以管线200m范围内和以站场为中心5km圆形区域内的人口集中区、社会关注区，管道两侧的环境敏感目标包括管线两侧大气环境保护目标和水环境保护目标，见</w:t>
            </w:r>
            <w:r>
              <w:rPr>
                <w:rFonts w:hint="eastAsia" w:ascii="Times New Roman" w:hAnsi="Times New Roman"/>
                <w:color w:val="000000"/>
                <w:sz w:val="24"/>
                <w:szCs w:val="22"/>
                <w:lang w:val="en-US" w:eastAsia="zh-CN"/>
              </w:rPr>
              <w:t>下</w:t>
            </w:r>
            <w:r>
              <w:rPr>
                <w:rFonts w:hint="eastAsia" w:ascii="Times New Roman" w:hAnsi="Times New Roman"/>
                <w:color w:val="000000"/>
                <w:sz w:val="24"/>
                <w:szCs w:val="22"/>
              </w:rPr>
              <w:t>表。</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cs="Times New Roman"/>
                <w:b/>
                <w:color w:val="000000"/>
                <w:kern w:val="2"/>
                <w:sz w:val="24"/>
                <w:szCs w:val="22"/>
                <w:lang w:val="en-US" w:eastAsia="zh-CN" w:bidi="ar-SA"/>
              </w:rPr>
            </w:pPr>
            <w:r>
              <w:rPr>
                <w:rFonts w:ascii="Times New Roman" w:hAnsi="Times New Roman" w:eastAsia="宋体" w:cs="Times New Roman"/>
                <w:b/>
                <w:color w:val="000000"/>
                <w:kern w:val="2"/>
                <w:sz w:val="24"/>
                <w:szCs w:val="22"/>
                <w:lang w:val="en-US" w:eastAsia="zh-CN" w:bidi="ar-SA"/>
              </w:rPr>
              <w:t>表</w:t>
            </w:r>
            <w:r>
              <w:rPr>
                <w:rFonts w:hint="eastAsia" w:ascii="Times New Roman" w:hAnsi="Times New Roman" w:eastAsia="宋体" w:cs="Times New Roman"/>
                <w:b/>
                <w:color w:val="000000"/>
                <w:kern w:val="2"/>
                <w:sz w:val="24"/>
                <w:szCs w:val="22"/>
                <w:lang w:val="en-US" w:eastAsia="zh-CN" w:bidi="ar-SA"/>
              </w:rPr>
              <w:t>3-11</w:t>
            </w:r>
            <w:r>
              <w:rPr>
                <w:rFonts w:ascii="Times New Roman" w:hAnsi="Times New Roman" w:eastAsia="宋体" w:cs="Times New Roman"/>
                <w:b/>
                <w:color w:val="000000"/>
                <w:kern w:val="2"/>
                <w:sz w:val="24"/>
                <w:szCs w:val="22"/>
                <w:lang w:val="en-US" w:eastAsia="zh-CN" w:bidi="ar-SA"/>
              </w:rPr>
              <w:t xml:space="preserve"> 管线200m评价范围内主要声环境、环境空气、环境风险保护目标</w:t>
            </w:r>
          </w:p>
          <w:tbl>
            <w:tblPr>
              <w:tblStyle w:val="3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300"/>
              <w:gridCol w:w="1173"/>
              <w:gridCol w:w="641"/>
              <w:gridCol w:w="641"/>
              <w:gridCol w:w="962"/>
              <w:gridCol w:w="1282"/>
              <w:gridCol w:w="1282"/>
              <w:gridCol w:w="1121"/>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69" w:hRule="atLeast"/>
                <w:tblHeader/>
                <w:jc w:val="center"/>
              </w:trPr>
              <w:tc>
                <w:tcPr>
                  <w:tcW w:w="300" w:type="dxa"/>
                  <w:vMerge w:val="restar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序号</w:t>
                  </w:r>
                </w:p>
              </w:tc>
              <w:tc>
                <w:tcPr>
                  <w:tcW w:w="1173" w:type="dxa"/>
                  <w:vMerge w:val="restar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保护目标</w:t>
                  </w:r>
                </w:p>
              </w:tc>
              <w:tc>
                <w:tcPr>
                  <w:tcW w:w="1282" w:type="dxa"/>
                  <w:gridSpan w:val="2"/>
                  <w:vAlign w:val="center"/>
                </w:tcPr>
                <w:p>
                  <w:pPr>
                    <w:spacing w:line="240" w:lineRule="atLeast"/>
                    <w:jc w:val="center"/>
                    <w:rPr>
                      <w:rFonts w:ascii="Times New Roman" w:hAnsi="Times New Roman"/>
                      <w:szCs w:val="21"/>
                      <w:lang w:val="en-US"/>
                    </w:rPr>
                  </w:pPr>
                  <w:r>
                    <w:rPr>
                      <w:rFonts w:ascii="Times New Roman" w:hAnsi="Times New Roman"/>
                      <w:szCs w:val="21"/>
                      <w:lang w:val="en-US"/>
                    </w:rPr>
                    <w:t>经纬度坐标</w:t>
                  </w:r>
                </w:p>
              </w:tc>
              <w:tc>
                <w:tcPr>
                  <w:tcW w:w="962" w:type="dxa"/>
                  <w:vMerge w:val="restart"/>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w:t>
                  </w:r>
                </w:p>
                <w:p>
                  <w:pPr>
                    <w:spacing w:line="240" w:lineRule="atLeast"/>
                    <w:jc w:val="center"/>
                    <w:rPr>
                      <w:rFonts w:ascii="Times New Roman" w:hAnsi="Times New Roman"/>
                      <w:szCs w:val="21"/>
                      <w:lang w:val="en-US"/>
                    </w:rPr>
                  </w:pPr>
                  <w:r>
                    <w:rPr>
                      <w:rFonts w:ascii="Times New Roman" w:hAnsi="Times New Roman"/>
                      <w:szCs w:val="21"/>
                      <w:lang w:val="en-US"/>
                    </w:rPr>
                    <w:t>对象</w:t>
                  </w:r>
                </w:p>
              </w:tc>
              <w:tc>
                <w:tcPr>
                  <w:tcW w:w="1282" w:type="dxa"/>
                  <w:vMerge w:val="restart"/>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保护内容</w:t>
                  </w:r>
                </w:p>
              </w:tc>
              <w:tc>
                <w:tcPr>
                  <w:tcW w:w="1282" w:type="dxa"/>
                  <w:vMerge w:val="restart"/>
                  <w:vAlign w:val="center"/>
                </w:tcPr>
                <w:p>
                  <w:pPr>
                    <w:spacing w:line="240" w:lineRule="atLeast"/>
                    <w:jc w:val="center"/>
                    <w:rPr>
                      <w:rFonts w:ascii="Times New Roman" w:hAnsi="Times New Roman"/>
                      <w:szCs w:val="21"/>
                      <w:lang w:val="en-US"/>
                    </w:rPr>
                  </w:pPr>
                  <w:r>
                    <w:rPr>
                      <w:rFonts w:ascii="Times New Roman" w:hAnsi="Times New Roman"/>
                      <w:szCs w:val="21"/>
                      <w:lang w:val="en-US"/>
                    </w:rPr>
                    <w:t>环境功能区（大气/声）</w:t>
                  </w:r>
                </w:p>
              </w:tc>
              <w:tc>
                <w:tcPr>
                  <w:tcW w:w="1121" w:type="dxa"/>
                  <w:vMerge w:val="restart"/>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相对管线位置</w:t>
                  </w:r>
                </w:p>
              </w:tc>
              <w:tc>
                <w:tcPr>
                  <w:tcW w:w="1442" w:type="dxa"/>
                  <w:vMerge w:val="restart"/>
                  <w:vAlign w:val="center"/>
                </w:tcPr>
                <w:p>
                  <w:pPr>
                    <w:spacing w:line="240" w:lineRule="atLeast"/>
                    <w:jc w:val="center"/>
                    <w:rPr>
                      <w:rFonts w:ascii="Times New Roman" w:hAnsi="Times New Roman"/>
                      <w:szCs w:val="21"/>
                      <w:lang w:val="en-US"/>
                    </w:rPr>
                  </w:pPr>
                  <w:r>
                    <w:rPr>
                      <w:rFonts w:ascii="Times New Roman" w:hAnsi="Times New Roman"/>
                      <w:szCs w:val="21"/>
                      <w:lang w:val="en-US"/>
                    </w:rPr>
                    <w:t>相对管线距离（m）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69" w:hRule="atLeast"/>
                <w:tblHeader/>
                <w:jc w:val="center"/>
              </w:trPr>
              <w:tc>
                <w:tcPr>
                  <w:tcW w:w="300" w:type="dxa"/>
                  <w:vMerge w:val="continue"/>
                  <w:shd w:val="clear" w:color="auto" w:fill="auto"/>
                  <w:vAlign w:val="center"/>
                </w:tcPr>
                <w:p>
                  <w:pPr>
                    <w:spacing w:line="240" w:lineRule="atLeast"/>
                    <w:jc w:val="center"/>
                    <w:rPr>
                      <w:rFonts w:ascii="Times New Roman" w:hAnsi="Times New Roman"/>
                      <w:szCs w:val="21"/>
                      <w:lang w:val="en-US"/>
                    </w:rPr>
                  </w:pPr>
                </w:p>
              </w:tc>
              <w:tc>
                <w:tcPr>
                  <w:tcW w:w="1173" w:type="dxa"/>
                  <w:vMerge w:val="continue"/>
                  <w:shd w:val="clear" w:color="auto" w:fill="auto"/>
                  <w:vAlign w:val="center"/>
                </w:tcPr>
                <w:p>
                  <w:pPr>
                    <w:spacing w:line="240" w:lineRule="atLeast"/>
                    <w:jc w:val="center"/>
                    <w:rPr>
                      <w:rFonts w:ascii="Times New Roman" w:hAnsi="Times New Roman"/>
                      <w:szCs w:val="21"/>
                      <w:lang w:val="en-US"/>
                    </w:rPr>
                  </w:pPr>
                </w:p>
              </w:tc>
              <w:tc>
                <w:tcPr>
                  <w:tcW w:w="641" w:type="dxa"/>
                  <w:vAlign w:val="center"/>
                </w:tcPr>
                <w:p>
                  <w:pPr>
                    <w:spacing w:line="240" w:lineRule="atLeast"/>
                    <w:jc w:val="center"/>
                    <w:rPr>
                      <w:rFonts w:ascii="Times New Roman" w:hAnsi="Times New Roman"/>
                      <w:szCs w:val="21"/>
                      <w:lang w:val="en-US"/>
                    </w:rPr>
                  </w:pPr>
                  <w:r>
                    <w:rPr>
                      <w:rFonts w:ascii="Times New Roman" w:hAnsi="Times New Roman"/>
                      <w:szCs w:val="21"/>
                      <w:lang w:val="en-US"/>
                    </w:rPr>
                    <w:t>东经</w:t>
                  </w:r>
                </w:p>
              </w:tc>
              <w:tc>
                <w:tcPr>
                  <w:tcW w:w="641" w:type="dxa"/>
                  <w:vAlign w:val="center"/>
                </w:tcPr>
                <w:p>
                  <w:pPr>
                    <w:spacing w:line="240" w:lineRule="atLeast"/>
                    <w:jc w:val="center"/>
                    <w:rPr>
                      <w:rFonts w:ascii="Times New Roman" w:hAnsi="Times New Roman"/>
                      <w:szCs w:val="21"/>
                      <w:lang w:val="en-US"/>
                    </w:rPr>
                  </w:pPr>
                  <w:r>
                    <w:rPr>
                      <w:rFonts w:ascii="Times New Roman" w:hAnsi="Times New Roman"/>
                      <w:szCs w:val="21"/>
                      <w:lang w:val="en-US"/>
                    </w:rPr>
                    <w:t>北纬</w:t>
                  </w:r>
                </w:p>
              </w:tc>
              <w:tc>
                <w:tcPr>
                  <w:tcW w:w="962" w:type="dxa"/>
                  <w:vMerge w:val="continue"/>
                  <w:vAlign w:val="center"/>
                </w:tcPr>
                <w:p>
                  <w:pPr>
                    <w:spacing w:line="240" w:lineRule="atLeast"/>
                    <w:jc w:val="center"/>
                    <w:rPr>
                      <w:rFonts w:ascii="Times New Roman" w:hAnsi="Times New Roman"/>
                      <w:szCs w:val="21"/>
                      <w:lang w:val="en-US"/>
                    </w:rPr>
                  </w:pPr>
                </w:p>
              </w:tc>
              <w:tc>
                <w:tcPr>
                  <w:tcW w:w="1282" w:type="dxa"/>
                  <w:vMerge w:val="continue"/>
                  <w:vAlign w:val="center"/>
                </w:tcPr>
                <w:p>
                  <w:pPr>
                    <w:spacing w:line="240" w:lineRule="atLeast"/>
                    <w:jc w:val="center"/>
                    <w:rPr>
                      <w:rFonts w:ascii="Times New Roman" w:hAnsi="Times New Roman"/>
                      <w:szCs w:val="21"/>
                      <w:lang w:val="en-US"/>
                    </w:rPr>
                  </w:pPr>
                </w:p>
              </w:tc>
              <w:tc>
                <w:tcPr>
                  <w:tcW w:w="1282" w:type="dxa"/>
                  <w:vMerge w:val="continue"/>
                  <w:vAlign w:val="center"/>
                </w:tcPr>
                <w:p>
                  <w:pPr>
                    <w:spacing w:line="240" w:lineRule="atLeast"/>
                    <w:jc w:val="center"/>
                    <w:rPr>
                      <w:rFonts w:ascii="Times New Roman" w:hAnsi="Times New Roman"/>
                      <w:szCs w:val="21"/>
                      <w:lang w:val="en-US"/>
                    </w:rPr>
                  </w:pPr>
                </w:p>
              </w:tc>
              <w:tc>
                <w:tcPr>
                  <w:tcW w:w="1121" w:type="dxa"/>
                  <w:vMerge w:val="continue"/>
                  <w:shd w:val="clear" w:color="auto" w:fill="auto"/>
                  <w:vAlign w:val="center"/>
                </w:tcPr>
                <w:p>
                  <w:pPr>
                    <w:spacing w:line="240" w:lineRule="atLeast"/>
                    <w:jc w:val="center"/>
                    <w:rPr>
                      <w:rFonts w:ascii="Times New Roman" w:hAnsi="Times New Roman"/>
                      <w:szCs w:val="21"/>
                      <w:lang w:val="en-US"/>
                    </w:rPr>
                  </w:pPr>
                </w:p>
              </w:tc>
              <w:tc>
                <w:tcPr>
                  <w:tcW w:w="1442" w:type="dxa"/>
                  <w:vMerge w:val="continue"/>
                  <w:vAlign w:val="center"/>
                </w:tcPr>
                <w:p>
                  <w:pPr>
                    <w:spacing w:line="240" w:lineRule="atLeast"/>
                    <w:jc w:val="center"/>
                    <w:rPr>
                      <w:rFonts w:ascii="Times New Roman" w:hAnsi="Times New Roman"/>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69" w:hRule="atLeast"/>
                <w:jc w:val="center"/>
              </w:trPr>
              <w:tc>
                <w:tcPr>
                  <w:tcW w:w="300" w:type="dxa"/>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1</w:t>
                  </w:r>
                </w:p>
              </w:tc>
              <w:tc>
                <w:tcPr>
                  <w:tcW w:w="1173" w:type="dxa"/>
                  <w:shd w:val="clear" w:color="auto" w:fill="auto"/>
                  <w:vAlign w:val="center"/>
                </w:tcPr>
                <w:p>
                  <w:pPr>
                    <w:spacing w:line="240" w:lineRule="atLeast"/>
                    <w:jc w:val="center"/>
                    <w:rPr>
                      <w:rFonts w:ascii="Times New Roman" w:hAnsi="Times New Roman"/>
                      <w:szCs w:val="21"/>
                      <w:lang w:val="en-US"/>
                    </w:rPr>
                  </w:pPr>
                  <w:r>
                    <w:rPr>
                      <w:rFonts w:hint="eastAsia" w:ascii="Times New Roman" w:hAnsi="Times New Roman"/>
                      <w:szCs w:val="21"/>
                      <w:lang w:val="en-US"/>
                    </w:rPr>
                    <w:t>王圩</w:t>
                  </w:r>
                </w:p>
              </w:tc>
              <w:tc>
                <w:tcPr>
                  <w:tcW w:w="641" w:type="dxa"/>
                  <w:vAlign w:val="center"/>
                </w:tcPr>
                <w:p>
                  <w:pPr>
                    <w:spacing w:line="240" w:lineRule="atLeast"/>
                    <w:jc w:val="center"/>
                    <w:rPr>
                      <w:rFonts w:ascii="Times New Roman" w:hAnsi="Times New Roman"/>
                      <w:szCs w:val="21"/>
                      <w:lang w:val="en-US"/>
                    </w:rPr>
                  </w:pPr>
                  <w:r>
                    <w:rPr>
                      <w:rFonts w:hint="eastAsia" w:ascii="Times New Roman" w:hAnsi="Times New Roman"/>
                      <w:szCs w:val="21"/>
                      <w:lang w:val="en-US"/>
                    </w:rPr>
                    <w:t>118.137101183</w:t>
                  </w:r>
                </w:p>
              </w:tc>
              <w:tc>
                <w:tcPr>
                  <w:tcW w:w="641" w:type="dxa"/>
                  <w:vAlign w:val="center"/>
                </w:tcPr>
                <w:p>
                  <w:pPr>
                    <w:spacing w:line="240" w:lineRule="atLeast"/>
                    <w:jc w:val="center"/>
                    <w:rPr>
                      <w:rFonts w:ascii="Times New Roman" w:hAnsi="Times New Roman"/>
                      <w:szCs w:val="21"/>
                      <w:lang w:val="en-US"/>
                    </w:rPr>
                  </w:pPr>
                  <w:r>
                    <w:rPr>
                      <w:rFonts w:hint="eastAsia" w:ascii="Times New Roman" w:hAnsi="Times New Roman"/>
                      <w:szCs w:val="21"/>
                      <w:lang w:val="en-US"/>
                    </w:rPr>
                    <w:t>31.212841493</w:t>
                  </w:r>
                </w:p>
              </w:tc>
              <w:tc>
                <w:tcPr>
                  <w:tcW w:w="962" w:type="dxa"/>
                  <w:vAlign w:val="center"/>
                </w:tcPr>
                <w:p>
                  <w:pPr>
                    <w:spacing w:line="240" w:lineRule="atLeast"/>
                    <w:jc w:val="center"/>
                    <w:rPr>
                      <w:rFonts w:ascii="Times New Roman" w:hAnsi="Times New Roman"/>
                      <w:szCs w:val="21"/>
                      <w:lang w:val="en-US"/>
                    </w:rPr>
                  </w:pPr>
                  <w:r>
                    <w:rPr>
                      <w:rFonts w:ascii="Times New Roman" w:hAnsi="Times New Roman"/>
                      <w:szCs w:val="21"/>
                      <w:lang w:val="en-US"/>
                    </w:rPr>
                    <w:t>居民点</w:t>
                  </w:r>
                </w:p>
              </w:tc>
              <w:tc>
                <w:tcPr>
                  <w:tcW w:w="1282" w:type="dxa"/>
                  <w:vAlign w:val="center"/>
                </w:tcPr>
                <w:p>
                  <w:pPr>
                    <w:spacing w:line="240" w:lineRule="atLeast"/>
                    <w:jc w:val="center"/>
                    <w:rPr>
                      <w:rFonts w:ascii="Times New Roman" w:hAnsi="Times New Roman"/>
                      <w:szCs w:val="21"/>
                      <w:lang w:val="en-US"/>
                    </w:rPr>
                  </w:pPr>
                  <w:r>
                    <w:rPr>
                      <w:rFonts w:ascii="Times New Roman" w:hAnsi="Times New Roman"/>
                      <w:szCs w:val="21"/>
                      <w:lang w:val="en-US"/>
                    </w:rPr>
                    <w:t>集中分布的居民约</w:t>
                  </w:r>
                  <w:r>
                    <w:rPr>
                      <w:rFonts w:hint="eastAsia" w:ascii="Times New Roman" w:hAnsi="Times New Roman"/>
                      <w:szCs w:val="21"/>
                      <w:lang w:val="en-US" w:eastAsia="zh-CN"/>
                    </w:rPr>
                    <w:t>18</w:t>
                  </w:r>
                  <w:r>
                    <w:rPr>
                      <w:rFonts w:ascii="Times New Roman" w:hAnsi="Times New Roman"/>
                      <w:szCs w:val="21"/>
                      <w:lang w:val="en-US"/>
                    </w:rPr>
                    <w:t>户</w:t>
                  </w:r>
                </w:p>
              </w:tc>
              <w:tc>
                <w:tcPr>
                  <w:tcW w:w="1282" w:type="dxa"/>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二类/2类</w:t>
                  </w:r>
                </w:p>
              </w:tc>
              <w:tc>
                <w:tcPr>
                  <w:tcW w:w="1121" w:type="dxa"/>
                  <w:shd w:val="clear" w:color="auto" w:fill="auto"/>
                  <w:vAlign w:val="center"/>
                </w:tcPr>
                <w:p>
                  <w:pPr>
                    <w:spacing w:line="240" w:lineRule="atLeast"/>
                    <w:jc w:val="center"/>
                    <w:rPr>
                      <w:rFonts w:ascii="Times New Roman" w:hAnsi="Times New Roman"/>
                      <w:szCs w:val="21"/>
                      <w:lang w:val="en-US"/>
                    </w:rPr>
                  </w:pPr>
                  <w:r>
                    <w:rPr>
                      <w:rFonts w:ascii="Times New Roman" w:hAnsi="Times New Roman"/>
                      <w:szCs w:val="21"/>
                      <w:lang w:val="en-US"/>
                    </w:rPr>
                    <w:t>管线两侧</w:t>
                  </w:r>
                </w:p>
              </w:tc>
              <w:tc>
                <w:tcPr>
                  <w:tcW w:w="1442" w:type="dxa"/>
                  <w:vAlign w:val="center"/>
                </w:tcPr>
                <w:p>
                  <w:pPr>
                    <w:spacing w:line="240" w:lineRule="atLeast"/>
                    <w:jc w:val="center"/>
                    <w:rPr>
                      <w:rFonts w:ascii="Times New Roman" w:hAnsi="Times New Roman"/>
                      <w:szCs w:val="21"/>
                      <w:lang w:val="en-US"/>
                    </w:rPr>
                  </w:pPr>
                  <w:r>
                    <w:rPr>
                      <w:rFonts w:hint="eastAsia" w:ascii="Times New Roman" w:hAnsi="Times New Roman"/>
                      <w:szCs w:val="21"/>
                      <w:lang w:val="en-US" w:eastAsia="zh-CN"/>
                    </w:rPr>
                    <w:t>83</w:t>
                  </w:r>
                  <w:r>
                    <w:rPr>
                      <w:rFonts w:ascii="Times New Roman" w:hAnsi="Times New Roman"/>
                      <w:szCs w:val="21"/>
                      <w:lang w:val="en-US"/>
                    </w:rPr>
                    <w:t>-200</w:t>
                  </w:r>
                </w:p>
              </w:tc>
            </w:tr>
          </w:tbl>
          <w:p>
            <w:pPr>
              <w:pStyle w:val="13"/>
              <w:rPr>
                <w:rFonts w:cs="Times New Roman"/>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cs="Times New Roman"/>
                <w:b/>
                <w:color w:val="000000"/>
                <w:kern w:val="2"/>
                <w:sz w:val="24"/>
                <w:szCs w:val="22"/>
                <w:lang w:val="en-US" w:eastAsia="zh-CN" w:bidi="ar-SA"/>
              </w:rPr>
            </w:pPr>
            <w:r>
              <w:rPr>
                <w:rFonts w:ascii="Times New Roman" w:hAnsi="Times New Roman" w:eastAsia="宋体" w:cs="Times New Roman"/>
                <w:b/>
                <w:color w:val="000000"/>
                <w:kern w:val="2"/>
                <w:sz w:val="24"/>
                <w:szCs w:val="22"/>
                <w:lang w:val="en-US" w:eastAsia="zh-CN" w:bidi="ar-SA"/>
              </w:rPr>
              <w:t>表</w:t>
            </w:r>
            <w:r>
              <w:rPr>
                <w:rFonts w:hint="eastAsia" w:ascii="Times New Roman" w:hAnsi="Times New Roman" w:eastAsia="宋体" w:cs="Times New Roman"/>
                <w:b/>
                <w:color w:val="000000"/>
                <w:kern w:val="2"/>
                <w:sz w:val="24"/>
                <w:szCs w:val="22"/>
                <w:lang w:val="en-US" w:eastAsia="zh-CN" w:bidi="ar-SA"/>
              </w:rPr>
              <w:t>3-12</w:t>
            </w:r>
            <w:r>
              <w:rPr>
                <w:rFonts w:ascii="Times New Roman" w:hAnsi="Times New Roman" w:eastAsia="宋体" w:cs="Times New Roman"/>
                <w:b/>
                <w:color w:val="000000"/>
                <w:kern w:val="2"/>
                <w:sz w:val="24"/>
                <w:szCs w:val="22"/>
                <w:lang w:val="en-US" w:eastAsia="zh-CN" w:bidi="ar-SA"/>
              </w:rPr>
              <w:t xml:space="preserve">   </w:t>
            </w:r>
            <w:r>
              <w:rPr>
                <w:rFonts w:hint="eastAsia" w:ascii="Times New Roman" w:hAnsi="Times New Roman" w:eastAsia="宋体" w:cs="Times New Roman"/>
                <w:b/>
                <w:color w:val="000000"/>
                <w:kern w:val="2"/>
                <w:sz w:val="24"/>
                <w:szCs w:val="22"/>
                <w:lang w:val="en-US" w:eastAsia="zh-CN" w:bidi="ar-SA"/>
              </w:rPr>
              <w:t>高安</w:t>
            </w:r>
            <w:r>
              <w:rPr>
                <w:rFonts w:ascii="Times New Roman" w:hAnsi="Times New Roman" w:eastAsia="宋体" w:cs="Times New Roman"/>
                <w:b/>
                <w:color w:val="000000"/>
                <w:kern w:val="2"/>
                <w:sz w:val="24"/>
                <w:szCs w:val="22"/>
                <w:lang w:val="en-US" w:eastAsia="zh-CN" w:bidi="ar-SA"/>
              </w:rPr>
              <w:t>站</w:t>
            </w:r>
            <w:r>
              <w:rPr>
                <w:rFonts w:hint="eastAsia" w:ascii="Times New Roman" w:hAnsi="Times New Roman" w:eastAsia="宋体" w:cs="Times New Roman"/>
                <w:b/>
                <w:color w:val="000000"/>
                <w:kern w:val="2"/>
                <w:sz w:val="24"/>
                <w:szCs w:val="22"/>
                <w:lang w:val="en-US" w:eastAsia="zh-CN" w:bidi="ar-SA"/>
              </w:rPr>
              <w:t>环境</w:t>
            </w:r>
            <w:r>
              <w:rPr>
                <w:rFonts w:ascii="Times New Roman" w:hAnsi="Times New Roman" w:eastAsia="宋体" w:cs="Times New Roman"/>
                <w:b/>
                <w:color w:val="000000"/>
                <w:kern w:val="2"/>
                <w:sz w:val="24"/>
                <w:szCs w:val="22"/>
                <w:lang w:val="en-US" w:eastAsia="zh-CN" w:bidi="ar-SA"/>
              </w:rPr>
              <w:t>风险环境敏感保护目标</w:t>
            </w:r>
          </w:p>
          <w:tbl>
            <w:tblPr>
              <w:tblStyle w:val="3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323"/>
              <w:gridCol w:w="419"/>
              <w:gridCol w:w="563"/>
              <w:gridCol w:w="1147"/>
              <w:gridCol w:w="1043"/>
              <w:gridCol w:w="938"/>
              <w:gridCol w:w="1675"/>
              <w:gridCol w:w="801"/>
              <w:gridCol w:w="80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tblHeader/>
                <w:jc w:val="center"/>
              </w:trPr>
              <w:tc>
                <w:tcPr>
                  <w:tcW w:w="323"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序号</w:t>
                  </w:r>
                </w:p>
              </w:tc>
              <w:tc>
                <w:tcPr>
                  <w:tcW w:w="419"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类别</w:t>
                  </w:r>
                </w:p>
              </w:tc>
              <w:tc>
                <w:tcPr>
                  <w:tcW w:w="563"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区县</w:t>
                  </w:r>
                </w:p>
              </w:tc>
              <w:tc>
                <w:tcPr>
                  <w:tcW w:w="1147"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保护目标</w:t>
                  </w:r>
                </w:p>
              </w:tc>
              <w:tc>
                <w:tcPr>
                  <w:tcW w:w="1981"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经纬度坐标</w:t>
                  </w:r>
                </w:p>
              </w:tc>
              <w:tc>
                <w:tcPr>
                  <w:tcW w:w="1675"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保护内容</w:t>
                  </w:r>
                </w:p>
              </w:tc>
              <w:tc>
                <w:tcPr>
                  <w:tcW w:w="801"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环境功能区</w:t>
                  </w:r>
                </w:p>
              </w:tc>
              <w:tc>
                <w:tcPr>
                  <w:tcW w:w="801"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相对站场方位</w:t>
                  </w:r>
                </w:p>
              </w:tc>
              <w:tc>
                <w:tcPr>
                  <w:tcW w:w="1134"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相对站场场界距离（m）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tblHeader/>
                <w:jc w:val="center"/>
              </w:trPr>
              <w:tc>
                <w:tcPr>
                  <w:tcW w:w="323"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419"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043"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E</w:t>
                  </w:r>
                </w:p>
              </w:tc>
              <w:tc>
                <w:tcPr>
                  <w:tcW w:w="93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N</w:t>
                  </w:r>
                </w:p>
              </w:tc>
              <w:tc>
                <w:tcPr>
                  <w:tcW w:w="1675"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801"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801"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34"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1</w:t>
                  </w:r>
                </w:p>
              </w:tc>
              <w:tc>
                <w:tcPr>
                  <w:tcW w:w="419"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人口集中区</w:t>
                  </w:r>
                </w:p>
              </w:tc>
              <w:tc>
                <w:tcPr>
                  <w:tcW w:w="563" w:type="dxa"/>
                  <w:vMerge w:val="restart"/>
                  <w:tcBorders>
                    <w:top w:val="single" w:color="auto" w:sz="4" w:space="0"/>
                    <w:left w:val="single" w:color="auto" w:sz="4" w:space="0"/>
                    <w:right w:val="single" w:color="auto" w:sz="4" w:space="0"/>
                  </w:tcBorders>
                  <w:vAlign w:val="center"/>
                </w:tcPr>
                <w:p>
                  <w:pPr>
                    <w:spacing w:line="240" w:lineRule="atLeast"/>
                    <w:jc w:val="center"/>
                    <w:rPr>
                      <w:rFonts w:hint="default" w:ascii="Times New Roman" w:hAnsi="Times New Roman" w:eastAsia="宋体"/>
                      <w:szCs w:val="21"/>
                      <w:lang w:val="en-US" w:eastAsia="zh-CN"/>
                    </w:rPr>
                  </w:pPr>
                  <w:r>
                    <w:rPr>
                      <w:rFonts w:hint="eastAsia" w:ascii="Times New Roman" w:hAnsi="Times New Roman"/>
                      <w:szCs w:val="21"/>
                      <w:lang w:val="en-US" w:eastAsia="zh-CN"/>
                    </w:rPr>
                    <w:t>芜湖三山区</w:t>
                  </w:r>
                </w:p>
              </w:tc>
              <w:tc>
                <w:tcPr>
                  <w:tcW w:w="1147"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花墩</w:t>
                  </w:r>
                </w:p>
              </w:tc>
              <w:tc>
                <w:tcPr>
                  <w:tcW w:w="104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400</w:t>
                  </w:r>
                </w:p>
              </w:tc>
              <w:tc>
                <w:tcPr>
                  <w:tcW w:w="938"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-352</w:t>
                  </w:r>
                </w:p>
              </w:tc>
              <w:tc>
                <w:tcPr>
                  <w:tcW w:w="1675" w:type="dxa"/>
                  <w:tcBorders>
                    <w:top w:val="single" w:color="auto" w:sz="4" w:space="0"/>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w:t>
                  </w:r>
                  <w:r>
                    <w:rPr>
                      <w:rFonts w:ascii="Times New Roman" w:hAnsi="Times New Roman"/>
                      <w:color w:val="000000"/>
                      <w:kern w:val="2"/>
                      <w:sz w:val="21"/>
                      <w:szCs w:val="21"/>
                      <w:lang w:eastAsia="zh-CN"/>
                    </w:rPr>
                    <w:t>6户，</w:t>
                  </w:r>
                  <w:r>
                    <w:rPr>
                      <w:rFonts w:hint="eastAsia" w:ascii="Times New Roman" w:hAnsi="Times New Roman"/>
                      <w:color w:val="000000"/>
                      <w:kern w:val="2"/>
                      <w:sz w:val="21"/>
                      <w:szCs w:val="21"/>
                      <w:lang w:eastAsia="zh-CN"/>
                    </w:rPr>
                    <w:t>78</w:t>
                  </w:r>
                  <w:r>
                    <w:rPr>
                      <w:rFonts w:ascii="Times New Roman" w:hAnsi="Times New Roman"/>
                      <w:color w:val="000000"/>
                      <w:kern w:val="2"/>
                      <w:sz w:val="21"/>
                      <w:szCs w:val="21"/>
                      <w:lang w:eastAsia="zh-CN"/>
                    </w:rPr>
                    <w:t>人</w:t>
                  </w:r>
                </w:p>
              </w:tc>
              <w:tc>
                <w:tcPr>
                  <w:tcW w:w="801"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2</w:t>
                  </w:r>
                </w:p>
              </w:tc>
              <w:tc>
                <w:tcPr>
                  <w:tcW w:w="419" w:type="dxa"/>
                  <w:vMerge w:val="continue"/>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西洋村</w:t>
                  </w:r>
                </w:p>
              </w:tc>
              <w:tc>
                <w:tcPr>
                  <w:tcW w:w="104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0</w:t>
                  </w:r>
                </w:p>
              </w:tc>
              <w:tc>
                <w:tcPr>
                  <w:tcW w:w="938"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-1322</w:t>
                  </w:r>
                </w:p>
              </w:tc>
              <w:tc>
                <w:tcPr>
                  <w:tcW w:w="1675" w:type="dxa"/>
                  <w:tcBorders>
                    <w:top w:val="single" w:color="auto" w:sz="4" w:space="0"/>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21</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63</w:t>
                  </w:r>
                  <w:r>
                    <w:rPr>
                      <w:rFonts w:ascii="Times New Roman" w:hAnsi="Times New Roman"/>
                      <w:color w:val="000000"/>
                      <w:kern w:val="2"/>
                      <w:sz w:val="21"/>
                      <w:szCs w:val="21"/>
                      <w:lang w:eastAsia="zh-CN"/>
                    </w:rPr>
                    <w:t>人</w:t>
                  </w:r>
                </w:p>
              </w:tc>
              <w:tc>
                <w:tcPr>
                  <w:tcW w:w="801"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3</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尚墩</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957</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-1256</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32户</w:t>
                  </w:r>
                  <w:r>
                    <w:rPr>
                      <w:rFonts w:ascii="Times New Roman" w:hAnsi="Times New Roman"/>
                      <w:color w:val="000000"/>
                      <w:kern w:val="2"/>
                      <w:sz w:val="21"/>
                      <w:szCs w:val="21"/>
                      <w:lang w:eastAsia="zh-CN"/>
                    </w:rPr>
                    <w:t>，</w:t>
                  </w:r>
                  <w:r>
                    <w:rPr>
                      <w:rFonts w:hint="eastAsia" w:ascii="Times New Roman" w:hAnsi="Times New Roman"/>
                      <w:color w:val="000000"/>
                      <w:kern w:val="2"/>
                      <w:sz w:val="21"/>
                      <w:szCs w:val="21"/>
                      <w:lang w:eastAsia="zh-CN"/>
                    </w:rPr>
                    <w:t>96人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4</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李家墩</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1333</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420</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19</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57</w:t>
                  </w:r>
                  <w:r>
                    <w:rPr>
                      <w:rFonts w:ascii="Times New Roman" w:hAnsi="Times New Roman"/>
                      <w:color w:val="000000"/>
                      <w:kern w:val="2"/>
                      <w:sz w:val="21"/>
                      <w:szCs w:val="21"/>
                      <w:lang w:eastAsia="zh-CN"/>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NE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5</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陡门口</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-698</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-2017</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38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104</w:t>
                  </w:r>
                  <w:r>
                    <w:rPr>
                      <w:rFonts w:ascii="Times New Roman" w:hAnsi="Times New Roman"/>
                      <w:color w:val="000000"/>
                      <w:kern w:val="2"/>
                      <w:sz w:val="21"/>
                      <w:szCs w:val="21"/>
                      <w:lang w:eastAsia="zh-CN"/>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SW</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2103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6</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新港镇</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-2117</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1960</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224</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672</w:t>
                  </w:r>
                  <w:r>
                    <w:rPr>
                      <w:rFonts w:ascii="Times New Roman" w:hAnsi="Times New Roman"/>
                      <w:color w:val="000000"/>
                      <w:kern w:val="2"/>
                      <w:sz w:val="21"/>
                      <w:szCs w:val="21"/>
                      <w:lang w:eastAsia="zh-CN"/>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hint="eastAsia" w:ascii="Times New Roman" w:hAnsi="Times New Roman"/>
                      <w:color w:val="000000"/>
                      <w:szCs w:val="21"/>
                    </w:rPr>
                    <w:t>SW</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2872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7</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滕老村</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1226</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-1661</w:t>
                  </w:r>
                </w:p>
              </w:tc>
              <w:tc>
                <w:tcPr>
                  <w:tcW w:w="1675" w:type="dxa"/>
                  <w:tcBorders>
                    <w:left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ascii="Times New Roman" w:hAnsi="Times New Roman"/>
                      <w:color w:val="000000"/>
                      <w:szCs w:val="21"/>
                    </w:rPr>
                    <w:t>约</w:t>
                  </w:r>
                  <w:r>
                    <w:rPr>
                      <w:rFonts w:hint="eastAsia" w:ascii="Times New Roman" w:hAnsi="Times New Roman"/>
                      <w:color w:val="000000"/>
                      <w:szCs w:val="21"/>
                    </w:rPr>
                    <w:t>31</w:t>
                  </w:r>
                  <w:r>
                    <w:rPr>
                      <w:rFonts w:ascii="Times New Roman" w:hAnsi="Times New Roman"/>
                      <w:color w:val="000000"/>
                      <w:szCs w:val="21"/>
                    </w:rPr>
                    <w:t>户，</w:t>
                  </w:r>
                  <w:r>
                    <w:rPr>
                      <w:rFonts w:hint="eastAsia" w:ascii="Times New Roman" w:hAnsi="Times New Roman"/>
                      <w:color w:val="000000"/>
                      <w:szCs w:val="21"/>
                    </w:rPr>
                    <w:t>93</w:t>
                  </w:r>
                  <w:r>
                    <w:rPr>
                      <w:rFonts w:ascii="Times New Roman" w:hAnsi="Times New Roman"/>
                      <w:color w:val="000000"/>
                      <w:szCs w:val="21"/>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hint="eastAsia" w:ascii="Times New Roman" w:hAnsi="Times New Roman"/>
                      <w:color w:val="000000"/>
                      <w:szCs w:val="21"/>
                    </w:rPr>
                    <w:t>SE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8</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支房村</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1963</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-1343</w:t>
                  </w:r>
                </w:p>
              </w:tc>
              <w:tc>
                <w:tcPr>
                  <w:tcW w:w="1675" w:type="dxa"/>
                  <w:tcBorders>
                    <w:left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ascii="Times New Roman" w:hAnsi="Times New Roman"/>
                      <w:color w:val="000000"/>
                      <w:szCs w:val="21"/>
                    </w:rPr>
                    <w:t>约</w:t>
                  </w:r>
                  <w:r>
                    <w:rPr>
                      <w:rFonts w:hint="eastAsia" w:ascii="Times New Roman" w:hAnsi="Times New Roman"/>
                      <w:color w:val="000000"/>
                      <w:szCs w:val="21"/>
                    </w:rPr>
                    <w:t>41</w:t>
                  </w:r>
                  <w:r>
                    <w:rPr>
                      <w:rFonts w:ascii="Times New Roman" w:hAnsi="Times New Roman"/>
                      <w:color w:val="000000"/>
                      <w:szCs w:val="21"/>
                    </w:rPr>
                    <w:t>户，</w:t>
                  </w:r>
                  <w:r>
                    <w:rPr>
                      <w:rFonts w:hint="eastAsia" w:ascii="Times New Roman" w:hAnsi="Times New Roman"/>
                      <w:color w:val="000000"/>
                      <w:szCs w:val="21"/>
                    </w:rPr>
                    <w:t>123</w:t>
                  </w:r>
                  <w:r>
                    <w:rPr>
                      <w:rFonts w:ascii="Times New Roman" w:hAnsi="Times New Roman"/>
                      <w:color w:val="000000"/>
                      <w:szCs w:val="21"/>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2457</w:t>
                  </w:r>
                </w:p>
              </w:tc>
            </w:tr>
          </w:tbl>
          <w:p>
            <w:pPr>
              <w:pStyle w:val="20"/>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Times New Roman" w:hAnsi="Times New Roman" w:eastAsia="宋体"/>
                <w:b/>
                <w:bCs/>
                <w:lang w:val="en-US" w:eastAsia="zh-CN"/>
              </w:rPr>
            </w:pPr>
            <w:r>
              <w:rPr>
                <w:rFonts w:hint="eastAsia" w:ascii="Times New Roman" w:hAnsi="Times New Roman"/>
                <w:b/>
                <w:bCs/>
                <w:lang w:val="en-US" w:eastAsia="zh-CN"/>
              </w:rPr>
              <w:t>厂区西南角为坐标原点</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cs="Times New Roman"/>
                <w:b/>
                <w:color w:val="000000"/>
                <w:kern w:val="2"/>
                <w:sz w:val="24"/>
                <w:szCs w:val="22"/>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cs="Times New Roman"/>
                <w:b/>
                <w:color w:val="000000"/>
                <w:kern w:val="2"/>
                <w:sz w:val="24"/>
                <w:szCs w:val="22"/>
                <w:lang w:val="en-US" w:eastAsia="zh-CN" w:bidi="ar-SA"/>
              </w:rPr>
            </w:pPr>
            <w:r>
              <w:rPr>
                <w:rFonts w:ascii="Times New Roman" w:hAnsi="Times New Roman" w:eastAsia="宋体" w:cs="Times New Roman"/>
                <w:b/>
                <w:color w:val="000000"/>
                <w:kern w:val="2"/>
                <w:sz w:val="24"/>
                <w:szCs w:val="22"/>
                <w:lang w:val="en-US" w:eastAsia="zh-CN" w:bidi="ar-SA"/>
              </w:rPr>
              <w:t>表</w:t>
            </w:r>
            <w:r>
              <w:rPr>
                <w:rFonts w:hint="eastAsia" w:ascii="Times New Roman" w:hAnsi="Times New Roman" w:eastAsia="宋体" w:cs="Times New Roman"/>
                <w:b/>
                <w:color w:val="000000"/>
                <w:kern w:val="2"/>
                <w:sz w:val="24"/>
                <w:szCs w:val="22"/>
                <w:lang w:val="en-US" w:eastAsia="zh-CN" w:bidi="ar-SA"/>
              </w:rPr>
              <w:t>3-13</w:t>
            </w:r>
            <w:r>
              <w:rPr>
                <w:rFonts w:ascii="Times New Roman" w:hAnsi="Times New Roman" w:eastAsia="宋体" w:cs="Times New Roman"/>
                <w:b/>
                <w:color w:val="000000"/>
                <w:kern w:val="2"/>
                <w:sz w:val="24"/>
                <w:szCs w:val="22"/>
                <w:lang w:val="en-US" w:eastAsia="zh-CN" w:bidi="ar-SA"/>
              </w:rPr>
              <w:t xml:space="preserve">   </w:t>
            </w:r>
            <w:r>
              <w:rPr>
                <w:rFonts w:hint="eastAsia" w:ascii="Times New Roman" w:hAnsi="Times New Roman" w:eastAsia="宋体" w:cs="Times New Roman"/>
                <w:b/>
                <w:color w:val="000000"/>
                <w:kern w:val="2"/>
                <w:sz w:val="24"/>
                <w:szCs w:val="22"/>
                <w:lang w:val="en-US" w:eastAsia="zh-CN" w:bidi="ar-SA"/>
              </w:rPr>
              <w:t>横山</w:t>
            </w:r>
            <w:r>
              <w:rPr>
                <w:rFonts w:ascii="Times New Roman" w:hAnsi="Times New Roman" w:eastAsia="宋体" w:cs="Times New Roman"/>
                <w:b/>
                <w:color w:val="000000"/>
                <w:kern w:val="2"/>
                <w:sz w:val="24"/>
                <w:szCs w:val="22"/>
                <w:lang w:val="en-US" w:eastAsia="zh-CN" w:bidi="ar-SA"/>
              </w:rPr>
              <w:t>站</w:t>
            </w:r>
            <w:r>
              <w:rPr>
                <w:rFonts w:hint="eastAsia" w:ascii="Times New Roman" w:hAnsi="Times New Roman" w:eastAsia="宋体" w:cs="Times New Roman"/>
                <w:b/>
                <w:color w:val="000000"/>
                <w:kern w:val="2"/>
                <w:sz w:val="24"/>
                <w:szCs w:val="22"/>
                <w:lang w:val="en-US" w:eastAsia="zh-CN" w:bidi="ar-SA"/>
              </w:rPr>
              <w:t>环境</w:t>
            </w:r>
            <w:r>
              <w:rPr>
                <w:rFonts w:ascii="Times New Roman" w:hAnsi="Times New Roman" w:eastAsia="宋体" w:cs="Times New Roman"/>
                <w:b/>
                <w:color w:val="000000"/>
                <w:kern w:val="2"/>
                <w:sz w:val="24"/>
                <w:szCs w:val="22"/>
                <w:lang w:val="en-US" w:eastAsia="zh-CN" w:bidi="ar-SA"/>
              </w:rPr>
              <w:t>风险环境敏感保护目标</w:t>
            </w:r>
          </w:p>
          <w:tbl>
            <w:tblPr>
              <w:tblStyle w:val="3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323"/>
              <w:gridCol w:w="419"/>
              <w:gridCol w:w="563"/>
              <w:gridCol w:w="1147"/>
              <w:gridCol w:w="1043"/>
              <w:gridCol w:w="938"/>
              <w:gridCol w:w="1675"/>
              <w:gridCol w:w="801"/>
              <w:gridCol w:w="80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tblHeader/>
                <w:jc w:val="center"/>
              </w:trPr>
              <w:tc>
                <w:tcPr>
                  <w:tcW w:w="323"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序号</w:t>
                  </w:r>
                </w:p>
              </w:tc>
              <w:tc>
                <w:tcPr>
                  <w:tcW w:w="419"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类别</w:t>
                  </w:r>
                </w:p>
              </w:tc>
              <w:tc>
                <w:tcPr>
                  <w:tcW w:w="563"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区县</w:t>
                  </w:r>
                </w:p>
              </w:tc>
              <w:tc>
                <w:tcPr>
                  <w:tcW w:w="1147"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保护目标</w:t>
                  </w:r>
                </w:p>
              </w:tc>
              <w:tc>
                <w:tcPr>
                  <w:tcW w:w="1981"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经纬度坐标</w:t>
                  </w:r>
                </w:p>
              </w:tc>
              <w:tc>
                <w:tcPr>
                  <w:tcW w:w="1675"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保护内容</w:t>
                  </w:r>
                </w:p>
              </w:tc>
              <w:tc>
                <w:tcPr>
                  <w:tcW w:w="801"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环境功能区</w:t>
                  </w:r>
                </w:p>
              </w:tc>
              <w:tc>
                <w:tcPr>
                  <w:tcW w:w="801"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相对站场方位</w:t>
                  </w:r>
                </w:p>
              </w:tc>
              <w:tc>
                <w:tcPr>
                  <w:tcW w:w="1134"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相对站场场界距离（m）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tblHeader/>
                <w:jc w:val="center"/>
              </w:trPr>
              <w:tc>
                <w:tcPr>
                  <w:tcW w:w="323"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419"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043"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E</w:t>
                  </w:r>
                </w:p>
              </w:tc>
              <w:tc>
                <w:tcPr>
                  <w:tcW w:w="93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N</w:t>
                  </w:r>
                </w:p>
              </w:tc>
              <w:tc>
                <w:tcPr>
                  <w:tcW w:w="1675"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801"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801"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34" w:type="dxa"/>
                  <w:vMerge w:val="continue"/>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1</w:t>
                  </w:r>
                </w:p>
              </w:tc>
              <w:tc>
                <w:tcPr>
                  <w:tcW w:w="419"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人口集中区</w:t>
                  </w:r>
                </w:p>
              </w:tc>
              <w:tc>
                <w:tcPr>
                  <w:tcW w:w="563" w:type="dxa"/>
                  <w:vMerge w:val="restart"/>
                  <w:tcBorders>
                    <w:top w:val="single" w:color="auto" w:sz="4" w:space="0"/>
                    <w:left w:val="single" w:color="auto" w:sz="4" w:space="0"/>
                    <w:right w:val="single" w:color="auto" w:sz="4" w:space="0"/>
                  </w:tcBorders>
                  <w:vAlign w:val="center"/>
                </w:tcPr>
                <w:p>
                  <w:pPr>
                    <w:spacing w:line="240" w:lineRule="atLeast"/>
                    <w:jc w:val="center"/>
                    <w:rPr>
                      <w:rFonts w:hint="default" w:ascii="Times New Roman" w:hAnsi="Times New Roman" w:eastAsia="宋体"/>
                      <w:szCs w:val="21"/>
                      <w:lang w:val="en-US" w:eastAsia="zh-CN"/>
                    </w:rPr>
                  </w:pPr>
                  <w:r>
                    <w:rPr>
                      <w:rFonts w:hint="eastAsia" w:ascii="Times New Roman" w:hAnsi="Times New Roman"/>
                      <w:szCs w:val="21"/>
                      <w:lang w:val="en-US" w:eastAsia="zh-CN"/>
                    </w:rPr>
                    <w:t>芜湖三山区</w:t>
                  </w:r>
                </w:p>
              </w:tc>
              <w:tc>
                <w:tcPr>
                  <w:tcW w:w="1147"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张家滩</w:t>
                  </w:r>
                </w:p>
              </w:tc>
              <w:tc>
                <w:tcPr>
                  <w:tcW w:w="104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171</w:t>
                  </w:r>
                </w:p>
              </w:tc>
              <w:tc>
                <w:tcPr>
                  <w:tcW w:w="938"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1094</w:t>
                  </w:r>
                </w:p>
              </w:tc>
              <w:tc>
                <w:tcPr>
                  <w:tcW w:w="1675" w:type="dxa"/>
                  <w:tcBorders>
                    <w:top w:val="single" w:color="auto" w:sz="4" w:space="0"/>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25</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75</w:t>
                  </w:r>
                  <w:r>
                    <w:rPr>
                      <w:rFonts w:ascii="Times New Roman" w:hAnsi="Times New Roman"/>
                      <w:color w:val="000000"/>
                      <w:kern w:val="2"/>
                      <w:sz w:val="21"/>
                      <w:szCs w:val="21"/>
                      <w:lang w:eastAsia="zh-CN"/>
                    </w:rPr>
                    <w:t>人</w:t>
                  </w:r>
                </w:p>
              </w:tc>
              <w:tc>
                <w:tcPr>
                  <w:tcW w:w="801"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NE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2</w:t>
                  </w:r>
                </w:p>
              </w:tc>
              <w:tc>
                <w:tcPr>
                  <w:tcW w:w="419" w:type="dxa"/>
                  <w:vMerge w:val="continue"/>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枫杨树</w:t>
                  </w:r>
                </w:p>
              </w:tc>
              <w:tc>
                <w:tcPr>
                  <w:tcW w:w="1043"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1293</w:t>
                  </w:r>
                </w:p>
              </w:tc>
              <w:tc>
                <w:tcPr>
                  <w:tcW w:w="938"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0</w:t>
                  </w:r>
                </w:p>
              </w:tc>
              <w:tc>
                <w:tcPr>
                  <w:tcW w:w="1675" w:type="dxa"/>
                  <w:tcBorders>
                    <w:top w:val="single" w:color="auto" w:sz="4" w:space="0"/>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30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90</w:t>
                  </w:r>
                  <w:r>
                    <w:rPr>
                      <w:rFonts w:ascii="Times New Roman" w:hAnsi="Times New Roman"/>
                      <w:color w:val="000000"/>
                      <w:kern w:val="2"/>
                      <w:sz w:val="21"/>
                      <w:szCs w:val="21"/>
                      <w:lang w:eastAsia="zh-CN"/>
                    </w:rPr>
                    <w:t>人</w:t>
                  </w:r>
                </w:p>
              </w:tc>
              <w:tc>
                <w:tcPr>
                  <w:tcW w:w="801" w:type="dxa"/>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3</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孙家湾</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1710</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-468</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21户</w:t>
                  </w:r>
                  <w:r>
                    <w:rPr>
                      <w:rFonts w:ascii="Times New Roman" w:hAnsi="Times New Roman"/>
                      <w:color w:val="000000"/>
                      <w:kern w:val="2"/>
                      <w:sz w:val="21"/>
                      <w:szCs w:val="21"/>
                      <w:lang w:eastAsia="zh-CN"/>
                    </w:rPr>
                    <w:t>，</w:t>
                  </w:r>
                  <w:r>
                    <w:rPr>
                      <w:rFonts w:hint="eastAsia" w:ascii="Times New Roman" w:hAnsi="Times New Roman"/>
                      <w:color w:val="000000"/>
                      <w:kern w:val="2"/>
                      <w:sz w:val="21"/>
                      <w:szCs w:val="21"/>
                      <w:lang w:eastAsia="zh-CN"/>
                    </w:rPr>
                    <w:t>63人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4</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罗湖</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949</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-1770</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180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540</w:t>
                  </w:r>
                  <w:r>
                    <w:rPr>
                      <w:rFonts w:ascii="Times New Roman" w:hAnsi="Times New Roman"/>
                      <w:color w:val="000000"/>
                      <w:kern w:val="2"/>
                      <w:sz w:val="21"/>
                      <w:szCs w:val="21"/>
                      <w:lang w:eastAsia="zh-CN"/>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1882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5</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谷屋基</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-1530</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-1447</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19</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57</w:t>
                  </w:r>
                  <w:r>
                    <w:rPr>
                      <w:rFonts w:ascii="Times New Roman" w:hAnsi="Times New Roman"/>
                      <w:color w:val="000000"/>
                      <w:kern w:val="2"/>
                      <w:sz w:val="21"/>
                      <w:szCs w:val="21"/>
                      <w:lang w:eastAsia="zh-CN"/>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SW</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6</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江北村</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-1725</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1798</w:t>
                  </w:r>
                </w:p>
              </w:tc>
              <w:tc>
                <w:tcPr>
                  <w:tcW w:w="1675" w:type="dxa"/>
                  <w:tcBorders>
                    <w:left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42</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eastAsia="zh-CN"/>
                    </w:rPr>
                    <w:t>126</w:t>
                  </w:r>
                  <w:r>
                    <w:rPr>
                      <w:rFonts w:ascii="Times New Roman" w:hAnsi="Times New Roman"/>
                      <w:color w:val="000000"/>
                      <w:kern w:val="2"/>
                      <w:sz w:val="21"/>
                      <w:szCs w:val="21"/>
                      <w:lang w:eastAsia="zh-CN"/>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hint="eastAsia" w:ascii="Times New Roman" w:hAnsi="Times New Roman"/>
                      <w:color w:val="000000"/>
                      <w:szCs w:val="21"/>
                    </w:rPr>
                    <w:t>NW</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2551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69" w:hRule="atLeast"/>
                <w:jc w:val="center"/>
              </w:trPr>
              <w:tc>
                <w:tcPr>
                  <w:tcW w:w="32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7</w:t>
                  </w:r>
                </w:p>
              </w:tc>
              <w:tc>
                <w:tcPr>
                  <w:tcW w:w="419"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563"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p>
              </w:tc>
              <w:tc>
                <w:tcPr>
                  <w:tcW w:w="1147"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西埂</w:t>
                  </w:r>
                </w:p>
              </w:tc>
              <w:tc>
                <w:tcPr>
                  <w:tcW w:w="1043"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1727</w:t>
                  </w:r>
                </w:p>
              </w:tc>
              <w:tc>
                <w:tcPr>
                  <w:tcW w:w="938"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hint="eastAsia" w:ascii="Times New Roman" w:hAnsi="Times New Roman"/>
                      <w:color w:val="000000"/>
                      <w:szCs w:val="21"/>
                    </w:rPr>
                    <w:t>1494</w:t>
                  </w:r>
                </w:p>
              </w:tc>
              <w:tc>
                <w:tcPr>
                  <w:tcW w:w="1675" w:type="dxa"/>
                  <w:tcBorders>
                    <w:left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ascii="Times New Roman" w:hAnsi="Times New Roman"/>
                      <w:color w:val="000000"/>
                      <w:szCs w:val="21"/>
                    </w:rPr>
                    <w:t>约</w:t>
                  </w:r>
                  <w:r>
                    <w:rPr>
                      <w:rFonts w:hint="eastAsia" w:ascii="Times New Roman" w:hAnsi="Times New Roman"/>
                      <w:color w:val="000000"/>
                      <w:szCs w:val="21"/>
                    </w:rPr>
                    <w:t>15</w:t>
                  </w:r>
                  <w:r>
                    <w:rPr>
                      <w:rFonts w:ascii="Times New Roman" w:hAnsi="Times New Roman"/>
                      <w:color w:val="000000"/>
                      <w:szCs w:val="21"/>
                    </w:rPr>
                    <w:t>户，</w:t>
                  </w:r>
                  <w:r>
                    <w:rPr>
                      <w:rFonts w:hint="eastAsia" w:ascii="Times New Roman" w:hAnsi="Times New Roman"/>
                      <w:color w:val="000000"/>
                      <w:szCs w:val="21"/>
                    </w:rPr>
                    <w:t>45</w:t>
                  </w:r>
                  <w:r>
                    <w:rPr>
                      <w:rFonts w:ascii="Times New Roman" w:hAnsi="Times New Roman"/>
                      <w:color w:val="000000"/>
                      <w:szCs w:val="21"/>
                    </w:rPr>
                    <w:t>人</w:t>
                  </w:r>
                </w:p>
              </w:tc>
              <w:tc>
                <w:tcPr>
                  <w:tcW w:w="801" w:type="dxa"/>
                  <w:tcBorders>
                    <w:left w:val="single" w:color="auto" w:sz="4" w:space="0"/>
                    <w:right w:val="single" w:color="auto" w:sz="4" w:space="0"/>
                  </w:tcBorders>
                  <w:vAlign w:val="center"/>
                </w:tcPr>
                <w:p>
                  <w:pPr>
                    <w:spacing w:line="240" w:lineRule="atLeast"/>
                    <w:jc w:val="center"/>
                    <w:rPr>
                      <w:rFonts w:ascii="Times New Roman" w:hAnsi="Times New Roman"/>
                      <w:szCs w:val="21"/>
                      <w:lang w:val="en-US"/>
                    </w:rPr>
                  </w:pPr>
                  <w:r>
                    <w:rPr>
                      <w:rFonts w:ascii="Times New Roman" w:hAnsi="Times New Roman"/>
                      <w:szCs w:val="21"/>
                      <w:lang w:val="en-US"/>
                    </w:rPr>
                    <w:t>二类</w:t>
                  </w:r>
                </w:p>
              </w:tc>
              <w:tc>
                <w:tcPr>
                  <w:tcW w:w="80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ascii="Times New Roman" w:hAnsi="Times New Roman"/>
                      <w:szCs w:val="21"/>
                      <w:lang w:val="en-US"/>
                    </w:rPr>
                  </w:pPr>
                  <w:r>
                    <w:rPr>
                      <w:rFonts w:hint="eastAsia" w:ascii="Times New Roman" w:hAnsi="Times New Roman"/>
                      <w:color w:val="000000"/>
                      <w:szCs w:val="21"/>
                    </w:rPr>
                    <w:t>NE</w:t>
                  </w:r>
                </w:p>
              </w:tc>
              <w:tc>
                <w:tcPr>
                  <w:tcW w:w="1134" w:type="dxa"/>
                  <w:tcBorders>
                    <w:top w:val="single" w:color="auto" w:sz="4" w:space="0"/>
                    <w:left w:val="single" w:color="auto" w:sz="4" w:space="0"/>
                    <w:bottom w:val="single" w:color="auto" w:sz="4" w:space="0"/>
                    <w:right w:val="single" w:color="auto" w:sz="4" w:space="0"/>
                  </w:tcBorders>
                  <w:vAlign w:val="center"/>
                </w:tcPr>
                <w:p>
                  <w:pPr>
                    <w:pStyle w:val="100"/>
                    <w:autoSpaceDE w:val="0"/>
                    <w:autoSpaceDN w:val="0"/>
                    <w:spacing w:line="240" w:lineRule="atLeast"/>
                    <w:jc w:val="center"/>
                    <w:rPr>
                      <w:rFonts w:ascii="Times New Roman" w:hAnsi="Times New Roman"/>
                      <w:szCs w:val="21"/>
                      <w:lang w:val="en-US"/>
                    </w:rPr>
                  </w:pPr>
                  <w:r>
                    <w:rPr>
                      <w:rFonts w:hint="eastAsia" w:ascii="Times New Roman" w:hAnsi="Times New Roman"/>
                      <w:color w:val="000000"/>
                      <w:kern w:val="2"/>
                      <w:sz w:val="21"/>
                      <w:szCs w:val="21"/>
                      <w:lang w:eastAsia="zh-CN"/>
                    </w:rPr>
                    <w:t>2217</w:t>
                  </w:r>
                </w:p>
              </w:tc>
            </w:tr>
          </w:tbl>
          <w:p>
            <w:pPr>
              <w:pStyle w:val="20"/>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Times New Roman" w:hAnsi="Times New Roman" w:eastAsia="宋体"/>
                <w:b/>
                <w:bCs/>
                <w:lang w:val="en-US" w:eastAsia="zh-CN"/>
              </w:rPr>
            </w:pPr>
            <w:r>
              <w:rPr>
                <w:rFonts w:hint="eastAsia" w:ascii="Times New Roman" w:hAnsi="Times New Roman"/>
                <w:b/>
                <w:bCs/>
                <w:lang w:val="en-US" w:eastAsia="zh-CN"/>
              </w:rPr>
              <w:t>厂区西南角为坐标原点</w:t>
            </w: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r>
              <w:rPr>
                <w:rFonts w:hint="eastAsia" w:ascii="Times New Roman" w:hAnsi="Times New Roman" w:eastAsia="宋体" w:cs="Times New Roman"/>
                <w:bCs w:val="0"/>
                <w:color w:val="000000"/>
                <w:kern w:val="2"/>
                <w:sz w:val="24"/>
                <w:szCs w:val="22"/>
                <w:lang w:val="en-US" w:eastAsia="zh-CN" w:bidi="ar-SA"/>
              </w:rPr>
              <w:t>社会环境保护目标</w:t>
            </w:r>
          </w:p>
          <w:p>
            <w:pPr>
              <w:pStyle w:val="5"/>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val="0"/>
                <w:color w:val="000000"/>
                <w:kern w:val="2"/>
                <w:sz w:val="24"/>
                <w:szCs w:val="22"/>
                <w:lang w:val="en-US" w:eastAsia="zh-CN" w:bidi="ar-SA"/>
              </w:rPr>
            </w:pPr>
            <w:r>
              <w:rPr>
                <w:rFonts w:hint="eastAsia" w:ascii="Times New Roman" w:hAnsi="Times New Roman" w:eastAsia="宋体" w:cs="Times New Roman"/>
                <w:bCs w:val="0"/>
                <w:color w:val="000000"/>
                <w:kern w:val="2"/>
                <w:sz w:val="24"/>
                <w:szCs w:val="22"/>
                <w:lang w:val="en-US" w:eastAsia="zh-CN" w:bidi="ar-SA"/>
              </w:rPr>
              <w:t>根据现场踏勘，项目沿线主要社会环境保护目标见</w:t>
            </w:r>
            <w:r>
              <w:rPr>
                <w:rFonts w:hint="eastAsia" w:ascii="Times New Roman" w:hAnsi="Times New Roman" w:cs="Times New Roman"/>
                <w:bCs w:val="0"/>
                <w:color w:val="000000"/>
                <w:kern w:val="2"/>
                <w:sz w:val="24"/>
                <w:szCs w:val="22"/>
                <w:lang w:val="en-US" w:eastAsia="zh-CN" w:bidi="ar-SA"/>
              </w:rPr>
              <w:t>下</w:t>
            </w:r>
            <w:r>
              <w:rPr>
                <w:rFonts w:hint="eastAsia" w:ascii="Times New Roman" w:hAnsi="Times New Roman" w:eastAsia="宋体" w:cs="Times New Roman"/>
                <w:bCs w:val="0"/>
                <w:color w:val="000000"/>
                <w:kern w:val="2"/>
                <w:sz w:val="24"/>
                <w:szCs w:val="22"/>
                <w:lang w:val="en-US" w:eastAsia="zh-CN" w:bidi="ar-SA"/>
              </w:rPr>
              <w:t>表。</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cs="Times New Roman"/>
                <w:b/>
                <w:color w:val="000000"/>
                <w:kern w:val="2"/>
                <w:sz w:val="24"/>
                <w:szCs w:val="22"/>
                <w:lang w:val="en-US" w:eastAsia="zh-CN" w:bidi="ar-SA"/>
              </w:rPr>
            </w:pPr>
            <w:r>
              <w:rPr>
                <w:rFonts w:ascii="Times New Roman" w:hAnsi="Times New Roman" w:eastAsia="宋体" w:cs="Times New Roman"/>
                <w:b/>
                <w:color w:val="000000"/>
                <w:kern w:val="2"/>
                <w:sz w:val="24"/>
                <w:szCs w:val="22"/>
                <w:lang w:val="en-US" w:eastAsia="zh-CN" w:bidi="ar-SA"/>
              </w:rPr>
              <w:t>表</w:t>
            </w:r>
            <w:r>
              <w:rPr>
                <w:rFonts w:hint="eastAsia" w:ascii="Times New Roman" w:hAnsi="Times New Roman" w:eastAsia="宋体" w:cs="Times New Roman"/>
                <w:b/>
                <w:color w:val="000000"/>
                <w:kern w:val="2"/>
                <w:sz w:val="24"/>
                <w:szCs w:val="22"/>
                <w:lang w:val="en-US" w:eastAsia="zh-CN" w:bidi="ar-SA"/>
              </w:rPr>
              <w:t>3-14</w:t>
            </w:r>
            <w:r>
              <w:rPr>
                <w:rFonts w:ascii="Times New Roman" w:hAnsi="Times New Roman" w:eastAsia="宋体" w:cs="Times New Roman"/>
                <w:b/>
                <w:color w:val="000000"/>
                <w:kern w:val="2"/>
                <w:sz w:val="24"/>
                <w:szCs w:val="22"/>
                <w:lang w:val="en-US" w:eastAsia="zh-CN" w:bidi="ar-SA"/>
              </w:rPr>
              <w:t xml:space="preserve">   项目沿线社会环境保护目标</w:t>
            </w:r>
          </w:p>
          <w:tbl>
            <w:tblPr>
              <w:tblStyle w:val="3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41"/>
              <w:gridCol w:w="1499"/>
              <w:gridCol w:w="2127"/>
              <w:gridCol w:w="453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tblHeader/>
                <w:jc w:val="center"/>
              </w:trPr>
              <w:tc>
                <w:tcPr>
                  <w:tcW w:w="741"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编号</w:t>
                  </w:r>
                </w:p>
              </w:tc>
              <w:tc>
                <w:tcPr>
                  <w:tcW w:w="1499"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主要保护对象</w:t>
                  </w:r>
                </w:p>
              </w:tc>
              <w:tc>
                <w:tcPr>
                  <w:tcW w:w="2127"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影响因素</w:t>
                  </w:r>
                </w:p>
              </w:tc>
              <w:tc>
                <w:tcPr>
                  <w:tcW w:w="4533"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保护要求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741"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1</w:t>
                  </w:r>
                </w:p>
              </w:tc>
              <w:tc>
                <w:tcPr>
                  <w:tcW w:w="1499"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城镇发展规划及土地利用</w:t>
                  </w:r>
                </w:p>
              </w:tc>
              <w:tc>
                <w:tcPr>
                  <w:tcW w:w="2127"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项目选址及点地与城镇规划的符合性和对土地利用的影响</w:t>
                  </w:r>
                </w:p>
              </w:tc>
              <w:tc>
                <w:tcPr>
                  <w:tcW w:w="4533"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尽量减少对耕地、林地的占用，确保项目建设与城镇发展与土地利用规划相符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43" w:hRule="atLeast"/>
                <w:jc w:val="center"/>
              </w:trPr>
              <w:tc>
                <w:tcPr>
                  <w:tcW w:w="741"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2</w:t>
                  </w:r>
                </w:p>
              </w:tc>
              <w:tc>
                <w:tcPr>
                  <w:tcW w:w="1499"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高速公路、国道、省道、县道、乡道及村道</w:t>
                  </w:r>
                </w:p>
              </w:tc>
              <w:tc>
                <w:tcPr>
                  <w:tcW w:w="2127"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本工程</w:t>
                  </w:r>
                  <w:r>
                    <w:rPr>
                      <w:rFonts w:hint="eastAsia" w:ascii="Times New Roman" w:hAnsi="Times New Roman"/>
                      <w:color w:val="000000"/>
                      <w:szCs w:val="21"/>
                      <w:lang w:val="en-US" w:eastAsia="zh-CN"/>
                    </w:rPr>
                    <w:t>穿越高速公路1处，一般道路8处</w:t>
                  </w:r>
                  <w:r>
                    <w:rPr>
                      <w:rFonts w:hint="eastAsia" w:ascii="Times New Roman" w:hAnsi="Times New Roman"/>
                      <w:color w:val="000000"/>
                      <w:szCs w:val="21"/>
                    </w:rPr>
                    <w:t>，在工程施工过程中可能对被交叉道路的车辆通行造成一定影响</w:t>
                  </w:r>
                </w:p>
              </w:tc>
              <w:tc>
                <w:tcPr>
                  <w:tcW w:w="4533"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合理安排施工时段，加强管理，确保工程建设不对被交道路的正常交通运行造成阻隔影响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741"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3</w:t>
                  </w:r>
                </w:p>
              </w:tc>
              <w:tc>
                <w:tcPr>
                  <w:tcW w:w="1499"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沿线电力设施、高压电线走廊、通讯设施等基础设施</w:t>
                  </w:r>
                </w:p>
              </w:tc>
              <w:tc>
                <w:tcPr>
                  <w:tcW w:w="2127"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工程施工可能对其造成一定程度的影响</w:t>
                  </w:r>
                </w:p>
              </w:tc>
              <w:tc>
                <w:tcPr>
                  <w:tcW w:w="4533"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保障区域供电、用电安全，不对高压走廊等造成损坏；保障光缆安全，确保区域通信安全。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741"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4</w:t>
                  </w:r>
                </w:p>
              </w:tc>
              <w:tc>
                <w:tcPr>
                  <w:tcW w:w="1499"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地下埋藏的文物</w:t>
                  </w:r>
                </w:p>
              </w:tc>
              <w:tc>
                <w:tcPr>
                  <w:tcW w:w="2127"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工程施工可能对其造成一定程度的影响</w:t>
                  </w:r>
                </w:p>
              </w:tc>
              <w:tc>
                <w:tcPr>
                  <w:tcW w:w="4533" w:type="dxa"/>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rPr>
                    <w:t>在工程施工中，一旦发现未勘探到不可移动文物（包括古遗址、古墓葬等），应当保护现场，立即报告，不得擅自处理，如发现可移动文物（包括各时代生活、生产等实物），应当主动上交给国家，不得占为已有。</w:t>
                  </w:r>
                </w:p>
              </w:tc>
            </w:tr>
          </w:tbl>
          <w:p>
            <w:pPr>
              <w:rPr>
                <w:rFonts w:ascii="Times New Roman" w:hAnsi="Times New Roman"/>
              </w:rPr>
            </w:pPr>
          </w:p>
          <w:p>
            <w:pPr>
              <w:pStyle w:val="9"/>
              <w:rPr>
                <w:rFonts w:ascii="Times New Roman" w:hAnsi="Times New Roman"/>
              </w:rPr>
            </w:pPr>
          </w:p>
          <w:p>
            <w:pPr>
              <w:pStyle w:val="20"/>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360" w:lineRule="auto"/>
              <w:rPr>
                <w:rFonts w:ascii="Times New Roman" w:hAnsi="Times New Roman"/>
                <w:b/>
                <w:bCs/>
                <w:color w:val="000000"/>
                <w:sz w:val="24"/>
                <w:szCs w:val="24"/>
              </w:rPr>
            </w:pPr>
          </w:p>
        </w:tc>
      </w:tr>
    </w:tbl>
    <w:p>
      <w:pPr>
        <w:pStyle w:val="2"/>
        <w:rPr>
          <w:rFonts w:ascii="Times New Roman" w:hAnsi="Times New Roman"/>
        </w:rPr>
      </w:pPr>
      <w:r>
        <w:rPr>
          <w:rFonts w:ascii="Times New Roman" w:hAnsi="Times New Roman"/>
        </w:rPr>
        <w:t>评价适用标准</w:t>
      </w:r>
    </w:p>
    <w:tbl>
      <w:tblPr>
        <w:tblStyle w:val="32"/>
        <w:tblW w:w="0" w:type="auto"/>
        <w:jc w:val="center"/>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04"/>
        <w:gridCol w:w="8499"/>
      </w:tblGrid>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15" w:hRule="atLeast"/>
          <w:jc w:val="center"/>
        </w:trPr>
        <w:tc>
          <w:tcPr>
            <w:tcW w:w="504" w:type="dxa"/>
            <w:vAlign w:val="center"/>
          </w:tcPr>
          <w:p>
            <w:pPr>
              <w:spacing w:line="360" w:lineRule="auto"/>
              <w:jc w:val="center"/>
              <w:rPr>
                <w:rFonts w:ascii="Times New Roman" w:hAnsi="Times New Roman"/>
                <w:color w:val="000000"/>
                <w:sz w:val="24"/>
                <w:szCs w:val="24"/>
              </w:rPr>
            </w:pPr>
            <w:r>
              <w:rPr>
                <w:rFonts w:ascii="Times New Roman" w:hAnsi="Times New Roman"/>
                <w:color w:val="000000"/>
                <w:sz w:val="24"/>
                <w:szCs w:val="24"/>
              </w:rPr>
              <w:t>环</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境</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质</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量</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标</w:t>
            </w:r>
          </w:p>
          <w:p>
            <w:pPr>
              <w:spacing w:line="360" w:lineRule="auto"/>
              <w:jc w:val="center"/>
              <w:rPr>
                <w:rFonts w:ascii="Times New Roman" w:hAnsi="Times New Roman"/>
                <w:color w:val="000000"/>
                <w:sz w:val="28"/>
                <w:highlight w:val="yellow"/>
              </w:rPr>
            </w:pPr>
            <w:r>
              <w:rPr>
                <w:rFonts w:ascii="Times New Roman" w:hAnsi="Times New Roman"/>
                <w:color w:val="000000"/>
                <w:sz w:val="24"/>
                <w:szCs w:val="24"/>
              </w:rPr>
              <w:t>准</w:t>
            </w:r>
          </w:p>
        </w:tc>
        <w:tc>
          <w:tcPr>
            <w:tcW w:w="8499" w:type="dxa"/>
          </w:tcPr>
          <w:p>
            <w:pPr>
              <w:spacing w:line="480" w:lineRule="exact"/>
              <w:ind w:firstLine="480" w:firstLineChars="200"/>
              <w:rPr>
                <w:rFonts w:ascii="Times New Roman" w:hAnsi="Times New Roman"/>
                <w:sz w:val="24"/>
                <w:szCs w:val="24"/>
              </w:rPr>
            </w:pPr>
            <w:r>
              <w:rPr>
                <w:rFonts w:ascii="Times New Roman" w:hAnsi="Times New Roman"/>
                <w:sz w:val="24"/>
                <w:szCs w:val="24"/>
              </w:rPr>
              <w:t>1、环境空气</w:t>
            </w:r>
          </w:p>
          <w:p>
            <w:pPr>
              <w:spacing w:line="480" w:lineRule="exact"/>
              <w:ind w:firstLine="480" w:firstLineChars="200"/>
              <w:rPr>
                <w:rFonts w:ascii="Times New Roman" w:hAnsi="Times New Roman"/>
                <w:sz w:val="24"/>
                <w:szCs w:val="24"/>
              </w:rPr>
            </w:pPr>
            <w:r>
              <w:rPr>
                <w:rFonts w:ascii="Times New Roman" w:hAnsi="Times New Roman"/>
                <w:sz w:val="24"/>
                <w:szCs w:val="24"/>
              </w:rPr>
              <w:t>项目所在地环境空气功能区划类别为二类区，拟建项目周围环境空气常规因子执行《环境空气质量标准》（GB3095-2012）中的二级标准。其标准值详见下表。</w:t>
            </w:r>
          </w:p>
          <w:p>
            <w:pPr>
              <w:adjustRightInd w:val="0"/>
              <w:snapToGrid w:val="0"/>
              <w:spacing w:line="360" w:lineRule="auto"/>
              <w:jc w:val="center"/>
              <w:rPr>
                <w:rFonts w:ascii="Times New Roman" w:hAnsi="Times New Roman"/>
                <w:b/>
                <w:sz w:val="24"/>
                <w:szCs w:val="24"/>
              </w:rPr>
            </w:pPr>
            <w:r>
              <w:rPr>
                <w:rFonts w:ascii="Times New Roman" w:hAnsi="Times New Roman"/>
                <w:b/>
                <w:sz w:val="24"/>
                <w:szCs w:val="24"/>
              </w:rPr>
              <w:t>表4-1  环境空气质量标准</w:t>
            </w:r>
          </w:p>
          <w:tbl>
            <w:tblPr>
              <w:tblStyle w:val="32"/>
              <w:tblW w:w="8277" w:type="dxa"/>
              <w:jc w:val="center"/>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2042"/>
              <w:gridCol w:w="1905"/>
              <w:gridCol w:w="3003"/>
            </w:tblGrid>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Align w:val="center"/>
                </w:tcPr>
                <w:p>
                  <w:pPr>
                    <w:jc w:val="center"/>
                    <w:rPr>
                      <w:rFonts w:ascii="Times New Roman" w:hAnsi="Times New Roman"/>
                      <w:b/>
                      <w:bCs/>
                      <w:kern w:val="0"/>
                      <w:szCs w:val="21"/>
                    </w:rPr>
                  </w:pPr>
                  <w:r>
                    <w:rPr>
                      <w:rFonts w:ascii="Times New Roman" w:hAnsi="Times New Roman"/>
                      <w:b/>
                      <w:bCs/>
                      <w:kern w:val="0"/>
                      <w:szCs w:val="21"/>
                    </w:rPr>
                    <w:t>评价因子</w:t>
                  </w:r>
                </w:p>
              </w:tc>
              <w:tc>
                <w:tcPr>
                  <w:tcW w:w="2042" w:type="dxa"/>
                  <w:vAlign w:val="center"/>
                </w:tcPr>
                <w:p>
                  <w:pPr>
                    <w:jc w:val="center"/>
                    <w:rPr>
                      <w:rFonts w:ascii="Times New Roman" w:hAnsi="Times New Roman"/>
                      <w:b/>
                      <w:bCs/>
                      <w:kern w:val="0"/>
                      <w:szCs w:val="21"/>
                    </w:rPr>
                  </w:pPr>
                  <w:r>
                    <w:rPr>
                      <w:rFonts w:ascii="Times New Roman" w:hAnsi="Times New Roman"/>
                      <w:b/>
                      <w:bCs/>
                      <w:kern w:val="0"/>
                      <w:szCs w:val="21"/>
                    </w:rPr>
                    <w:t>平均时段</w:t>
                  </w:r>
                </w:p>
              </w:tc>
              <w:tc>
                <w:tcPr>
                  <w:tcW w:w="1905" w:type="dxa"/>
                  <w:vAlign w:val="center"/>
                </w:tcPr>
                <w:p>
                  <w:pPr>
                    <w:jc w:val="center"/>
                    <w:rPr>
                      <w:rFonts w:ascii="Times New Roman" w:hAnsi="Times New Roman"/>
                      <w:b/>
                      <w:bCs/>
                      <w:kern w:val="0"/>
                      <w:szCs w:val="21"/>
                    </w:rPr>
                  </w:pPr>
                  <w:r>
                    <w:rPr>
                      <w:rFonts w:ascii="Times New Roman" w:hAnsi="Times New Roman"/>
                      <w:b/>
                      <w:bCs/>
                      <w:kern w:val="0"/>
                      <w:szCs w:val="21"/>
                    </w:rPr>
                    <w:t>标准值（</w:t>
                  </w:r>
                  <w:r>
                    <w:rPr>
                      <w:rFonts w:ascii="Times New Roman" w:hAnsi="Times New Roman"/>
                      <w:b/>
                      <w:kern w:val="0"/>
                      <w:szCs w:val="21"/>
                    </w:rPr>
                    <w:t>ug/m</w:t>
                  </w:r>
                  <w:r>
                    <w:rPr>
                      <w:rFonts w:ascii="Times New Roman" w:hAnsi="Times New Roman"/>
                      <w:b/>
                      <w:kern w:val="0"/>
                      <w:szCs w:val="21"/>
                      <w:vertAlign w:val="superscript"/>
                    </w:rPr>
                    <w:t>3</w:t>
                  </w:r>
                  <w:r>
                    <w:rPr>
                      <w:rFonts w:ascii="Times New Roman" w:hAnsi="Times New Roman"/>
                      <w:b/>
                      <w:bCs/>
                      <w:kern w:val="0"/>
                      <w:szCs w:val="21"/>
                    </w:rPr>
                    <w:t>）</w:t>
                  </w:r>
                </w:p>
              </w:tc>
              <w:tc>
                <w:tcPr>
                  <w:tcW w:w="3003" w:type="dxa"/>
                  <w:vAlign w:val="center"/>
                </w:tcPr>
                <w:p>
                  <w:pPr>
                    <w:jc w:val="center"/>
                    <w:rPr>
                      <w:rFonts w:ascii="Times New Roman" w:hAnsi="Times New Roman"/>
                      <w:b/>
                      <w:bCs/>
                      <w:kern w:val="0"/>
                      <w:szCs w:val="21"/>
                    </w:rPr>
                  </w:pPr>
                  <w:r>
                    <w:rPr>
                      <w:rFonts w:ascii="Times New Roman" w:hAnsi="Times New Roman"/>
                      <w:b/>
                      <w:bCs/>
                      <w:kern w:val="0"/>
                      <w:szCs w:val="21"/>
                    </w:rPr>
                    <w:t>标准来源</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vAlign w:val="center"/>
                </w:tcPr>
                <w:p>
                  <w:pPr>
                    <w:jc w:val="center"/>
                    <w:rPr>
                      <w:rFonts w:ascii="Times New Roman" w:hAnsi="Times New Roman"/>
                      <w:bCs/>
                      <w:kern w:val="0"/>
                      <w:szCs w:val="21"/>
                    </w:rPr>
                  </w:pPr>
                  <w:r>
                    <w:rPr>
                      <w:rFonts w:ascii="Times New Roman" w:hAnsi="Times New Roman"/>
                      <w:bCs/>
                      <w:kern w:val="0"/>
                      <w:szCs w:val="21"/>
                    </w:rPr>
                    <w:t>SO</w:t>
                  </w:r>
                  <w:r>
                    <w:rPr>
                      <w:rFonts w:ascii="Times New Roman" w:hAnsi="Times New Roman"/>
                      <w:bCs/>
                      <w:kern w:val="0"/>
                      <w:szCs w:val="21"/>
                      <w:vertAlign w:val="subscript"/>
                    </w:rPr>
                    <w:t>2</w:t>
                  </w: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60</w:t>
                  </w:r>
                </w:p>
              </w:tc>
              <w:tc>
                <w:tcPr>
                  <w:tcW w:w="3003" w:type="dxa"/>
                  <w:vMerge w:val="restart"/>
                  <w:vAlign w:val="center"/>
                </w:tcPr>
                <w:p>
                  <w:pPr>
                    <w:jc w:val="center"/>
                    <w:rPr>
                      <w:rFonts w:ascii="Times New Roman" w:hAnsi="Times New Roman"/>
                      <w:bCs/>
                      <w:kern w:val="0"/>
                      <w:szCs w:val="21"/>
                    </w:rPr>
                  </w:pPr>
                  <w:r>
                    <w:rPr>
                      <w:rFonts w:ascii="Times New Roman" w:hAnsi="Times New Roman"/>
                      <w:bCs/>
                      <w:kern w:val="0"/>
                      <w:szCs w:val="21"/>
                    </w:rPr>
                    <w:t>《环境空气质量标准》（GB3095-2012）中二级标准</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150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500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vAlign w:val="center"/>
                </w:tcPr>
                <w:p>
                  <w:pPr>
                    <w:jc w:val="center"/>
                    <w:rPr>
                      <w:rFonts w:ascii="Times New Roman" w:hAnsi="Times New Roman"/>
                      <w:bCs/>
                      <w:kern w:val="0"/>
                      <w:szCs w:val="21"/>
                    </w:rPr>
                  </w:pPr>
                  <w:r>
                    <w:rPr>
                      <w:rFonts w:ascii="Times New Roman" w:hAnsi="Times New Roman"/>
                      <w:bCs/>
                      <w:kern w:val="0"/>
                      <w:szCs w:val="21"/>
                    </w:rPr>
                    <w:t>NO</w:t>
                  </w:r>
                  <w:r>
                    <w:rPr>
                      <w:rFonts w:ascii="Times New Roman" w:hAnsi="Times New Roman"/>
                      <w:bCs/>
                      <w:kern w:val="0"/>
                      <w:szCs w:val="21"/>
                      <w:vertAlign w:val="subscript"/>
                    </w:rPr>
                    <w:t>2</w:t>
                  </w: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40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80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200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vAlign w:val="center"/>
                </w:tcPr>
                <w:p>
                  <w:pPr>
                    <w:jc w:val="center"/>
                    <w:rPr>
                      <w:rFonts w:ascii="Times New Roman" w:hAnsi="Times New Roman"/>
                      <w:bCs/>
                      <w:kern w:val="0"/>
                      <w:szCs w:val="21"/>
                    </w:rPr>
                  </w:pPr>
                  <w:r>
                    <w:rPr>
                      <w:rFonts w:ascii="Times New Roman" w:hAnsi="Times New Roman"/>
                      <w:bCs/>
                      <w:kern w:val="0"/>
                      <w:szCs w:val="21"/>
                    </w:rPr>
                    <w:t>CO</w:t>
                  </w: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4000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2000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vAlign w:val="center"/>
                </w:tcPr>
                <w:p>
                  <w:pPr>
                    <w:jc w:val="center"/>
                    <w:rPr>
                      <w:rFonts w:ascii="Times New Roman" w:hAnsi="Times New Roman"/>
                      <w:bCs/>
                      <w:kern w:val="0"/>
                      <w:szCs w:val="21"/>
                    </w:rPr>
                  </w:pPr>
                  <w:r>
                    <w:rPr>
                      <w:rFonts w:ascii="Times New Roman" w:hAnsi="Times New Roman"/>
                      <w:bCs/>
                      <w:kern w:val="0"/>
                      <w:szCs w:val="21"/>
                    </w:rPr>
                    <w:t>O</w:t>
                  </w:r>
                  <w:r>
                    <w:rPr>
                      <w:rFonts w:ascii="Times New Roman" w:hAnsi="Times New Roman"/>
                      <w:bCs/>
                      <w:kern w:val="0"/>
                      <w:szCs w:val="21"/>
                      <w:vertAlign w:val="subscript"/>
                    </w:rPr>
                    <w:t>3</w:t>
                  </w: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日最大8小时平均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160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200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vAlign w:val="center"/>
                </w:tcPr>
                <w:p>
                  <w:pPr>
                    <w:jc w:val="center"/>
                    <w:rPr>
                      <w:rFonts w:ascii="Times New Roman" w:hAnsi="Times New Roman"/>
                      <w:bCs/>
                      <w:kern w:val="0"/>
                      <w:szCs w:val="21"/>
                    </w:rPr>
                  </w:pPr>
                  <w:r>
                    <w:rPr>
                      <w:rFonts w:ascii="Times New Roman" w:hAnsi="Times New Roman"/>
                      <w:bCs/>
                      <w:kern w:val="0"/>
                      <w:szCs w:val="21"/>
                    </w:rPr>
                    <w:t>PM</w:t>
                  </w:r>
                  <w:r>
                    <w:rPr>
                      <w:rFonts w:ascii="Times New Roman" w:hAnsi="Times New Roman"/>
                      <w:bCs/>
                      <w:kern w:val="0"/>
                      <w:szCs w:val="21"/>
                      <w:vertAlign w:val="subscript"/>
                    </w:rPr>
                    <w:t>10</w:t>
                  </w: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70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150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vAlign w:val="center"/>
                </w:tcPr>
                <w:p>
                  <w:pPr>
                    <w:jc w:val="center"/>
                    <w:rPr>
                      <w:rFonts w:ascii="Times New Roman" w:hAnsi="Times New Roman"/>
                      <w:bCs/>
                      <w:kern w:val="0"/>
                      <w:szCs w:val="21"/>
                    </w:rPr>
                  </w:pPr>
                  <w:r>
                    <w:rPr>
                      <w:rFonts w:ascii="Times New Roman" w:hAnsi="Times New Roman"/>
                      <w:bCs/>
                      <w:kern w:val="0"/>
                      <w:szCs w:val="21"/>
                    </w:rPr>
                    <w:t>TSP</w:t>
                  </w: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200</w:t>
                  </w:r>
                </w:p>
              </w:tc>
              <w:tc>
                <w:tcPr>
                  <w:tcW w:w="3003" w:type="dxa"/>
                  <w:vMerge w:val="continue"/>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vAlign w:val="center"/>
                </w:tcPr>
                <w:p>
                  <w:pPr>
                    <w:jc w:val="center"/>
                    <w:rPr>
                      <w:rFonts w:ascii="Times New Roman" w:hAnsi="Times New Roman"/>
                      <w:bCs/>
                      <w:kern w:val="0"/>
                      <w:szCs w:val="21"/>
                    </w:rPr>
                  </w:pPr>
                </w:p>
              </w:tc>
              <w:tc>
                <w:tcPr>
                  <w:tcW w:w="2042" w:type="dxa"/>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vAlign w:val="center"/>
                </w:tcPr>
                <w:p>
                  <w:pPr>
                    <w:jc w:val="center"/>
                    <w:rPr>
                      <w:rFonts w:ascii="Times New Roman" w:hAnsi="Times New Roman"/>
                      <w:bCs/>
                      <w:kern w:val="0"/>
                      <w:szCs w:val="21"/>
                    </w:rPr>
                  </w:pPr>
                  <w:r>
                    <w:rPr>
                      <w:rFonts w:ascii="Times New Roman" w:hAnsi="Times New Roman"/>
                      <w:bCs/>
                      <w:kern w:val="0"/>
                      <w:szCs w:val="21"/>
                    </w:rPr>
                    <w:t>300</w:t>
                  </w:r>
                </w:p>
              </w:tc>
              <w:tc>
                <w:tcPr>
                  <w:tcW w:w="3003" w:type="dxa"/>
                  <w:vMerge w:val="continue"/>
                  <w:vAlign w:val="center"/>
                </w:tcPr>
                <w:p>
                  <w:pPr>
                    <w:jc w:val="center"/>
                    <w:rPr>
                      <w:rFonts w:ascii="Times New Roman" w:hAnsi="Times New Roman"/>
                      <w:bCs/>
                      <w:kern w:val="0"/>
                      <w:szCs w:val="21"/>
                    </w:rPr>
                  </w:pP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2、地表水</w:t>
            </w:r>
          </w:p>
          <w:p>
            <w:pPr>
              <w:spacing w:line="360" w:lineRule="auto"/>
              <w:ind w:firstLine="480" w:firstLineChars="200"/>
              <w:rPr>
                <w:rFonts w:ascii="Times New Roman" w:hAnsi="Times New Roman"/>
                <w:sz w:val="24"/>
                <w:szCs w:val="24"/>
              </w:rPr>
            </w:pPr>
            <w:r>
              <w:rPr>
                <w:rFonts w:ascii="Times New Roman" w:hAnsi="Times New Roman"/>
                <w:sz w:val="24"/>
                <w:szCs w:val="24"/>
              </w:rPr>
              <w:t>根据区域地表水环境功能区划，项目所在区域地表水长江</w:t>
            </w:r>
            <w:r>
              <w:rPr>
                <w:rFonts w:hint="eastAsia"/>
                <w:sz w:val="24"/>
                <w:szCs w:val="24"/>
                <w:lang w:eastAsia="zh-CN"/>
              </w:rPr>
              <w:t>（</w:t>
            </w:r>
            <w:r>
              <w:rPr>
                <w:rFonts w:hint="eastAsia"/>
                <w:sz w:val="24"/>
                <w:szCs w:val="24"/>
                <w:lang w:val="en-US" w:eastAsia="zh-CN"/>
              </w:rPr>
              <w:t>芜湖段</w:t>
            </w:r>
            <w:r>
              <w:rPr>
                <w:rFonts w:hint="eastAsia"/>
                <w:sz w:val="24"/>
                <w:szCs w:val="24"/>
                <w:lang w:eastAsia="zh-CN"/>
              </w:rPr>
              <w:t>）</w:t>
            </w:r>
            <w:r>
              <w:rPr>
                <w:rFonts w:ascii="Times New Roman" w:hAnsi="Times New Roman"/>
                <w:sz w:val="24"/>
                <w:szCs w:val="24"/>
              </w:rPr>
              <w:t>执行国家《地表水环境质量标准》（GB3838-2002）中Ⅲ类水域标准，标准值如下表：</w:t>
            </w:r>
          </w:p>
          <w:p>
            <w:pPr>
              <w:spacing w:line="360" w:lineRule="auto"/>
              <w:jc w:val="center"/>
              <w:rPr>
                <w:rFonts w:ascii="Times New Roman" w:hAnsi="Times New Roman"/>
                <w:b/>
                <w:bCs/>
                <w:sz w:val="24"/>
                <w:szCs w:val="24"/>
              </w:rPr>
            </w:pPr>
            <w:bookmarkStart w:id="1" w:name="_Hlk507534725"/>
            <w:r>
              <w:rPr>
                <w:rFonts w:ascii="Times New Roman" w:hAnsi="Times New Roman"/>
                <w:b/>
                <w:bCs/>
                <w:sz w:val="24"/>
                <w:szCs w:val="24"/>
              </w:rPr>
              <w:t>表4-2地表水环境质量标准   单位：mg/L，pH除外</w:t>
            </w:r>
          </w:p>
          <w:tbl>
            <w:tblPr>
              <w:tblStyle w:val="3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33"/>
              <w:gridCol w:w="2293"/>
              <w:gridCol w:w="3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2433" w:type="dxa"/>
                  <w:vAlign w:val="center"/>
                </w:tcPr>
                <w:p>
                  <w:pPr>
                    <w:spacing w:line="240" w:lineRule="atLeast"/>
                    <w:jc w:val="center"/>
                    <w:rPr>
                      <w:rFonts w:ascii="Times New Roman" w:hAnsi="Times New Roman"/>
                    </w:rPr>
                  </w:pPr>
                  <w:r>
                    <w:rPr>
                      <w:rFonts w:ascii="Times New Roman" w:hAnsi="Times New Roman"/>
                    </w:rPr>
                    <w:t>指  标</w:t>
                  </w:r>
                </w:p>
              </w:tc>
              <w:tc>
                <w:tcPr>
                  <w:tcW w:w="2293" w:type="dxa"/>
                  <w:tcBorders>
                    <w:right w:val="single" w:color="auto" w:sz="4" w:space="0"/>
                  </w:tcBorders>
                  <w:vAlign w:val="center"/>
                </w:tcPr>
                <w:p>
                  <w:pPr>
                    <w:spacing w:line="240" w:lineRule="atLeast"/>
                    <w:jc w:val="center"/>
                    <w:rPr>
                      <w:rFonts w:ascii="Times New Roman" w:hAnsi="Times New Roman"/>
                    </w:rPr>
                  </w:pPr>
                  <w:r>
                    <w:rPr>
                      <w:rFonts w:ascii="Times New Roman" w:hAnsi="Times New Roman"/>
                    </w:rPr>
                    <w:t>Ⅲ类标准值</w:t>
                  </w:r>
                </w:p>
              </w:tc>
              <w:tc>
                <w:tcPr>
                  <w:tcW w:w="3551" w:type="dxa"/>
                  <w:vAlign w:val="center"/>
                </w:tcPr>
                <w:p>
                  <w:pPr>
                    <w:spacing w:line="360" w:lineRule="auto"/>
                    <w:jc w:val="center"/>
                    <w:rPr>
                      <w:rFonts w:ascii="Times New Roman" w:hAnsi="Times New Roman"/>
                    </w:rPr>
                  </w:pPr>
                  <w:r>
                    <w:rPr>
                      <w:rFonts w:ascii="Times New Roman" w:hAnsi="Times New Roman"/>
                    </w:rPr>
                    <w:t>依  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rPr>
                  </w:pPr>
                  <w:r>
                    <w:rPr>
                      <w:rFonts w:ascii="Times New Roman" w:hAnsi="Times New Roman"/>
                    </w:rPr>
                    <w:t>pH</w:t>
                  </w:r>
                </w:p>
              </w:tc>
              <w:tc>
                <w:tcPr>
                  <w:tcW w:w="2293" w:type="dxa"/>
                  <w:tcBorders>
                    <w:right w:val="single" w:color="auto" w:sz="4" w:space="0"/>
                  </w:tcBorders>
                  <w:vAlign w:val="center"/>
                </w:tcPr>
                <w:p>
                  <w:pPr>
                    <w:spacing w:line="240" w:lineRule="atLeast"/>
                    <w:jc w:val="center"/>
                    <w:rPr>
                      <w:rFonts w:ascii="Times New Roman" w:hAnsi="Times New Roman"/>
                    </w:rPr>
                  </w:pPr>
                  <w:r>
                    <w:rPr>
                      <w:rFonts w:ascii="Times New Roman" w:hAnsi="Times New Roman"/>
                    </w:rPr>
                    <w:t>6～9</w:t>
                  </w:r>
                </w:p>
              </w:tc>
              <w:tc>
                <w:tcPr>
                  <w:tcW w:w="3551" w:type="dxa"/>
                  <w:vMerge w:val="restart"/>
                  <w:vAlign w:val="center"/>
                </w:tcPr>
                <w:p>
                  <w:pPr>
                    <w:spacing w:line="240" w:lineRule="atLeast"/>
                    <w:jc w:val="center"/>
                    <w:rPr>
                      <w:rFonts w:ascii="Times New Roman" w:hAnsi="Times New Roman"/>
                    </w:rPr>
                  </w:pPr>
                  <w:r>
                    <w:rPr>
                      <w:rFonts w:ascii="Times New Roman" w:hAnsi="Times New Roman"/>
                    </w:rPr>
                    <w:t>《地表水环境质量标准》（GB3838-2002）中的Ⅲ类水域标准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rPr>
                  </w:pPr>
                  <w:r>
                    <w:rPr>
                      <w:rFonts w:ascii="Times New Roman" w:hAnsi="Times New Roman"/>
                    </w:rPr>
                    <w:t>CODcr</w:t>
                  </w:r>
                </w:p>
              </w:tc>
              <w:tc>
                <w:tcPr>
                  <w:tcW w:w="2293" w:type="dxa"/>
                  <w:tcBorders>
                    <w:right w:val="single" w:color="auto" w:sz="4" w:space="0"/>
                  </w:tcBorders>
                  <w:vAlign w:val="center"/>
                </w:tcPr>
                <w:p>
                  <w:pPr>
                    <w:spacing w:line="240" w:lineRule="atLeast"/>
                    <w:jc w:val="center"/>
                    <w:rPr>
                      <w:rFonts w:ascii="Times New Roman" w:hAnsi="Times New Roman"/>
                    </w:rPr>
                  </w:pPr>
                  <w:r>
                    <w:rPr>
                      <w:rFonts w:ascii="Times New Roman" w:hAnsi="Times New Roman"/>
                    </w:rPr>
                    <w:t>≤20</w:t>
                  </w:r>
                </w:p>
              </w:tc>
              <w:tc>
                <w:tcPr>
                  <w:tcW w:w="3551" w:type="dxa"/>
                  <w:vMerge w:val="continue"/>
                  <w:vAlign w:val="center"/>
                </w:tcPr>
                <w:p>
                  <w:pPr>
                    <w:spacing w:line="360" w:lineRule="auto"/>
                    <w:rPr>
                      <w:rFonts w:ascii="Times New Roman" w:hAns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rPr>
                  </w:pPr>
                  <w:r>
                    <w:rPr>
                      <w:rFonts w:ascii="Times New Roman" w:hAnsi="Times New Roman"/>
                    </w:rPr>
                    <w:t>氨氮</w:t>
                  </w:r>
                </w:p>
              </w:tc>
              <w:tc>
                <w:tcPr>
                  <w:tcW w:w="2293" w:type="dxa"/>
                  <w:tcBorders>
                    <w:right w:val="single" w:color="auto" w:sz="4" w:space="0"/>
                  </w:tcBorders>
                  <w:vAlign w:val="center"/>
                </w:tcPr>
                <w:p>
                  <w:pPr>
                    <w:spacing w:line="240" w:lineRule="atLeast"/>
                    <w:jc w:val="center"/>
                    <w:rPr>
                      <w:rFonts w:ascii="Times New Roman" w:hAnsi="Times New Roman"/>
                    </w:rPr>
                  </w:pPr>
                  <w:r>
                    <w:rPr>
                      <w:rFonts w:ascii="Times New Roman" w:hAnsi="Times New Roman"/>
                    </w:rPr>
                    <w:t>≤1.0</w:t>
                  </w:r>
                </w:p>
              </w:tc>
              <w:tc>
                <w:tcPr>
                  <w:tcW w:w="3551" w:type="dxa"/>
                  <w:vMerge w:val="continue"/>
                  <w:vAlign w:val="center"/>
                </w:tcPr>
                <w:p>
                  <w:pPr>
                    <w:spacing w:line="360" w:lineRule="auto"/>
                    <w:rPr>
                      <w:rFonts w:ascii="Times New Roman" w:hAns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rPr>
                  </w:pPr>
                  <w:r>
                    <w:rPr>
                      <w:rFonts w:ascii="Times New Roman" w:hAnsi="Times New Roman"/>
                    </w:rPr>
                    <w:t>BOD</w:t>
                  </w:r>
                  <w:r>
                    <w:rPr>
                      <w:rFonts w:ascii="Times New Roman" w:hAnsi="Times New Roman"/>
                      <w:vertAlign w:val="subscript"/>
                    </w:rPr>
                    <w:t>5</w:t>
                  </w:r>
                </w:p>
              </w:tc>
              <w:tc>
                <w:tcPr>
                  <w:tcW w:w="2293" w:type="dxa"/>
                  <w:tcBorders>
                    <w:right w:val="single" w:color="auto" w:sz="4" w:space="0"/>
                  </w:tcBorders>
                  <w:vAlign w:val="center"/>
                </w:tcPr>
                <w:p>
                  <w:pPr>
                    <w:spacing w:line="240" w:lineRule="atLeast"/>
                    <w:jc w:val="center"/>
                    <w:rPr>
                      <w:rFonts w:ascii="Times New Roman" w:hAnsi="Times New Roman"/>
                    </w:rPr>
                  </w:pPr>
                  <w:r>
                    <w:rPr>
                      <w:rFonts w:ascii="Times New Roman" w:hAnsi="Times New Roman"/>
                    </w:rPr>
                    <w:t>≤4.0</w:t>
                  </w:r>
                </w:p>
              </w:tc>
              <w:tc>
                <w:tcPr>
                  <w:tcW w:w="3551" w:type="dxa"/>
                  <w:vMerge w:val="continue"/>
                  <w:vAlign w:val="center"/>
                </w:tcPr>
                <w:p>
                  <w:pPr>
                    <w:spacing w:line="360" w:lineRule="auto"/>
                    <w:rPr>
                      <w:rFonts w:ascii="Times New Roman" w:hAnsi="Times New Roman"/>
                    </w:rPr>
                  </w:pP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3、声环境</w:t>
            </w:r>
          </w:p>
          <w:bookmarkEnd w:id="1"/>
          <w:p>
            <w:pPr>
              <w:spacing w:line="360" w:lineRule="auto"/>
              <w:ind w:firstLine="480" w:firstLineChars="200"/>
              <w:rPr>
                <w:rFonts w:ascii="Times New Roman" w:hAnsi="Times New Roman"/>
                <w:sz w:val="24"/>
                <w:szCs w:val="24"/>
              </w:rPr>
            </w:pPr>
            <w:r>
              <w:rPr>
                <w:rFonts w:ascii="Times New Roman" w:hAnsi="Times New Roman"/>
                <w:sz w:val="24"/>
                <w:szCs w:val="24"/>
              </w:rPr>
              <w:t>根据区域声环境功能区划，项目区所在声环境执行</w:t>
            </w:r>
            <w:bookmarkStart w:id="2" w:name="OLE_LINK3"/>
            <w:bookmarkStart w:id="3" w:name="OLE_LINK1"/>
            <w:r>
              <w:rPr>
                <w:rFonts w:ascii="Times New Roman" w:hAnsi="Times New Roman"/>
                <w:sz w:val="24"/>
                <w:szCs w:val="24"/>
              </w:rPr>
              <w:t>《声环境质量标准》（GB3096-2008）中</w:t>
            </w:r>
            <w:r>
              <w:rPr>
                <w:rFonts w:hint="eastAsia" w:ascii="Times New Roman" w:hAnsi="Times New Roman"/>
                <w:sz w:val="24"/>
                <w:szCs w:val="24"/>
              </w:rPr>
              <w:t>3类</w:t>
            </w:r>
            <w:r>
              <w:rPr>
                <w:rFonts w:ascii="Times New Roman" w:hAnsi="Times New Roman"/>
                <w:sz w:val="24"/>
                <w:szCs w:val="24"/>
              </w:rPr>
              <w:t>区标准</w:t>
            </w:r>
            <w:bookmarkEnd w:id="2"/>
            <w:bookmarkEnd w:id="3"/>
            <w:r>
              <w:rPr>
                <w:rFonts w:ascii="Times New Roman" w:hAnsi="Times New Roman"/>
                <w:sz w:val="24"/>
                <w:szCs w:val="24"/>
              </w:rPr>
              <w:t>。</w:t>
            </w:r>
          </w:p>
          <w:p>
            <w:pPr>
              <w:spacing w:line="360" w:lineRule="auto"/>
              <w:jc w:val="center"/>
              <w:rPr>
                <w:rFonts w:ascii="Times New Roman" w:hAnsi="Times New Roman"/>
                <w:b/>
                <w:bCs/>
                <w:sz w:val="24"/>
                <w:szCs w:val="24"/>
              </w:rPr>
            </w:pPr>
            <w:r>
              <w:rPr>
                <w:rFonts w:ascii="Times New Roman" w:hAnsi="Times New Roman"/>
                <w:b/>
                <w:bCs/>
                <w:sz w:val="24"/>
                <w:szCs w:val="24"/>
              </w:rPr>
              <w:t>表4-3  声环境质量标准    单位：dB（A）</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316"/>
              <w:gridCol w:w="1452"/>
              <w:gridCol w:w="3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restart"/>
                  <w:vAlign w:val="center"/>
                </w:tcPr>
                <w:p>
                  <w:pPr>
                    <w:adjustRightInd w:val="0"/>
                    <w:snapToGrid w:val="0"/>
                    <w:jc w:val="center"/>
                    <w:rPr>
                      <w:rFonts w:ascii="Times New Roman" w:hAnsi="Times New Roman"/>
                    </w:rPr>
                  </w:pPr>
                  <w:r>
                    <w:rPr>
                      <w:rFonts w:ascii="Times New Roman" w:hAnsi="Times New Roman"/>
                    </w:rPr>
                    <w:t>标准级（类）别</w:t>
                  </w:r>
                </w:p>
              </w:tc>
              <w:tc>
                <w:tcPr>
                  <w:tcW w:w="2768" w:type="dxa"/>
                  <w:gridSpan w:val="2"/>
                  <w:vAlign w:val="center"/>
                </w:tcPr>
                <w:p>
                  <w:pPr>
                    <w:adjustRightInd w:val="0"/>
                    <w:snapToGrid w:val="0"/>
                    <w:ind w:firstLine="128"/>
                    <w:jc w:val="center"/>
                    <w:rPr>
                      <w:rFonts w:ascii="Times New Roman" w:hAnsi="Times New Roman"/>
                    </w:rPr>
                  </w:pPr>
                  <w:r>
                    <w:rPr>
                      <w:rFonts w:ascii="Times New Roman" w:hAnsi="Times New Roman"/>
                    </w:rPr>
                    <w:t>标准限值</w:t>
                  </w:r>
                </w:p>
              </w:tc>
              <w:tc>
                <w:tcPr>
                  <w:tcW w:w="3770" w:type="dxa"/>
                  <w:vMerge w:val="restart"/>
                  <w:vAlign w:val="center"/>
                </w:tcPr>
                <w:p>
                  <w:pPr>
                    <w:adjustRightInd w:val="0"/>
                    <w:snapToGrid w:val="0"/>
                    <w:jc w:val="center"/>
                    <w:rPr>
                      <w:rFonts w:ascii="Times New Roman" w:hAnsi="Times New Roman"/>
                    </w:rPr>
                  </w:pPr>
                  <w:r>
                    <w:rPr>
                      <w:rFonts w:ascii="Times New Roman" w:hAnsi="Times New Roma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continue"/>
                  <w:vAlign w:val="center"/>
                </w:tcPr>
                <w:p>
                  <w:pPr>
                    <w:adjustRightInd w:val="0"/>
                    <w:snapToGrid w:val="0"/>
                    <w:jc w:val="center"/>
                    <w:rPr>
                      <w:rFonts w:ascii="Times New Roman" w:hAnsi="Times New Roman"/>
                    </w:rPr>
                  </w:pPr>
                </w:p>
              </w:tc>
              <w:tc>
                <w:tcPr>
                  <w:tcW w:w="1316" w:type="dxa"/>
                  <w:vAlign w:val="center"/>
                </w:tcPr>
                <w:p>
                  <w:pPr>
                    <w:adjustRightInd w:val="0"/>
                    <w:snapToGrid w:val="0"/>
                    <w:ind w:firstLine="128"/>
                    <w:jc w:val="center"/>
                    <w:rPr>
                      <w:rFonts w:ascii="Times New Roman" w:hAnsi="Times New Roman"/>
                    </w:rPr>
                  </w:pPr>
                  <w:r>
                    <w:rPr>
                      <w:rFonts w:ascii="Times New Roman" w:hAnsi="Times New Roman"/>
                    </w:rPr>
                    <w:t>昼间</w:t>
                  </w:r>
                </w:p>
              </w:tc>
              <w:tc>
                <w:tcPr>
                  <w:tcW w:w="1452" w:type="dxa"/>
                  <w:vAlign w:val="center"/>
                </w:tcPr>
                <w:p>
                  <w:pPr>
                    <w:adjustRightInd w:val="0"/>
                    <w:snapToGrid w:val="0"/>
                    <w:ind w:firstLine="128"/>
                    <w:jc w:val="center"/>
                    <w:rPr>
                      <w:rFonts w:ascii="Times New Roman" w:hAnsi="Times New Roman"/>
                    </w:rPr>
                  </w:pPr>
                  <w:r>
                    <w:rPr>
                      <w:rFonts w:ascii="Times New Roman" w:hAnsi="Times New Roman"/>
                    </w:rPr>
                    <w:t>夜间</w:t>
                  </w:r>
                </w:p>
              </w:tc>
              <w:tc>
                <w:tcPr>
                  <w:tcW w:w="3770" w:type="dxa"/>
                  <w:vMerge w:val="continue"/>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Align w:val="center"/>
                </w:tcPr>
                <w:p>
                  <w:pPr>
                    <w:adjustRightInd w:val="0"/>
                    <w:snapToGrid w:val="0"/>
                    <w:jc w:val="center"/>
                    <w:rPr>
                      <w:rFonts w:ascii="Times New Roman" w:hAnsi="Times New Roman"/>
                    </w:rPr>
                  </w:pPr>
                  <w:r>
                    <w:rPr>
                      <w:rFonts w:hint="eastAsia" w:ascii="Times New Roman" w:hAnsi="Times New Roman"/>
                    </w:rPr>
                    <w:t>3类</w:t>
                  </w:r>
                  <w:r>
                    <w:rPr>
                      <w:rFonts w:ascii="Times New Roman" w:hAnsi="Times New Roman"/>
                    </w:rPr>
                    <w:t>区</w:t>
                  </w:r>
                </w:p>
              </w:tc>
              <w:tc>
                <w:tcPr>
                  <w:tcW w:w="1316" w:type="dxa"/>
                  <w:vAlign w:val="center"/>
                </w:tcPr>
                <w:p>
                  <w:pPr>
                    <w:adjustRightInd w:val="0"/>
                    <w:snapToGrid w:val="0"/>
                    <w:jc w:val="center"/>
                    <w:rPr>
                      <w:rFonts w:ascii="Times New Roman" w:hAnsi="Times New Roman"/>
                    </w:rPr>
                  </w:pPr>
                  <w:r>
                    <w:rPr>
                      <w:rFonts w:ascii="Times New Roman" w:hAnsi="Times New Roman"/>
                    </w:rPr>
                    <w:t>6</w:t>
                  </w:r>
                  <w:r>
                    <w:rPr>
                      <w:rFonts w:hint="eastAsia" w:ascii="Times New Roman" w:hAnsi="Times New Roman"/>
                    </w:rPr>
                    <w:t>5</w:t>
                  </w:r>
                </w:p>
              </w:tc>
              <w:tc>
                <w:tcPr>
                  <w:tcW w:w="1452" w:type="dxa"/>
                  <w:vAlign w:val="center"/>
                </w:tcPr>
                <w:p>
                  <w:pPr>
                    <w:adjustRightInd w:val="0"/>
                    <w:snapToGrid w:val="0"/>
                    <w:jc w:val="center"/>
                    <w:rPr>
                      <w:rFonts w:ascii="Times New Roman" w:hAnsi="Times New Roman"/>
                    </w:rPr>
                  </w:pPr>
                  <w:r>
                    <w:rPr>
                      <w:rFonts w:ascii="Times New Roman" w:hAnsi="Times New Roman"/>
                    </w:rPr>
                    <w:t>5</w:t>
                  </w:r>
                  <w:r>
                    <w:rPr>
                      <w:rFonts w:hint="eastAsia" w:ascii="Times New Roman" w:hAnsi="Times New Roman"/>
                    </w:rPr>
                    <w:t>5</w:t>
                  </w:r>
                </w:p>
              </w:tc>
              <w:tc>
                <w:tcPr>
                  <w:tcW w:w="3770" w:type="dxa"/>
                  <w:vAlign w:val="center"/>
                </w:tcPr>
                <w:p>
                  <w:pPr>
                    <w:adjustRightInd w:val="0"/>
                    <w:snapToGrid w:val="0"/>
                    <w:jc w:val="center"/>
                    <w:rPr>
                      <w:rFonts w:ascii="Times New Roman" w:hAnsi="Times New Roman"/>
                    </w:rPr>
                  </w:pPr>
                  <w:r>
                    <w:rPr>
                      <w:rFonts w:ascii="Times New Roman" w:hAnsi="Times New Roman"/>
                    </w:rPr>
                    <w:t>《声环境质量标准》（GB3096-2008）</w:t>
                  </w:r>
                </w:p>
              </w:tc>
            </w:tr>
          </w:tbl>
          <w:p>
            <w:pPr>
              <w:rPr>
                <w:rFonts w:ascii="Times New Roman" w:hAnsi="Times New Roman"/>
              </w:rPr>
            </w:pPr>
          </w:p>
          <w:p>
            <w:pPr>
              <w:pStyle w:val="27"/>
              <w:spacing w:line="360" w:lineRule="auto"/>
              <w:ind w:leftChars="0" w:firstLine="0" w:firstLineChars="0"/>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5"/>
              <w:ind w:firstLine="0" w:firstLineChars="0"/>
              <w:rPr>
                <w:rFonts w:ascii="Times New Roman" w:hAnsi="Times New Roman"/>
                <w:color w:val="000000"/>
                <w:sz w:val="18"/>
                <w:szCs w:val="18"/>
                <w:highlight w:val="yellow"/>
              </w:rPr>
            </w:pP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3" w:hRule="atLeast"/>
          <w:jc w:val="center"/>
        </w:trPr>
        <w:tc>
          <w:tcPr>
            <w:tcW w:w="504" w:type="dxa"/>
            <w:vAlign w:val="center"/>
          </w:tcPr>
          <w:p>
            <w:pPr>
              <w:spacing w:line="360" w:lineRule="auto"/>
              <w:jc w:val="center"/>
              <w:rPr>
                <w:rFonts w:ascii="Times New Roman" w:hAnsi="Times New Roman"/>
                <w:color w:val="000000"/>
                <w:sz w:val="24"/>
                <w:szCs w:val="24"/>
              </w:rPr>
            </w:pPr>
            <w:r>
              <w:rPr>
                <w:rFonts w:ascii="Times New Roman" w:hAnsi="Times New Roman"/>
                <w:color w:val="000000"/>
                <w:sz w:val="24"/>
                <w:szCs w:val="24"/>
              </w:rPr>
              <w:t>污</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染</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物</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排</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放</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标</w:t>
            </w:r>
          </w:p>
          <w:p>
            <w:pPr>
              <w:spacing w:line="360" w:lineRule="auto"/>
              <w:jc w:val="center"/>
              <w:rPr>
                <w:rFonts w:ascii="Times New Roman" w:hAnsi="Times New Roman"/>
                <w:color w:val="000000"/>
                <w:sz w:val="28"/>
                <w:highlight w:val="yellow"/>
              </w:rPr>
            </w:pPr>
            <w:r>
              <w:rPr>
                <w:rFonts w:ascii="Times New Roman" w:hAnsi="Times New Roman"/>
                <w:color w:val="000000"/>
                <w:sz w:val="24"/>
                <w:szCs w:val="24"/>
              </w:rPr>
              <w:t>准</w:t>
            </w:r>
          </w:p>
        </w:tc>
        <w:tc>
          <w:tcPr>
            <w:tcW w:w="8499" w:type="dxa"/>
          </w:tcPr>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1、废气</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施工期扬尘执行颗粒物排放执行《上海市大气污染物综合排放标准》（DB31/933-2015）表3中的无组织排放监控浓度限值。站场厂界无组织污染物非甲烷总烃执行《上海市大气污染物综合排放标准》（DB31/933-2015）表3中的无组织排放监控浓度限值。详见</w:t>
            </w:r>
            <w:r>
              <w:rPr>
                <w:rFonts w:hint="eastAsia" w:ascii="Times New Roman" w:hAnsi="Times New Roman"/>
                <w:sz w:val="24"/>
                <w:szCs w:val="24"/>
                <w:lang w:val="en-US" w:eastAsia="zh-CN"/>
              </w:rPr>
              <w:t>下</w:t>
            </w:r>
            <w:r>
              <w:rPr>
                <w:rFonts w:hint="eastAsia" w:ascii="Times New Roman" w:hAnsi="Times New Roman"/>
                <w:sz w:val="24"/>
                <w:szCs w:val="24"/>
              </w:rPr>
              <w:t>表。</w:t>
            </w:r>
          </w:p>
          <w:p>
            <w:pPr>
              <w:autoSpaceDE w:val="0"/>
              <w:autoSpaceDN w:val="0"/>
              <w:adjustRightInd w:val="0"/>
              <w:spacing w:line="360" w:lineRule="auto"/>
              <w:jc w:val="center"/>
              <w:rPr>
                <w:rFonts w:ascii="Times New Roman" w:hAnsi="Times New Roman"/>
                <w:b/>
                <w:bCs/>
                <w:kern w:val="0"/>
                <w:sz w:val="24"/>
                <w:szCs w:val="24"/>
              </w:rPr>
            </w:pPr>
            <w:r>
              <w:rPr>
                <w:rFonts w:ascii="Times New Roman" w:hAnsi="Times New Roman"/>
                <w:b/>
                <w:bCs/>
                <w:kern w:val="0"/>
                <w:sz w:val="24"/>
                <w:szCs w:val="24"/>
              </w:rPr>
              <w:t>表4-</w:t>
            </w:r>
            <w:r>
              <w:rPr>
                <w:rFonts w:hint="eastAsia" w:ascii="Times New Roman" w:hAnsi="Times New Roman"/>
                <w:b/>
                <w:bCs/>
                <w:kern w:val="0"/>
                <w:sz w:val="24"/>
                <w:szCs w:val="24"/>
              </w:rPr>
              <w:t>4</w:t>
            </w:r>
            <w:r>
              <w:rPr>
                <w:rFonts w:ascii="Times New Roman" w:hAnsi="Times New Roman"/>
                <w:b/>
                <w:bCs/>
                <w:kern w:val="0"/>
                <w:sz w:val="24"/>
                <w:szCs w:val="24"/>
              </w:rPr>
              <w:t xml:space="preserve">  上海市大气污染物综合排放标准</w:t>
            </w:r>
          </w:p>
          <w:tbl>
            <w:tblPr>
              <w:tblStyle w:val="32"/>
              <w:tblW w:w="827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28"/>
              <w:gridCol w:w="2303"/>
              <w:gridCol w:w="30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0" w:hRule="atLeast"/>
                <w:jc w:val="center"/>
              </w:trPr>
              <w:tc>
                <w:tcPr>
                  <w:tcW w:w="2928" w:type="dxa"/>
                  <w:vMerge w:val="restart"/>
                  <w:vAlign w:val="center"/>
                </w:tcPr>
                <w:p>
                  <w:pPr>
                    <w:jc w:val="center"/>
                    <w:rPr>
                      <w:rFonts w:ascii="Times New Roman" w:hAnsi="Times New Roman"/>
                      <w:szCs w:val="21"/>
                    </w:rPr>
                  </w:pPr>
                  <w:r>
                    <w:rPr>
                      <w:rFonts w:ascii="Times New Roman" w:hAnsi="Times New Roman"/>
                      <w:szCs w:val="21"/>
                    </w:rPr>
                    <w:t>指标</w:t>
                  </w:r>
                </w:p>
              </w:tc>
              <w:tc>
                <w:tcPr>
                  <w:tcW w:w="5349" w:type="dxa"/>
                  <w:gridSpan w:val="2"/>
                  <w:vAlign w:val="center"/>
                </w:tcPr>
                <w:p>
                  <w:pPr>
                    <w:widowControl/>
                    <w:jc w:val="center"/>
                    <w:rPr>
                      <w:rFonts w:ascii="Times New Roman" w:hAnsi="Times New Roman"/>
                      <w:szCs w:val="21"/>
                    </w:rPr>
                  </w:pPr>
                  <w:r>
                    <w:rPr>
                      <w:rFonts w:ascii="Times New Roman" w:hAnsi="Times New Roman"/>
                      <w:szCs w:val="21"/>
                    </w:rPr>
                    <w:t>无组织排放监控浓度限值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65" w:hRule="atLeast"/>
                <w:jc w:val="center"/>
              </w:trPr>
              <w:tc>
                <w:tcPr>
                  <w:tcW w:w="2928" w:type="dxa"/>
                  <w:vMerge w:val="continue"/>
                  <w:vAlign w:val="center"/>
                </w:tcPr>
                <w:p>
                  <w:pPr>
                    <w:jc w:val="center"/>
                    <w:rPr>
                      <w:rFonts w:ascii="Times New Roman" w:hAnsi="Times New Roman"/>
                      <w:szCs w:val="21"/>
                    </w:rPr>
                  </w:pPr>
                </w:p>
              </w:tc>
              <w:tc>
                <w:tcPr>
                  <w:tcW w:w="2303" w:type="dxa"/>
                  <w:vAlign w:val="center"/>
                </w:tcPr>
                <w:p>
                  <w:pPr>
                    <w:widowControl/>
                    <w:jc w:val="center"/>
                    <w:rPr>
                      <w:rFonts w:ascii="Times New Roman" w:hAnsi="Times New Roman"/>
                      <w:szCs w:val="21"/>
                    </w:rPr>
                  </w:pPr>
                  <w:r>
                    <w:rPr>
                      <w:rFonts w:ascii="Times New Roman" w:hAnsi="Times New Roman"/>
                      <w:szCs w:val="21"/>
                    </w:rPr>
                    <w:t>监控点</w:t>
                  </w:r>
                </w:p>
              </w:tc>
              <w:tc>
                <w:tcPr>
                  <w:tcW w:w="3046" w:type="dxa"/>
                  <w:vAlign w:val="center"/>
                </w:tcPr>
                <w:p>
                  <w:pPr>
                    <w:widowControl/>
                    <w:jc w:val="center"/>
                    <w:rPr>
                      <w:rFonts w:ascii="Times New Roman" w:hAnsi="Times New Roman"/>
                      <w:szCs w:val="21"/>
                    </w:rPr>
                  </w:pPr>
                  <w:r>
                    <w:rPr>
                      <w:rFonts w:ascii="Times New Roman" w:hAnsi="Times New Roman"/>
                      <w:szCs w:val="21"/>
                    </w:rPr>
                    <w:t>浓度（mg/m</w:t>
                  </w:r>
                  <w:r>
                    <w:rPr>
                      <w:rFonts w:ascii="Times New Roman" w:hAnsi="Times New Roman"/>
                      <w:szCs w:val="21"/>
                      <w:vertAlign w:val="superscript"/>
                    </w:rPr>
                    <w:t>3</w:t>
                  </w:r>
                  <w:r>
                    <w:rPr>
                      <w:rFonts w:ascii="Times New Roman" w:hAnsi="Times New Roman"/>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319" w:hRule="atLeast"/>
                <w:jc w:val="center"/>
              </w:trPr>
              <w:tc>
                <w:tcPr>
                  <w:tcW w:w="2928" w:type="dxa"/>
                  <w:vAlign w:val="center"/>
                </w:tcPr>
                <w:p>
                  <w:pPr>
                    <w:jc w:val="center"/>
                    <w:rPr>
                      <w:rFonts w:ascii="Times New Roman" w:hAnsi="Times New Roman"/>
                      <w:szCs w:val="21"/>
                    </w:rPr>
                  </w:pPr>
                  <w:r>
                    <w:rPr>
                      <w:rFonts w:ascii="Times New Roman" w:hAnsi="Times New Roman"/>
                      <w:szCs w:val="21"/>
                    </w:rPr>
                    <w:t>颗粒物</w:t>
                  </w:r>
                </w:p>
              </w:tc>
              <w:tc>
                <w:tcPr>
                  <w:tcW w:w="2303" w:type="dxa"/>
                  <w:vMerge w:val="restart"/>
                  <w:vAlign w:val="center"/>
                </w:tcPr>
                <w:p>
                  <w:pPr>
                    <w:widowControl/>
                    <w:jc w:val="center"/>
                    <w:rPr>
                      <w:rFonts w:ascii="Times New Roman" w:hAnsi="Times New Roman"/>
                      <w:szCs w:val="21"/>
                    </w:rPr>
                  </w:pPr>
                  <w:r>
                    <w:rPr>
                      <w:rFonts w:ascii="Times New Roman" w:hAnsi="Times New Roman"/>
                      <w:szCs w:val="21"/>
                    </w:rPr>
                    <w:t>周界外浓度最高点</w:t>
                  </w:r>
                </w:p>
              </w:tc>
              <w:tc>
                <w:tcPr>
                  <w:tcW w:w="3046" w:type="dxa"/>
                  <w:vAlign w:val="center"/>
                </w:tcPr>
                <w:p>
                  <w:pPr>
                    <w:widowControl/>
                    <w:jc w:val="center"/>
                    <w:rPr>
                      <w:rFonts w:ascii="Times New Roman" w:hAnsi="Times New Roman"/>
                      <w:szCs w:val="21"/>
                    </w:rPr>
                  </w:pPr>
                  <w:r>
                    <w:rPr>
                      <w:rFonts w:hint="eastAsia" w:ascii="Times New Roman" w:hAnsi="Times New Roman"/>
                      <w:szCs w:val="21"/>
                    </w:rPr>
                    <w:t>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319" w:hRule="atLeast"/>
                <w:jc w:val="center"/>
              </w:trPr>
              <w:tc>
                <w:tcPr>
                  <w:tcW w:w="2928" w:type="dxa"/>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非甲烷总烃</w:t>
                  </w:r>
                </w:p>
              </w:tc>
              <w:tc>
                <w:tcPr>
                  <w:tcW w:w="2303" w:type="dxa"/>
                  <w:vMerge w:val="continue"/>
                  <w:vAlign w:val="center"/>
                </w:tcPr>
                <w:p>
                  <w:pPr>
                    <w:widowControl/>
                    <w:jc w:val="center"/>
                    <w:rPr>
                      <w:rFonts w:ascii="Times New Roman" w:hAnsi="Times New Roman"/>
                      <w:szCs w:val="21"/>
                    </w:rPr>
                  </w:pPr>
                </w:p>
              </w:tc>
              <w:tc>
                <w:tcPr>
                  <w:tcW w:w="3046" w:type="dxa"/>
                  <w:vAlign w:val="center"/>
                </w:tcPr>
                <w:p>
                  <w:pPr>
                    <w:widowControl/>
                    <w:jc w:val="center"/>
                    <w:rPr>
                      <w:rFonts w:hint="default" w:ascii="Times New Roman" w:hAnsi="Times New Roman" w:eastAsia="宋体"/>
                      <w:szCs w:val="21"/>
                      <w:lang w:val="en-US" w:eastAsia="zh-CN"/>
                    </w:rPr>
                  </w:pPr>
                  <w:r>
                    <w:rPr>
                      <w:rFonts w:hint="eastAsia" w:ascii="Times New Roman" w:hAnsi="Times New Roman"/>
                      <w:szCs w:val="21"/>
                      <w:lang w:val="en-US" w:eastAsia="zh-CN"/>
                    </w:rPr>
                    <w:t>4.0</w:t>
                  </w: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2、废水</w:t>
            </w:r>
          </w:p>
          <w:p>
            <w:pPr>
              <w:spacing w:line="360" w:lineRule="auto"/>
              <w:ind w:firstLine="480" w:firstLineChars="200"/>
              <w:rPr>
                <w:rFonts w:hint="default" w:ascii="Times New Roman" w:hAnsi="Times New Roman" w:cs="Times New Roman"/>
                <w:sz w:val="24"/>
                <w:szCs w:val="24"/>
              </w:rPr>
            </w:pPr>
            <w:r>
              <w:rPr>
                <w:rFonts w:hint="eastAsia" w:ascii="Times New Roman" w:hAnsi="Times New Roman"/>
                <w:sz w:val="24"/>
                <w:lang w:val="en-US" w:eastAsia="zh-CN"/>
              </w:rPr>
              <w:t>运营期站场</w:t>
            </w:r>
            <w:r>
              <w:rPr>
                <w:rFonts w:hint="default" w:ascii="Times New Roman" w:hAnsi="Times New Roman" w:cs="Times New Roman"/>
                <w:sz w:val="24"/>
                <w:szCs w:val="24"/>
              </w:rPr>
              <w:t>污水经</w:t>
            </w:r>
            <w:r>
              <w:rPr>
                <w:rFonts w:hint="eastAsia" w:ascii="Times New Roman" w:hAnsi="Times New Roman" w:cs="Times New Roman"/>
                <w:sz w:val="24"/>
                <w:szCs w:val="24"/>
                <w:lang w:val="en-US" w:eastAsia="zh-CN"/>
              </w:rPr>
              <w:t>隔油池、</w:t>
            </w:r>
            <w:r>
              <w:rPr>
                <w:rFonts w:hint="default" w:ascii="Times New Roman" w:hAnsi="Times New Roman" w:cs="Times New Roman"/>
                <w:sz w:val="24"/>
                <w:szCs w:val="24"/>
              </w:rPr>
              <w:t>化粪池预处理达到《污水综合排放标准》（GB8978-1996）中的三级标准，其中氨氨参照《污水排入城镇下水道水质标准》（GB/T31962-2015）中B等级的标准要求后，排放至市政污水管网，经管网排放至芜湖大桥综合经济开发区污水处理厂处置，处理后出水水质达到《城镇污水处理厂污染物排放标准》（GB18918-2002）一级标准中A类标准后，尾水排放至</w:t>
            </w:r>
            <w:r>
              <w:rPr>
                <w:rFonts w:hint="eastAsia" w:ascii="Times New Roman" w:hAnsi="Times New Roman" w:cs="Times New Roman"/>
                <w:sz w:val="24"/>
                <w:szCs w:val="24"/>
                <w:lang w:eastAsia="zh-CN"/>
              </w:rPr>
              <w:t>长江</w:t>
            </w:r>
            <w:r>
              <w:rPr>
                <w:rFonts w:hint="default" w:ascii="Times New Roman" w:hAnsi="Times New Roman" w:cs="Times New Roman"/>
                <w:sz w:val="24"/>
                <w:szCs w:val="24"/>
              </w:rPr>
              <w:t>。</w:t>
            </w:r>
          </w:p>
          <w:p>
            <w:pPr>
              <w:widowControl/>
              <w:spacing w:line="360" w:lineRule="auto"/>
              <w:jc w:val="center"/>
              <w:rPr>
                <w:rFonts w:hint="default" w:ascii="Times New Roman" w:hAnsi="Times New Roman" w:cs="Times New Roman"/>
                <w:b/>
                <w:kern w:val="0"/>
                <w:sz w:val="24"/>
              </w:rPr>
            </w:pPr>
            <w:r>
              <w:rPr>
                <w:rFonts w:hint="default" w:ascii="Times New Roman" w:hAnsi="Times New Roman" w:cs="Times New Roman"/>
                <w:b/>
                <w:bCs/>
                <w:sz w:val="24"/>
                <w:szCs w:val="24"/>
              </w:rPr>
              <w:t>表4-5  污水排放标准</w:t>
            </w:r>
          </w:p>
          <w:tbl>
            <w:tblPr>
              <w:tblStyle w:val="32"/>
              <w:tblW w:w="0" w:type="auto"/>
              <w:jc w:val="center"/>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346"/>
              <w:gridCol w:w="2892"/>
              <w:gridCol w:w="3176"/>
            </w:tblGrid>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3" w:type="dxa"/>
                  <w:tcBorders>
                    <w:top w:val="single" w:color="auto" w:sz="4" w:space="0"/>
                    <w:left w:val="single" w:color="auto" w:sz="0"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序号</w:t>
                  </w:r>
                </w:p>
              </w:tc>
              <w:tc>
                <w:tcPr>
                  <w:tcW w:w="1346" w:type="dxa"/>
                  <w:tcBorders>
                    <w:top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污染物名称</w:t>
                  </w:r>
                </w:p>
              </w:tc>
              <w:tc>
                <w:tcPr>
                  <w:tcW w:w="2892" w:type="dxa"/>
                  <w:tcBorders>
                    <w:top w:val="single" w:color="auto" w:sz="4" w:space="0"/>
                  </w:tcBorders>
                  <w:noWrap w:val="0"/>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《污水综合排放标准》（GB8978-1996）中的三级标准</w:t>
                  </w:r>
                </w:p>
              </w:tc>
              <w:tc>
                <w:tcPr>
                  <w:tcW w:w="3176" w:type="dxa"/>
                  <w:tcBorders>
                    <w:top w:val="single" w:color="auto" w:sz="4" w:space="0"/>
                    <w:right w:val="single" w:color="auto" w:sz="4" w:space="0"/>
                  </w:tcBorders>
                  <w:noWrap w:val="0"/>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《城镇污水处理厂污染物排放标准》（GB18918-2002）一级标准中B类标准（除pH值外均为mg/l）</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3" w:type="dxa"/>
                  <w:tcBorders>
                    <w:lef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1</w:t>
                  </w:r>
                </w:p>
              </w:tc>
              <w:tc>
                <w:tcPr>
                  <w:tcW w:w="1346"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COD</w:t>
                  </w:r>
                </w:p>
              </w:tc>
              <w:tc>
                <w:tcPr>
                  <w:tcW w:w="2892"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500</w:t>
                  </w:r>
                </w:p>
              </w:tc>
              <w:tc>
                <w:tcPr>
                  <w:tcW w:w="3176" w:type="dxa"/>
                  <w:tcBorders>
                    <w:righ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50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3" w:type="dxa"/>
                  <w:tcBorders>
                    <w:lef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2</w:t>
                  </w:r>
                </w:p>
              </w:tc>
              <w:tc>
                <w:tcPr>
                  <w:tcW w:w="1346"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BOD</w:t>
                  </w:r>
                  <w:r>
                    <w:rPr>
                      <w:rFonts w:hint="default" w:ascii="Times New Roman" w:hAnsi="Times New Roman" w:cs="Times New Roman"/>
                      <w:szCs w:val="21"/>
                      <w:vertAlign w:val="subscript"/>
                    </w:rPr>
                    <w:t>5</w:t>
                  </w:r>
                </w:p>
              </w:tc>
              <w:tc>
                <w:tcPr>
                  <w:tcW w:w="2892"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300</w:t>
                  </w:r>
                </w:p>
              </w:tc>
              <w:tc>
                <w:tcPr>
                  <w:tcW w:w="3176" w:type="dxa"/>
                  <w:tcBorders>
                    <w:righ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10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3" w:type="dxa"/>
                  <w:tcBorders>
                    <w:lef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3</w:t>
                  </w:r>
                </w:p>
              </w:tc>
              <w:tc>
                <w:tcPr>
                  <w:tcW w:w="1346"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NH</w:t>
                  </w:r>
                  <w:r>
                    <w:rPr>
                      <w:rFonts w:hint="default" w:ascii="Times New Roman" w:hAnsi="Times New Roman" w:cs="Times New Roman"/>
                      <w:szCs w:val="21"/>
                      <w:vertAlign w:val="subscript"/>
                    </w:rPr>
                    <w:t>3</w:t>
                  </w:r>
                  <w:r>
                    <w:rPr>
                      <w:rFonts w:hint="default" w:ascii="Times New Roman" w:hAnsi="Times New Roman" w:cs="Times New Roman"/>
                      <w:szCs w:val="21"/>
                    </w:rPr>
                    <w:t>-N</w:t>
                  </w:r>
                </w:p>
              </w:tc>
              <w:tc>
                <w:tcPr>
                  <w:tcW w:w="2892"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45</w:t>
                  </w:r>
                </w:p>
              </w:tc>
              <w:tc>
                <w:tcPr>
                  <w:tcW w:w="3176" w:type="dxa"/>
                  <w:tcBorders>
                    <w:righ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5</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3" w:type="dxa"/>
                  <w:tcBorders>
                    <w:left w:val="single" w:color="auto" w:sz="4" w:space="0"/>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4</w:t>
                  </w:r>
                </w:p>
              </w:tc>
              <w:tc>
                <w:tcPr>
                  <w:tcW w:w="1346"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SS</w:t>
                  </w:r>
                </w:p>
              </w:tc>
              <w:tc>
                <w:tcPr>
                  <w:tcW w:w="2892" w:type="dxa"/>
                  <w:tcBorders>
                    <w:bottom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400</w:t>
                  </w:r>
                </w:p>
              </w:tc>
              <w:tc>
                <w:tcPr>
                  <w:tcW w:w="3176" w:type="dxa"/>
                  <w:tcBorders>
                    <w:bottom w:val="single" w:color="auto" w:sz="4" w:space="0"/>
                    <w:right w:val="single" w:color="auto" w:sz="4" w:space="0"/>
                  </w:tcBorders>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10</w:t>
                  </w: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bookmarkStart w:id="4" w:name="_Hlk507534864"/>
            <w:r>
              <w:rPr>
                <w:rFonts w:ascii="Times New Roman" w:hAnsi="Times New Roman"/>
                <w:sz w:val="24"/>
                <w:szCs w:val="24"/>
              </w:rPr>
              <w:t>3、噪声</w:t>
            </w:r>
          </w:p>
          <w:p>
            <w:pPr>
              <w:spacing w:line="360" w:lineRule="auto"/>
              <w:ind w:firstLine="480" w:firstLineChars="200"/>
              <w:rPr>
                <w:rFonts w:hint="default" w:ascii="Times New Roman" w:hAnsi="Times New Roman" w:cs="Times New Roman"/>
                <w:bCs/>
                <w:sz w:val="24"/>
              </w:rPr>
            </w:pPr>
            <w:r>
              <w:rPr>
                <w:rFonts w:ascii="Times New Roman" w:hAnsi="Times New Roman"/>
                <w:bCs/>
                <w:sz w:val="24"/>
              </w:rPr>
              <w:t>施工期场界噪声执行《建筑施工场界环境噪声排放标准》（GB12523-2011）中相关要求。</w:t>
            </w:r>
            <w:r>
              <w:rPr>
                <w:rFonts w:hint="default" w:ascii="Times New Roman" w:hAnsi="Times New Roman" w:cs="Times New Roman"/>
                <w:bCs/>
                <w:sz w:val="24"/>
              </w:rPr>
              <w:t>运营期噪声执行</w:t>
            </w:r>
            <w:r>
              <w:rPr>
                <w:rFonts w:hint="default" w:ascii="Times New Roman" w:hAnsi="Times New Roman" w:cs="Times New Roman"/>
                <w:sz w:val="24"/>
                <w:szCs w:val="24"/>
              </w:rPr>
              <w:t>《工业企业厂界环境噪声排放标准》（GB12348-2008）</w:t>
            </w:r>
            <w:r>
              <w:rPr>
                <w:rFonts w:hint="default" w:ascii="Times New Roman" w:hAnsi="Times New Roman" w:cs="Times New Roman"/>
                <w:bCs/>
                <w:sz w:val="24"/>
              </w:rPr>
              <w:t>中的3类标准。</w:t>
            </w:r>
          </w:p>
          <w:p>
            <w:pPr>
              <w:keepNext/>
              <w:keepLines/>
              <w:spacing w:line="520" w:lineRule="exact"/>
              <w:jc w:val="center"/>
              <w:rPr>
                <w:rFonts w:hint="default" w:ascii="Times New Roman" w:hAnsi="Times New Roman" w:cs="Times New Roman"/>
                <w:b/>
                <w:bCs/>
                <w:sz w:val="24"/>
              </w:rPr>
            </w:pPr>
            <w:r>
              <w:rPr>
                <w:rFonts w:hint="default" w:ascii="Times New Roman" w:hAnsi="Times New Roman" w:cs="Times New Roman"/>
                <w:b/>
                <w:bCs/>
                <w:sz w:val="24"/>
              </w:rPr>
              <w:t>表4-6 噪声排放标准       单位dB（A）</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8"/>
              <w:gridCol w:w="2487"/>
              <w:gridCol w:w="1868"/>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48"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适合内容</w:t>
                  </w:r>
                </w:p>
              </w:tc>
              <w:tc>
                <w:tcPr>
                  <w:tcW w:w="2487"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标准</w:t>
                  </w:r>
                </w:p>
              </w:tc>
              <w:tc>
                <w:tcPr>
                  <w:tcW w:w="1868"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昼间</w:t>
                  </w:r>
                </w:p>
              </w:tc>
              <w:tc>
                <w:tcPr>
                  <w:tcW w:w="2074"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48" w:type="dxa"/>
                  <w:noWrap w:val="0"/>
                  <w:vAlign w:val="center"/>
                </w:tcPr>
                <w:p>
                  <w:pPr>
                    <w:spacing w:line="240" w:lineRule="atLeast"/>
                    <w:jc w:val="center"/>
                    <w:rPr>
                      <w:rFonts w:hint="default" w:ascii="Times New Roman" w:hAnsi="Times New Roman" w:cs="Times New Roman"/>
                      <w:szCs w:val="21"/>
                    </w:rPr>
                  </w:pPr>
                  <w:r>
                    <w:rPr>
                      <w:rFonts w:hint="eastAsia" w:ascii="Times New Roman" w:hAnsi="Times New Roman"/>
                      <w:szCs w:val="21"/>
                    </w:rPr>
                    <w:t>施工</w:t>
                  </w:r>
                  <w:r>
                    <w:rPr>
                      <w:rFonts w:ascii="Times New Roman" w:hAnsi="Times New Roman"/>
                      <w:szCs w:val="21"/>
                    </w:rPr>
                    <w:t>期</w:t>
                  </w:r>
                </w:p>
              </w:tc>
              <w:tc>
                <w:tcPr>
                  <w:tcW w:w="2487" w:type="dxa"/>
                  <w:noWrap w:val="0"/>
                  <w:vAlign w:val="center"/>
                </w:tcPr>
                <w:p>
                  <w:pPr>
                    <w:spacing w:line="240" w:lineRule="atLeast"/>
                    <w:jc w:val="center"/>
                    <w:rPr>
                      <w:rFonts w:hint="default" w:ascii="Times New Roman" w:hAnsi="Times New Roman" w:cs="Times New Roman"/>
                      <w:szCs w:val="21"/>
                    </w:rPr>
                  </w:pPr>
                  <w:r>
                    <w:rPr>
                      <w:rFonts w:ascii="Times New Roman" w:hAnsi="Times New Roman"/>
                      <w:szCs w:val="21"/>
                    </w:rPr>
                    <w:t>GB12523-2011</w:t>
                  </w:r>
                </w:p>
              </w:tc>
              <w:tc>
                <w:tcPr>
                  <w:tcW w:w="1868" w:type="dxa"/>
                  <w:noWrap w:val="0"/>
                  <w:vAlign w:val="center"/>
                </w:tcPr>
                <w:p>
                  <w:pPr>
                    <w:spacing w:line="240" w:lineRule="atLeast"/>
                    <w:jc w:val="center"/>
                    <w:rPr>
                      <w:rFonts w:hint="default" w:ascii="Times New Roman" w:hAnsi="Times New Roman" w:cs="Times New Roman"/>
                      <w:szCs w:val="21"/>
                    </w:rPr>
                  </w:pPr>
                  <w:r>
                    <w:rPr>
                      <w:rFonts w:hint="eastAsia" w:ascii="Times New Roman" w:hAnsi="Times New Roman"/>
                      <w:szCs w:val="21"/>
                    </w:rPr>
                    <w:t>70</w:t>
                  </w:r>
                </w:p>
              </w:tc>
              <w:tc>
                <w:tcPr>
                  <w:tcW w:w="2074" w:type="dxa"/>
                  <w:noWrap w:val="0"/>
                  <w:vAlign w:val="center"/>
                </w:tcPr>
                <w:p>
                  <w:pPr>
                    <w:spacing w:line="240" w:lineRule="atLeast"/>
                    <w:jc w:val="center"/>
                    <w:rPr>
                      <w:rFonts w:hint="default" w:ascii="Times New Roman" w:hAnsi="Times New Roman" w:cs="Times New Roman"/>
                      <w:szCs w:val="21"/>
                    </w:rPr>
                  </w:pPr>
                  <w:r>
                    <w:rPr>
                      <w:rFonts w:ascii="Times New Roman" w:hAnsi="Times New Roman"/>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48"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运营期</w:t>
                  </w:r>
                </w:p>
              </w:tc>
              <w:tc>
                <w:tcPr>
                  <w:tcW w:w="2487"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GB12348-2008</w:t>
                  </w:r>
                </w:p>
              </w:tc>
              <w:tc>
                <w:tcPr>
                  <w:tcW w:w="1868"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65</w:t>
                  </w:r>
                </w:p>
              </w:tc>
              <w:tc>
                <w:tcPr>
                  <w:tcW w:w="2074" w:type="dxa"/>
                  <w:noWrap w:val="0"/>
                  <w:vAlign w:val="center"/>
                </w:tcPr>
                <w:p>
                  <w:pPr>
                    <w:spacing w:line="240" w:lineRule="atLeast"/>
                    <w:jc w:val="center"/>
                    <w:rPr>
                      <w:rFonts w:hint="default" w:ascii="Times New Roman" w:hAnsi="Times New Roman" w:cs="Times New Roman"/>
                      <w:szCs w:val="21"/>
                    </w:rPr>
                  </w:pPr>
                  <w:r>
                    <w:rPr>
                      <w:rFonts w:hint="default" w:ascii="Times New Roman" w:hAnsi="Times New Roman" w:cs="Times New Roman"/>
                      <w:szCs w:val="21"/>
                    </w:rPr>
                    <w:t>55</w:t>
                  </w:r>
                </w:p>
              </w:tc>
            </w:tr>
          </w:tbl>
          <w:p>
            <w:pPr>
              <w:spacing w:line="360" w:lineRule="auto"/>
              <w:ind w:firstLine="480" w:firstLineChars="200"/>
              <w:rPr>
                <w:rFonts w:ascii="Times New Roman" w:hAnsi="Times New Roman"/>
                <w:bCs/>
                <w:sz w:val="24"/>
              </w:rPr>
            </w:pPr>
          </w:p>
          <w:bookmarkEnd w:id="4"/>
          <w:p>
            <w:pPr>
              <w:spacing w:line="360" w:lineRule="auto"/>
              <w:ind w:firstLine="480" w:firstLineChars="200"/>
              <w:rPr>
                <w:rFonts w:ascii="Times New Roman" w:hAnsi="Times New Roman"/>
                <w:sz w:val="24"/>
                <w:szCs w:val="24"/>
              </w:rPr>
            </w:pPr>
            <w:r>
              <w:rPr>
                <w:rFonts w:ascii="Times New Roman" w:hAnsi="Times New Roman"/>
                <w:sz w:val="24"/>
                <w:szCs w:val="24"/>
              </w:rPr>
              <w:t>4、固体废物</w:t>
            </w:r>
          </w:p>
          <w:p>
            <w:pPr>
              <w:spacing w:line="360" w:lineRule="auto"/>
              <w:ind w:firstLine="480" w:firstLineChars="200"/>
              <w:rPr>
                <w:rFonts w:ascii="Times New Roman" w:hAnsi="Times New Roman"/>
                <w:b/>
                <w:bCs/>
                <w:color w:val="000000"/>
                <w:sz w:val="24"/>
                <w:szCs w:val="24"/>
                <w:highlight w:val="yellow"/>
              </w:rPr>
            </w:pPr>
            <w:r>
              <w:rPr>
                <w:rFonts w:hint="eastAsia" w:ascii="Times New Roman" w:hAnsi="Times New Roman"/>
                <w:sz w:val="24"/>
                <w:szCs w:val="24"/>
              </w:rPr>
              <w:t>生活垃圾处置执行《生活垃圾填埋场污染控制标准》（GB16889-2008）；施工开挖弃渣、清管废渣处置执行《一般工业固体废物贮存、处置场污染控制标准》（GB18599-2001）及2013年修改单</w:t>
            </w:r>
            <w:r>
              <w:rPr>
                <w:rFonts w:ascii="Times New Roman" w:hAnsi="Times New Roman"/>
                <w:sz w:val="24"/>
                <w:szCs w:val="24"/>
              </w:rPr>
              <w:t>。</w:t>
            </w:r>
            <w:r>
              <w:rPr>
                <w:rFonts w:hint="eastAsia" w:ascii="Times New Roman" w:hAnsi="Times New Roman"/>
                <w:sz w:val="24"/>
                <w:szCs w:val="24"/>
              </w:rPr>
              <w:t>危险废物临时贮存执行《危险废物贮存污染控制标准》（GB18597-2001）及2013年修改单中相关规定；同时执行《（一般工业固体废弃物贮存、处置场污染控制标准）（GB18599-2001）等三项国家污染物控制标准修改单》（环境保护部公告2013年底36号）。</w:t>
            </w: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87" w:hRule="atLeast"/>
          <w:jc w:val="center"/>
        </w:trPr>
        <w:tc>
          <w:tcPr>
            <w:tcW w:w="504" w:type="dxa"/>
            <w:vAlign w:val="center"/>
          </w:tcPr>
          <w:p>
            <w:pPr>
              <w:jc w:val="center"/>
              <w:rPr>
                <w:rFonts w:ascii="Times New Roman" w:hAnsi="Times New Roman"/>
                <w:color w:val="000000"/>
                <w:sz w:val="24"/>
                <w:szCs w:val="24"/>
              </w:rPr>
            </w:pPr>
            <w:r>
              <w:rPr>
                <w:rFonts w:ascii="Times New Roman" w:hAnsi="Times New Roman"/>
                <w:color w:val="000000"/>
                <w:sz w:val="24"/>
                <w:szCs w:val="24"/>
              </w:rPr>
              <w:t>总量</w:t>
            </w:r>
          </w:p>
          <w:p>
            <w:pPr>
              <w:jc w:val="center"/>
              <w:rPr>
                <w:rFonts w:ascii="Times New Roman" w:hAnsi="Times New Roman"/>
                <w:color w:val="000000"/>
                <w:sz w:val="24"/>
                <w:szCs w:val="24"/>
              </w:rPr>
            </w:pPr>
            <w:r>
              <w:rPr>
                <w:rFonts w:ascii="Times New Roman" w:hAnsi="Times New Roman"/>
                <w:color w:val="000000"/>
                <w:sz w:val="24"/>
                <w:szCs w:val="24"/>
              </w:rPr>
              <w:t>控制</w:t>
            </w:r>
          </w:p>
          <w:p>
            <w:pPr>
              <w:jc w:val="center"/>
              <w:rPr>
                <w:rFonts w:ascii="Times New Roman" w:hAnsi="Times New Roman"/>
                <w:color w:val="000000"/>
                <w:sz w:val="24"/>
                <w:szCs w:val="24"/>
                <w:highlight w:val="yellow"/>
              </w:rPr>
            </w:pPr>
            <w:r>
              <w:rPr>
                <w:rFonts w:ascii="Times New Roman" w:hAnsi="Times New Roman"/>
                <w:color w:val="000000"/>
                <w:sz w:val="24"/>
                <w:szCs w:val="24"/>
              </w:rPr>
              <w:t>指标</w:t>
            </w:r>
          </w:p>
        </w:tc>
        <w:tc>
          <w:tcPr>
            <w:tcW w:w="8499" w:type="dxa"/>
            <w:vAlign w:val="center"/>
          </w:tcPr>
          <w:p>
            <w:pPr>
              <w:spacing w:line="360" w:lineRule="auto"/>
              <w:ind w:firstLine="480" w:firstLineChars="200"/>
              <w:rPr>
                <w:rFonts w:ascii="Times New Roman" w:hAnsi="Times New Roman"/>
                <w:b/>
                <w:color w:val="000000"/>
                <w:sz w:val="24"/>
                <w:szCs w:val="24"/>
              </w:rPr>
            </w:pPr>
            <w:r>
              <w:rPr>
                <w:rFonts w:hint="eastAsia" w:ascii="Times New Roman" w:hAnsi="Times New Roman"/>
                <w:color w:val="000000"/>
                <w:sz w:val="24"/>
              </w:rPr>
              <w:t>项目废水产生量为288m</w:t>
            </w:r>
            <w:r>
              <w:rPr>
                <w:rFonts w:hint="eastAsia" w:ascii="Times New Roman" w:hAnsi="Times New Roman"/>
                <w:color w:val="000000"/>
                <w:sz w:val="24"/>
                <w:vertAlign w:val="superscript"/>
              </w:rPr>
              <w:t>3</w:t>
            </w:r>
            <w:r>
              <w:rPr>
                <w:rFonts w:hint="eastAsia" w:ascii="Times New Roman" w:hAnsi="Times New Roman"/>
                <w:color w:val="000000"/>
                <w:sz w:val="24"/>
              </w:rPr>
              <w:t>/a。产生的废水通过市政污水管网送往芜湖大桥综合经济开发区污水处理厂集中处理，本项目废水污染物排放总量计入芜湖大桥综合经济开发区污水处理厂总量指标内，不另外下达。本环评给出项目污水排入环境中的量作为环境主管部门参考，COD：0.0144t/a；NH</w:t>
            </w:r>
            <w:r>
              <w:rPr>
                <w:rFonts w:hint="eastAsia" w:ascii="Times New Roman" w:hAnsi="Times New Roman"/>
                <w:color w:val="000000"/>
                <w:sz w:val="24"/>
                <w:vertAlign w:val="subscript"/>
              </w:rPr>
              <w:t>3</w:t>
            </w:r>
            <w:r>
              <w:rPr>
                <w:rFonts w:hint="eastAsia" w:ascii="Times New Roman" w:hAnsi="Times New Roman"/>
                <w:color w:val="000000"/>
                <w:sz w:val="24"/>
              </w:rPr>
              <w:t>-N：0.0014t/a（以芜湖大桥综合经济开发区污水处理厂出水水质核算）。</w:t>
            </w:r>
          </w:p>
          <w:p>
            <w:pPr>
              <w:pStyle w:val="8"/>
              <w:ind w:firstLine="480"/>
              <w:rPr>
                <w:sz w:val="24"/>
              </w:rPr>
            </w:pPr>
          </w:p>
          <w:p>
            <w:pPr>
              <w:pStyle w:val="8"/>
              <w:ind w:firstLine="480"/>
              <w:rPr>
                <w:sz w:val="24"/>
              </w:rPr>
            </w:pPr>
          </w:p>
          <w:p>
            <w:pPr>
              <w:pStyle w:val="9"/>
              <w:rPr>
                <w:sz w:val="24"/>
              </w:rPr>
            </w:pPr>
          </w:p>
          <w:p>
            <w:pPr>
              <w:pStyle w:val="20"/>
              <w:rPr>
                <w:sz w:val="24"/>
              </w:rPr>
            </w:pPr>
          </w:p>
          <w:p>
            <w:pPr>
              <w:rPr>
                <w:sz w:val="24"/>
              </w:rPr>
            </w:pPr>
          </w:p>
          <w:p>
            <w:pPr>
              <w:pStyle w:val="21"/>
              <w:rPr>
                <w:sz w:val="24"/>
              </w:rPr>
            </w:pPr>
          </w:p>
          <w:p>
            <w:pPr>
              <w:pStyle w:val="16"/>
              <w:rPr>
                <w:sz w:val="24"/>
              </w:rPr>
            </w:pPr>
          </w:p>
          <w:p>
            <w:pPr>
              <w:rPr>
                <w:sz w:val="24"/>
              </w:rPr>
            </w:pPr>
          </w:p>
          <w:p>
            <w:pPr>
              <w:pStyle w:val="21"/>
              <w:rPr>
                <w:sz w:val="24"/>
              </w:rPr>
            </w:pPr>
          </w:p>
          <w:p>
            <w:pPr>
              <w:pStyle w:val="16"/>
              <w:rPr>
                <w:sz w:val="24"/>
              </w:rPr>
            </w:pPr>
          </w:p>
          <w:p>
            <w:pPr>
              <w:rPr>
                <w:sz w:val="24"/>
              </w:rPr>
            </w:pPr>
          </w:p>
          <w:p>
            <w:pPr>
              <w:pStyle w:val="21"/>
              <w:rPr>
                <w:sz w:val="24"/>
              </w:rPr>
            </w:pPr>
          </w:p>
          <w:p>
            <w:pPr>
              <w:pStyle w:val="16"/>
              <w:rPr>
                <w:sz w:val="24"/>
              </w:rPr>
            </w:pPr>
          </w:p>
          <w:p>
            <w:pPr>
              <w:rPr>
                <w:sz w:val="24"/>
              </w:rPr>
            </w:pPr>
          </w:p>
          <w:p>
            <w:pPr>
              <w:pStyle w:val="21"/>
              <w:rPr>
                <w:sz w:val="24"/>
              </w:rPr>
            </w:pPr>
          </w:p>
          <w:p>
            <w:pPr>
              <w:pStyle w:val="16"/>
            </w:pPr>
          </w:p>
          <w:p>
            <w:pPr>
              <w:pStyle w:val="8"/>
              <w:ind w:firstLine="480"/>
              <w:rPr>
                <w:sz w:val="24"/>
              </w:rPr>
            </w:pPr>
          </w:p>
          <w:p>
            <w:pPr>
              <w:pStyle w:val="5"/>
              <w:ind w:firstLine="0" w:firstLineChars="0"/>
              <w:rPr>
                <w:rFonts w:ascii="Times New Roman" w:hAnsi="Times New Roman"/>
                <w:color w:val="000000"/>
                <w:sz w:val="24"/>
                <w:highlight w:val="yellow"/>
              </w:rPr>
            </w:pPr>
          </w:p>
        </w:tc>
      </w:tr>
    </w:tbl>
    <w:p>
      <w:pPr>
        <w:pStyle w:val="2"/>
        <w:rPr>
          <w:rFonts w:ascii="Times New Roman" w:hAnsi="Times New Roman"/>
        </w:rPr>
      </w:pPr>
      <w:r>
        <w:rPr>
          <w:rFonts w:ascii="Times New Roman" w:hAnsi="Times New Roman"/>
        </w:rPr>
        <w:t>建设项目工程分析</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82" w:hRule="atLeast"/>
          <w:jc w:val="center"/>
        </w:trPr>
        <w:tc>
          <w:tcPr>
            <w:tcW w:w="9361" w:type="dxa"/>
            <w:tcBorders>
              <w:top w:val="single" w:color="auto" w:sz="4" w:space="0"/>
              <w:left w:val="single" w:color="auto" w:sz="4" w:space="0"/>
              <w:bottom w:val="single" w:color="auto" w:sz="4" w:space="0"/>
              <w:right w:val="single" w:color="auto" w:sz="4" w:space="0"/>
            </w:tcBorders>
          </w:tcPr>
          <w:p>
            <w:pPr>
              <w:numPr>
                <w:ilvl w:val="0"/>
                <w:numId w:val="8"/>
              </w:num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施工期工程分析</w:t>
            </w:r>
          </w:p>
          <w:p>
            <w:pPr>
              <w:numPr>
                <w:ilvl w:val="0"/>
                <w:numId w:val="0"/>
              </w:num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rPr>
              <w:t>工艺流程简述（如图）：</w:t>
            </w:r>
          </w:p>
          <w:p>
            <w:pPr>
              <w:pStyle w:val="8"/>
              <w:spacing w:line="520" w:lineRule="exact"/>
              <w:ind w:firstLine="480"/>
              <w:rPr>
                <w:rFonts w:ascii="Times New Roman" w:hAnsi="Times New Roman"/>
                <w:sz w:val="24"/>
                <w:szCs w:val="24"/>
              </w:rPr>
            </w:pPr>
            <w:r>
              <w:rPr>
                <w:rFonts w:hint="eastAsia" w:ascii="Times New Roman" w:hAnsi="Times New Roman"/>
                <w:sz w:val="24"/>
                <w:szCs w:val="24"/>
              </w:rPr>
              <w:t>①</w:t>
            </w:r>
            <w:r>
              <w:rPr>
                <w:rFonts w:ascii="Times New Roman" w:hAnsi="Times New Roman"/>
                <w:sz w:val="24"/>
                <w:szCs w:val="24"/>
              </w:rPr>
              <w:t>站场工程</w:t>
            </w:r>
          </w:p>
          <w:p>
            <w:pPr>
              <w:pStyle w:val="8"/>
              <w:spacing w:line="520" w:lineRule="exact"/>
            </w:pPr>
            <w:r>
              <mc:AlternateContent>
                <mc:Choice Requires="wpg">
                  <w:drawing>
                    <wp:anchor distT="0" distB="0" distL="114300" distR="114300" simplePos="0" relativeHeight="251696128" behindDoc="0" locked="0" layoutInCell="1" allowOverlap="1">
                      <wp:simplePos x="0" y="0"/>
                      <wp:positionH relativeFrom="column">
                        <wp:posOffset>744855</wp:posOffset>
                      </wp:positionH>
                      <wp:positionV relativeFrom="paragraph">
                        <wp:posOffset>218440</wp:posOffset>
                      </wp:positionV>
                      <wp:extent cx="4314825" cy="1514475"/>
                      <wp:effectExtent l="5080" t="4445" r="23495" b="24130"/>
                      <wp:wrapNone/>
                      <wp:docPr id="30" name="组合 30"/>
                      <wp:cNvGraphicFramePr/>
                      <a:graphic xmlns:a="http://schemas.openxmlformats.org/drawingml/2006/main">
                        <a:graphicData uri="http://schemas.microsoft.com/office/word/2010/wordprocessingGroup">
                          <wpg:wgp>
                            <wpg:cNvGrpSpPr/>
                            <wpg:grpSpPr>
                              <a:xfrm>
                                <a:off x="0" y="0"/>
                                <a:ext cx="4314825" cy="1514475"/>
                                <a:chOff x="7732" y="417652"/>
                                <a:chExt cx="6795" cy="2385"/>
                              </a:xfrm>
                            </wpg:grpSpPr>
                            <wps:wsp>
                              <wps:cNvPr id="8" name="文本框 8"/>
                              <wps:cNvSpPr txBox="1"/>
                              <wps:spPr>
                                <a:xfrm>
                                  <a:off x="7732" y="417652"/>
                                  <a:ext cx="1171" cy="525"/>
                                </a:xfrm>
                                <a:prstGeom prst="rect">
                                  <a:avLst/>
                                </a:prstGeom>
                                <a:noFill/>
                                <a:ln w="9525" cap="flat" cmpd="sng">
                                  <a:solidFill>
                                    <a:srgbClr val="000000"/>
                                  </a:solidFill>
                                  <a:prstDash val="solid"/>
                                  <a:miter/>
                                  <a:headEnd type="none" w="med" len="med"/>
                                  <a:tailEnd type="none" w="med" len="med"/>
                                </a:ln>
                              </wps:spPr>
                              <wps:txbx>
                                <w:txbxContent>
                                  <w:p>
                                    <w:r>
                                      <w:rPr>
                                        <w:rFonts w:hint="eastAsia"/>
                                      </w:rPr>
                                      <w:t>基础工程</w:t>
                                    </w:r>
                                  </w:p>
                                </w:txbxContent>
                              </wps:txbx>
                              <wps:bodyPr upright="1"/>
                            </wps:wsp>
                            <wps:wsp>
                              <wps:cNvPr id="9" name="文本框 9"/>
                              <wps:cNvSpPr txBox="1"/>
                              <wps:spPr>
                                <a:xfrm>
                                  <a:off x="9607" y="417667"/>
                                  <a:ext cx="1171" cy="525"/>
                                </a:xfrm>
                                <a:prstGeom prst="rect">
                                  <a:avLst/>
                                </a:prstGeom>
                                <a:noFill/>
                                <a:ln w="9525" cap="flat" cmpd="sng">
                                  <a:solidFill>
                                    <a:srgbClr val="000000"/>
                                  </a:solidFill>
                                  <a:prstDash val="solid"/>
                                  <a:miter/>
                                  <a:headEnd type="none" w="med" len="med"/>
                                  <a:tailEnd type="none" w="med" len="med"/>
                                </a:ln>
                              </wps:spPr>
                              <wps:txbx>
                                <w:txbxContent>
                                  <w:p>
                                    <w:r>
                                      <w:rPr>
                                        <w:rFonts w:hint="eastAsia"/>
                                      </w:rPr>
                                      <w:t>主体工程</w:t>
                                    </w:r>
                                  </w:p>
                                </w:txbxContent>
                              </wps:txbx>
                              <wps:bodyPr upright="1"/>
                            </wps:wsp>
                            <wps:wsp>
                              <wps:cNvPr id="14" name="文本框 14"/>
                              <wps:cNvSpPr txBox="1"/>
                              <wps:spPr>
                                <a:xfrm>
                                  <a:off x="11482" y="417682"/>
                                  <a:ext cx="1171" cy="525"/>
                                </a:xfrm>
                                <a:prstGeom prst="rect">
                                  <a:avLst/>
                                </a:prstGeom>
                                <a:noFill/>
                                <a:ln w="9525" cap="flat" cmpd="sng">
                                  <a:solidFill>
                                    <a:srgbClr val="000000"/>
                                  </a:solidFill>
                                  <a:prstDash val="solid"/>
                                  <a:miter/>
                                  <a:headEnd type="none" w="med" len="med"/>
                                  <a:tailEnd type="none" w="med" len="med"/>
                                </a:ln>
                              </wps:spPr>
                              <wps:txbx>
                                <w:txbxContent>
                                  <w:p>
                                    <w:r>
                                      <w:rPr>
                                        <w:rFonts w:hint="eastAsia"/>
                                      </w:rPr>
                                      <w:t>设备安装</w:t>
                                    </w:r>
                                  </w:p>
                                </w:txbxContent>
                              </wps:txbx>
                              <wps:bodyPr upright="1"/>
                            </wps:wsp>
                            <wps:wsp>
                              <wps:cNvPr id="15" name="文本框 15"/>
                              <wps:cNvSpPr txBox="1"/>
                              <wps:spPr>
                                <a:xfrm>
                                  <a:off x="13357" y="417652"/>
                                  <a:ext cx="1171" cy="525"/>
                                </a:xfrm>
                                <a:prstGeom prst="rect">
                                  <a:avLst/>
                                </a:prstGeom>
                                <a:noFill/>
                                <a:ln w="9525" cap="flat" cmpd="sng">
                                  <a:solidFill>
                                    <a:srgbClr val="000000"/>
                                  </a:solidFill>
                                  <a:prstDash val="solid"/>
                                  <a:miter/>
                                  <a:headEnd type="none" w="med" len="med"/>
                                  <a:tailEnd type="none" w="med" len="med"/>
                                </a:ln>
                              </wps:spPr>
                              <wps:txbx>
                                <w:txbxContent>
                                  <w:p>
                                    <w:r>
                                      <w:rPr>
                                        <w:rFonts w:hint="eastAsia"/>
                                      </w:rPr>
                                      <w:t>工程验收</w:t>
                                    </w:r>
                                  </w:p>
                                </w:txbxContent>
                              </wps:txbx>
                              <wps:bodyPr upright="1"/>
                            </wps:wsp>
                            <wps:wsp>
                              <wps:cNvPr id="16" name="直接连接符 16"/>
                              <wps:cNvCnPr/>
                              <wps:spPr>
                                <a:xfrm>
                                  <a:off x="8902" y="417906"/>
                                  <a:ext cx="705" cy="1"/>
                                </a:xfrm>
                                <a:prstGeom prst="line">
                                  <a:avLst/>
                                </a:prstGeom>
                                <a:ln w="9525" cap="flat" cmpd="sng">
                                  <a:solidFill>
                                    <a:srgbClr val="000000"/>
                                  </a:solidFill>
                                  <a:prstDash val="solid"/>
                                  <a:headEnd type="none" w="med" len="med"/>
                                  <a:tailEnd type="arrow" w="lg" len="lg"/>
                                </a:ln>
                              </wps:spPr>
                              <wps:bodyPr/>
                            </wps:wsp>
                            <wps:wsp>
                              <wps:cNvPr id="18" name="直接连接符 18"/>
                              <wps:cNvCnPr/>
                              <wps:spPr>
                                <a:xfrm>
                                  <a:off x="10777" y="417906"/>
                                  <a:ext cx="705" cy="1"/>
                                </a:xfrm>
                                <a:prstGeom prst="line">
                                  <a:avLst/>
                                </a:prstGeom>
                                <a:ln w="9525" cap="flat" cmpd="sng">
                                  <a:solidFill>
                                    <a:srgbClr val="000000"/>
                                  </a:solidFill>
                                  <a:prstDash val="solid"/>
                                  <a:headEnd type="none" w="med" len="med"/>
                                  <a:tailEnd type="arrow" w="lg" len="lg"/>
                                </a:ln>
                              </wps:spPr>
                              <wps:bodyPr/>
                            </wps:wsp>
                            <wps:wsp>
                              <wps:cNvPr id="20" name="直接连接符 20"/>
                              <wps:cNvCnPr/>
                              <wps:spPr>
                                <a:xfrm>
                                  <a:off x="12667" y="417921"/>
                                  <a:ext cx="705" cy="1"/>
                                </a:xfrm>
                                <a:prstGeom prst="line">
                                  <a:avLst/>
                                </a:prstGeom>
                                <a:ln w="9525" cap="flat" cmpd="sng">
                                  <a:solidFill>
                                    <a:srgbClr val="000000"/>
                                  </a:solidFill>
                                  <a:prstDash val="solid"/>
                                  <a:headEnd type="none" w="med" len="med"/>
                                  <a:tailEnd type="arrow" w="lg" len="lg"/>
                                </a:ln>
                              </wps:spPr>
                              <wps:bodyPr/>
                            </wps:wsp>
                            <wps:wsp>
                              <wps:cNvPr id="21" name="直接连接符 21"/>
                              <wps:cNvCnPr/>
                              <wps:spPr>
                                <a:xfrm>
                                  <a:off x="8302" y="418192"/>
                                  <a:ext cx="1" cy="691"/>
                                </a:xfrm>
                                <a:prstGeom prst="line">
                                  <a:avLst/>
                                </a:prstGeom>
                                <a:ln w="9525" cap="flat" cmpd="sng">
                                  <a:solidFill>
                                    <a:srgbClr val="000000"/>
                                  </a:solidFill>
                                  <a:prstDash val="dash"/>
                                  <a:headEnd type="none" w="med" len="med"/>
                                  <a:tailEnd type="arrow" w="lg" len="lg"/>
                                </a:ln>
                              </wps:spPr>
                              <wps:bodyPr/>
                            </wps:wsp>
                            <wps:wsp>
                              <wps:cNvPr id="22" name="直接连接符 22"/>
                              <wps:cNvCnPr/>
                              <wps:spPr>
                                <a:xfrm>
                                  <a:off x="10237" y="418207"/>
                                  <a:ext cx="1" cy="691"/>
                                </a:xfrm>
                                <a:prstGeom prst="line">
                                  <a:avLst/>
                                </a:prstGeom>
                                <a:ln w="9525" cap="flat" cmpd="sng">
                                  <a:solidFill>
                                    <a:srgbClr val="000000"/>
                                  </a:solidFill>
                                  <a:prstDash val="dash"/>
                                  <a:headEnd type="none" w="med" len="med"/>
                                  <a:tailEnd type="arrow" w="lg" len="lg"/>
                                </a:ln>
                              </wps:spPr>
                              <wps:bodyPr/>
                            </wps:wsp>
                            <wps:wsp>
                              <wps:cNvPr id="23" name="直接连接符 23"/>
                              <wps:cNvCnPr/>
                              <wps:spPr>
                                <a:xfrm>
                                  <a:off x="12127" y="418222"/>
                                  <a:ext cx="1" cy="691"/>
                                </a:xfrm>
                                <a:prstGeom prst="line">
                                  <a:avLst/>
                                </a:prstGeom>
                                <a:ln w="9525" cap="flat" cmpd="sng">
                                  <a:solidFill>
                                    <a:srgbClr val="000000"/>
                                  </a:solidFill>
                                  <a:prstDash val="dash"/>
                                  <a:headEnd type="none" w="med" len="med"/>
                                  <a:tailEnd type="arrow" w="lg" len="lg"/>
                                </a:ln>
                              </wps:spPr>
                              <wps:bodyPr/>
                            </wps:wsp>
                            <wps:wsp>
                              <wps:cNvPr id="25" name="直接连接符 25"/>
                              <wps:cNvCnPr/>
                              <wps:spPr>
                                <a:xfrm>
                                  <a:off x="13972" y="418192"/>
                                  <a:ext cx="1" cy="691"/>
                                </a:xfrm>
                                <a:prstGeom prst="line">
                                  <a:avLst/>
                                </a:prstGeom>
                                <a:ln w="9525" cap="flat" cmpd="sng">
                                  <a:solidFill>
                                    <a:srgbClr val="000000"/>
                                  </a:solidFill>
                                  <a:prstDash val="dash"/>
                                  <a:headEnd type="none" w="med" len="med"/>
                                  <a:tailEnd type="arrow" w="lg" len="lg"/>
                                </a:ln>
                              </wps:spPr>
                              <wps:bodyPr/>
                            </wps:wsp>
                            <wps:wsp>
                              <wps:cNvPr id="26" name="直接连接符 26"/>
                              <wps:cNvCnPr/>
                              <wps:spPr>
                                <a:xfrm>
                                  <a:off x="8302" y="418883"/>
                                  <a:ext cx="5670" cy="1"/>
                                </a:xfrm>
                                <a:prstGeom prst="line">
                                  <a:avLst/>
                                </a:prstGeom>
                                <a:ln w="12700" cap="flat" cmpd="sng">
                                  <a:solidFill>
                                    <a:srgbClr val="000000"/>
                                  </a:solidFill>
                                  <a:prstDash val="dash"/>
                                  <a:headEnd type="none" w="med" len="med"/>
                                  <a:tailEnd type="none" w="med" len="med"/>
                                </a:ln>
                              </wps:spPr>
                              <wps:bodyPr/>
                            </wps:wsp>
                            <wps:wsp>
                              <wps:cNvPr id="27" name="直接连接符 27"/>
                              <wps:cNvCnPr/>
                              <wps:spPr>
                                <a:xfrm>
                                  <a:off x="11152" y="418897"/>
                                  <a:ext cx="1" cy="691"/>
                                </a:xfrm>
                                <a:prstGeom prst="line">
                                  <a:avLst/>
                                </a:prstGeom>
                                <a:ln w="9525" cap="flat" cmpd="sng">
                                  <a:solidFill>
                                    <a:srgbClr val="000000"/>
                                  </a:solidFill>
                                  <a:prstDash val="dash"/>
                                  <a:headEnd type="none" w="med" len="med"/>
                                  <a:tailEnd type="arrow" w="lg" len="lg"/>
                                </a:ln>
                              </wps:spPr>
                              <wps:bodyPr/>
                            </wps:wsp>
                            <wps:wsp>
                              <wps:cNvPr id="29" name="文本框 29"/>
                              <wps:cNvSpPr txBox="1"/>
                              <wps:spPr>
                                <a:xfrm>
                                  <a:off x="8573" y="419573"/>
                                  <a:ext cx="5171" cy="465"/>
                                </a:xfrm>
                                <a:prstGeom prst="rect">
                                  <a:avLst/>
                                </a:prstGeom>
                                <a:noFill/>
                                <a:ln w="9525" cap="flat" cmpd="sng">
                                  <a:solidFill>
                                    <a:srgbClr val="000000"/>
                                  </a:solidFill>
                                  <a:prstDash val="dash"/>
                                  <a:miter/>
                                  <a:headEnd type="none" w="med" len="med"/>
                                  <a:tailEnd type="none" w="med" len="med"/>
                                </a:ln>
                              </wps:spPr>
                              <wps:txbx>
                                <w:txbxContent>
                                  <w:p>
                                    <w:r>
                                      <w:rPr>
                                        <w:rFonts w:hint="eastAsia"/>
                                      </w:rPr>
                                      <w:t>扬尘、废气、施工废水、生活污水、建筑垃圾、噪声</w:t>
                                    </w:r>
                                  </w:p>
                                </w:txbxContent>
                              </wps:txbx>
                              <wps:bodyPr upright="1"/>
                            </wps:wsp>
                          </wpg:wgp>
                        </a:graphicData>
                      </a:graphic>
                    </wp:anchor>
                  </w:drawing>
                </mc:Choice>
                <mc:Fallback>
                  <w:pict>
                    <v:group id="_x0000_s1026" o:spid="_x0000_s1026" o:spt="203" style="position:absolute;left:0pt;margin-left:58.65pt;margin-top:17.2pt;height:119.25pt;width:339.75pt;z-index:251696128;mso-width-relative:page;mso-height-relative:page;" coordorigin="7732,417652" coordsize="6795,2385" o:gfxdata="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">
                      <o:lock v:ext="edit" aspectratio="f"/>
                      <v:shape id="_x0000_s1026" o:spid="_x0000_s1026" o:spt="202" type="#_x0000_t202" style="position:absolute;left:7732;top:417652;height:525;width:1171;" filled="f" stroked="t" coordsize="21600,21600" o:gfxdata="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0nutrgAAADaAAAA&#10;DwAAAAAAAAABACAAAAAiAAAAZHJzL2Rvd25yZXYueG1sUEsBAhQAFAAAAAgAh07iQDMvBZ47AAAA&#10;OQAAABAAAAAAAAAAAQAgAAAABwEAAGRycy9zaGFwZXhtbC54bWxQSwUGAAAAAAYABgBbAQAAsQMA&#10;AAAA&#10;">
                        <v:fill on="f" focussize="0,0"/>
                        <v:stroke color="#000000" joinstyle="miter"/>
                        <v:imagedata o:title=""/>
                        <o:lock v:ext="edit" aspectratio="f"/>
                        <v:textbox>
                          <w:txbxContent>
                            <w:p>
                              <w:r>
                                <w:rPr>
                                  <w:rFonts w:hint="eastAsia"/>
                                </w:rPr>
                                <w:t>基础工程</w:t>
                              </w:r>
                            </w:p>
                          </w:txbxContent>
                        </v:textbox>
                      </v:shape>
                      <v:shape id="_x0000_s1026" o:spid="_x0000_s1026" o:spt="202" type="#_x0000_t202" style="position:absolute;left:9607;top:417667;height:525;width:1171;" filled="f" stroked="t" coordsize="21600,21600" o:gfxdata="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ABUsttwAAANoAAAAP&#10;AAAAAAAAAAEAIAAAACIAAABkcnMvZG93bnJldi54bWxQSwECFAAUAAAACACHTuJAMy8FnjsAAAA5&#10;AAAAEAAAAAAAAAABACAAAAAGAQAAZHJzL3NoYXBleG1sLnhtbFBLBQYAAAAABgAGAFsBAACwAwAA&#10;AAA=&#10;">
                        <v:fill on="f" focussize="0,0"/>
                        <v:stroke color="#000000" joinstyle="miter"/>
                        <v:imagedata o:title=""/>
                        <o:lock v:ext="edit" aspectratio="f"/>
                        <v:textbox>
                          <w:txbxContent>
                            <w:p>
                              <w:r>
                                <w:rPr>
                                  <w:rFonts w:hint="eastAsia"/>
                                </w:rPr>
                                <w:t>主体工程</w:t>
                              </w:r>
                            </w:p>
                          </w:txbxContent>
                        </v:textbox>
                      </v:shape>
                      <v:shape id="_x0000_s1026" o:spid="_x0000_s1026" o:spt="202" type="#_x0000_t202" style="position:absolute;left:11482;top:417682;height:525;width:1171;" filled="f" stroked="t" coordsize="21600,21600" o:gfxdata="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irN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r>
                                <w:rPr>
                                  <w:rFonts w:hint="eastAsia"/>
                                </w:rPr>
                                <w:t>设备安装</w:t>
                              </w:r>
                            </w:p>
                          </w:txbxContent>
                        </v:textbox>
                      </v:shape>
                      <v:shape id="_x0000_s1026" o:spid="_x0000_s1026" o:spt="202" type="#_x0000_t202" style="position:absolute;left:13357;top:417652;height:525;width:1171;" filled="f" stroked="t" coordsize="21600,21600" o:gfxdata="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QOrb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r>
                                <w:rPr>
                                  <w:rFonts w:hint="eastAsia"/>
                                </w:rPr>
                                <w:t>工程验收</w:t>
                              </w:r>
                            </w:p>
                          </w:txbxContent>
                        </v:textbox>
                      </v:shape>
                      <v:line id="_x0000_s1026" o:spid="_x0000_s1026" o:spt="20" style="position:absolute;left:8902;top:417906;height:1;width:705;" filled="f" stroked="t" coordsize="21600,21600" o:gfxdata="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eDOvugAAANsA&#10;AAAPAAAAAAAAAAEAIAAAACIAAABkcnMvZG93bnJldi54bWxQSwECFAAUAAAACACHTuJAMy8FnjsA&#10;AAA5AAAAEAAAAAAAAAABACAAAAAJAQAAZHJzL3NoYXBleG1sLnhtbFBLBQYAAAAABgAGAFsBAACz&#10;AwAAAAA=&#10;">
                        <v:fill on="f" focussize="0,0"/>
                        <v:stroke color="#000000" joinstyle="round" endarrow="open" endarrowwidth="wide" endarrowlength="long"/>
                        <v:imagedata o:title=""/>
                        <o:lock v:ext="edit" aspectratio="f"/>
                      </v:line>
                      <v:line id="_x0000_s1026" o:spid="_x0000_s1026" o:spt="20" style="position:absolute;left:10777;top:417906;height:1;width:705;" filled="f" stroked="t" coordsize="21600,21600" o:gfxdata="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qsCRr4A&#10;AADbAAAADwAAAAAAAAABACAAAAAiAAAAZHJzL2Rvd25yZXYueG1sUEsBAhQAFAAAAAgAh07iQDMv&#10;BZ47AAAAOQAAABAAAAAAAAAAAQAgAAAADQEAAGRycy9zaGFwZXhtbC54bWxQSwUGAAAAAAYABgBb&#10;AQAAtwMAAAAA&#10;">
                        <v:fill on="f" focussize="0,0"/>
                        <v:stroke color="#000000" joinstyle="round" endarrow="open" endarrowwidth="wide" endarrowlength="long"/>
                        <v:imagedata o:title=""/>
                        <o:lock v:ext="edit" aspectratio="f"/>
                      </v:line>
                      <v:line id="_x0000_s1026" o:spid="_x0000_s1026" o:spt="20" style="position:absolute;left:12667;top:417921;height:1;width:705;" filled="f" stroked="t" coordsize="21600,21600" o:gfxdata="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escT9ugAAANsA&#10;AAAPAAAAAAAAAAEAIAAAACIAAABkcnMvZG93bnJldi54bWxQSwECFAAUAAAACACHTuJAMy8FnjsA&#10;AAA5AAAAEAAAAAAAAAABACAAAAAJAQAAZHJzL3NoYXBleG1sLnhtbFBLBQYAAAAABgAGAFsBAACz&#10;AwAAAAA=&#10;">
                        <v:fill on="f" focussize="0,0"/>
                        <v:stroke color="#000000" joinstyle="round" endarrow="open" endarrowwidth="wide" endarrowlength="long"/>
                        <v:imagedata o:title=""/>
                        <o:lock v:ext="edit" aspectratio="f"/>
                      </v:line>
                      <v:line id="_x0000_s1026" o:spid="_x0000_s1026" o:spt="20" style="position:absolute;left:8302;top:418192;height:691;width:1;" filled="f" stroked="t" coordsize="21600,21600" o:gfxdata="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P9jYbgAAADbAAAA&#10;DwAAAAAAAAABACAAAAAiAAAAZHJzL2Rvd25yZXYueG1sUEsBAhQAFAAAAAgAh07iQDMvBZ47AAAA&#10;OQAAABAAAAAAAAAAAQAgAAAABwEAAGRycy9zaGFwZXhtbC54bWxQSwUGAAAAAAYABgBbAQAAsQMA&#10;AAAA&#10;">
                        <v:fill on="f" focussize="0,0"/>
                        <v:stroke color="#000000" joinstyle="round" dashstyle="dash" endarrow="open" endarrowwidth="wide" endarrowlength="long"/>
                        <v:imagedata o:title=""/>
                        <o:lock v:ext="edit" aspectratio="f"/>
                      </v:line>
                      <v:line id="_x0000_s1026" o:spid="_x0000_s1026" o:spt="20" style="position:absolute;left:10237;top:418207;height:691;width:1;" filled="f" stroked="t" coordsize="21600,21600" o:gfxdata="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C39FrgAAADbAAAA&#10;DwAAAAAAAAABACAAAAAiAAAAZHJzL2Rvd25yZXYueG1sUEsBAhQAFAAAAAgAh07iQDMvBZ47AAAA&#10;OQAAABAAAAAAAAAAAQAgAAAABwEAAGRycy9zaGFwZXhtbC54bWxQSwUGAAAAAAYABgBbAQAAsQMA&#10;AAAA&#10;">
                        <v:fill on="f" focussize="0,0"/>
                        <v:stroke color="#000000" joinstyle="round" dashstyle="dash" endarrow="open" endarrowwidth="wide" endarrowlength="long"/>
                        <v:imagedata o:title=""/>
                        <o:lock v:ext="edit" aspectratio="f"/>
                      </v:line>
                      <v:line id="_x0000_s1026" o:spid="_x0000_s1026" o:spt="20" style="position:absolute;left:12127;top:418222;height:691;width:1;" filled="f" stroked="t" coordsize="21600,21600" o:gfxdata="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2FYjbgAAADbAAAA&#10;DwAAAAAAAAABACAAAAAiAAAAZHJzL2Rvd25yZXYueG1sUEsBAhQAFAAAAAgAh07iQDMvBZ47AAAA&#10;OQAAABAAAAAAAAAAAQAgAAAABwEAAGRycy9zaGFwZXhtbC54bWxQSwUGAAAAAAYABgBbAQAAsQMA&#10;AAAA&#10;">
                        <v:fill on="f" focussize="0,0"/>
                        <v:stroke color="#000000" joinstyle="round" dashstyle="dash" endarrow="open" endarrowwidth="wide" endarrowlength="long"/>
                        <v:imagedata o:title=""/>
                        <o:lock v:ext="edit" aspectratio="f"/>
                      </v:line>
                      <v:line id="_x0000_s1026" o:spid="_x0000_s1026" o:spt="20" style="position:absolute;left:13972;top:418192;height:691;width:1;" filled="f" stroked="t" coordsize="21600,21600" o:gfxdata="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8RlYrgAAADbAAAA&#10;DwAAAAAAAAABACAAAAAiAAAAZHJzL2Rvd25yZXYueG1sUEsBAhQAFAAAAAgAh07iQDMvBZ47AAAA&#10;OQAAABAAAAAAAAAAAQAgAAAABwEAAGRycy9zaGFwZXhtbC54bWxQSwUGAAAAAAYABgBbAQAAsQMA&#10;AAAA&#10;">
                        <v:fill on="f" focussize="0,0"/>
                        <v:stroke color="#000000" joinstyle="round" dashstyle="dash" endarrow="open" endarrowwidth="wide" endarrowlength="long"/>
                        <v:imagedata o:title=""/>
                        <o:lock v:ext="edit" aspectratio="f"/>
                      </v:line>
                      <v:line id="_x0000_s1026" o:spid="_x0000_s1026" o:spt="20" style="position:absolute;left:8302;top:418883;height:1;width:5670;" filled="f" stroked="t" coordsize="21600,21600" o:gfxdata="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NxTtugAAANsA&#10;AAAPAAAAAAAAAAEAIAAAACIAAABkcnMvZG93bnJldi54bWxQSwECFAAUAAAACACHTuJAMy8FnjsA&#10;AAA5AAAAEAAAAAAAAAABACAAAAAJAQAAZHJzL3NoYXBleG1sLnhtbFBLBQYAAAAABgAGAFsBAACz&#10;AwAAAAA=&#10;">
                        <v:fill on="f" focussize="0,0"/>
                        <v:stroke weight="1pt" color="#000000" joinstyle="round" dashstyle="dash"/>
                        <v:imagedata o:title=""/>
                        <o:lock v:ext="edit" aspectratio="f"/>
                      </v:line>
                      <v:line id="_x0000_s1026" o:spid="_x0000_s1026" o:spt="20" style="position:absolute;left:11152;top:418897;height:691;width:1;" filled="f" stroked="t" coordsize="21600,21600" o:gfxdata="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FpejrgAAADbAAAA&#10;DwAAAAAAAAABACAAAAAiAAAAZHJzL2Rvd25yZXYueG1sUEsBAhQAFAAAAAgAh07iQDMvBZ47AAAA&#10;OQAAABAAAAAAAAAAAQAgAAAABwEAAGRycy9zaGFwZXhtbC54bWxQSwUGAAAAAAYABgBbAQAAsQMA&#10;AAAA&#10;">
                        <v:fill on="f" focussize="0,0"/>
                        <v:stroke color="#000000" joinstyle="round" dashstyle="dash" endarrow="open" endarrowwidth="wide" endarrowlength="long"/>
                        <v:imagedata o:title=""/>
                        <o:lock v:ext="edit" aspectratio="f"/>
                      </v:line>
                      <v:shape id="_x0000_s1026" o:spid="_x0000_s1026" o:spt="202" type="#_x0000_t202" style="position:absolute;left:8573;top:419573;height:465;width:5171;" filled="f" stroked="t" coordsize="21600,21600" o:gfxdata="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NFVIvQAA&#10;ANsAAAAPAAAAAAAAAAEAIAAAACIAAABkcnMvZG93bnJldi54bWxQSwECFAAUAAAACACHTuJAMy8F&#10;njsAAAA5AAAAEAAAAAAAAAABACAAAAAMAQAAZHJzL3NoYXBleG1sLnhtbFBLBQYAAAAABgAGAFsB&#10;AAC2AwAAAAA=&#10;">
                        <v:fill on="f" focussize="0,0"/>
                        <v:stroke color="#000000" joinstyle="miter" dashstyle="dash"/>
                        <v:imagedata o:title=""/>
                        <o:lock v:ext="edit" aspectratio="f"/>
                        <v:textbox>
                          <w:txbxContent>
                            <w:p>
                              <w:r>
                                <w:rPr>
                                  <w:rFonts w:hint="eastAsia"/>
                                </w:rPr>
                                <w:t>扬尘、废气、施工废水、生活污水、建筑垃圾、噪声</w:t>
                              </w:r>
                            </w:p>
                          </w:txbxContent>
                        </v:textbox>
                      </v:shape>
                    </v:group>
                  </w:pict>
                </mc:Fallback>
              </mc:AlternateContent>
            </w:r>
          </w:p>
          <w:p>
            <w:pPr>
              <w:pStyle w:val="8"/>
              <w:spacing w:line="520" w:lineRule="exact"/>
            </w:pPr>
          </w:p>
          <w:p>
            <w:pPr>
              <w:pStyle w:val="8"/>
              <w:spacing w:line="520" w:lineRule="exact"/>
            </w:pPr>
          </w:p>
          <w:p>
            <w:pPr>
              <w:pStyle w:val="8"/>
              <w:spacing w:line="520" w:lineRule="exact"/>
            </w:pPr>
          </w:p>
          <w:p>
            <w:pPr>
              <w:pStyle w:val="8"/>
              <w:spacing w:line="520" w:lineRule="exact"/>
            </w:pPr>
          </w:p>
          <w:p>
            <w:pPr>
              <w:pStyle w:val="8"/>
              <w:jc w:val="center"/>
            </w:pPr>
          </w:p>
          <w:p>
            <w:pPr>
              <w:pStyle w:val="17"/>
              <w:kinsoku w:val="0"/>
              <w:overflowPunct w:val="0"/>
              <w:spacing w:after="0" w:line="360" w:lineRule="auto"/>
              <w:ind w:firstLine="471"/>
              <w:jc w:val="center"/>
              <w:rPr>
                <w:rFonts w:ascii="Times New Roman" w:hAnsi="Times New Roman"/>
                <w:b/>
                <w:bCs/>
                <w:sz w:val="24"/>
                <w:szCs w:val="24"/>
              </w:rPr>
            </w:pPr>
            <w:r>
              <w:rPr>
                <w:rFonts w:ascii="Times New Roman" w:hAnsi="Times New Roman"/>
                <w:b/>
                <w:bCs/>
                <w:sz w:val="24"/>
                <w:szCs w:val="24"/>
              </w:rPr>
              <w:t>图5-1  站场工程工艺流程及产污环节图</w:t>
            </w:r>
          </w:p>
          <w:p>
            <w:pPr>
              <w:pStyle w:val="8"/>
              <w:spacing w:line="520" w:lineRule="exact"/>
              <w:ind w:firstLine="480"/>
              <w:rPr>
                <w:rFonts w:ascii="Times New Roman" w:hAnsi="Times New Roman"/>
                <w:sz w:val="24"/>
                <w:szCs w:val="24"/>
              </w:rPr>
            </w:pPr>
            <w:r>
              <w:rPr>
                <w:rFonts w:hint="eastAsia" w:ascii="Times New Roman" w:hAnsi="Times New Roman"/>
                <w:sz w:val="24"/>
                <w:szCs w:val="24"/>
              </w:rPr>
              <w:t>本项目站场工程为高安首站及横山</w:t>
            </w:r>
            <w:r>
              <w:rPr>
                <w:rFonts w:ascii="Times New Roman" w:hAnsi="Times New Roman"/>
                <w:sz w:val="24"/>
                <w:szCs w:val="24"/>
              </w:rPr>
              <w:t>分输站</w:t>
            </w:r>
            <w:r>
              <w:rPr>
                <w:rFonts w:hint="eastAsia" w:ascii="Times New Roman" w:hAnsi="Times New Roman"/>
                <w:sz w:val="24"/>
                <w:szCs w:val="24"/>
              </w:rPr>
              <w:t>的建设，</w:t>
            </w:r>
            <w:r>
              <w:rPr>
                <w:rFonts w:ascii="Times New Roman" w:hAnsi="Times New Roman"/>
                <w:sz w:val="24"/>
                <w:szCs w:val="24"/>
              </w:rPr>
              <w:t>主要包括生产区、生活区及放空区。生产区主要包括工艺设备区、排污池等，</w:t>
            </w:r>
            <w:r>
              <w:rPr>
                <w:rFonts w:hint="eastAsia" w:ascii="Times New Roman" w:hAnsi="Times New Roman"/>
                <w:sz w:val="24"/>
                <w:szCs w:val="24"/>
              </w:rPr>
              <w:t>工程主要设置过滤、加热、调压、分输等功能，站场主要设过滤分离器、阀门、阀门执行机构、绝缘接头等设备</w:t>
            </w:r>
            <w:r>
              <w:rPr>
                <w:rFonts w:ascii="Times New Roman" w:hAnsi="Times New Roman"/>
                <w:sz w:val="24"/>
                <w:szCs w:val="24"/>
              </w:rPr>
              <w:t>。</w:t>
            </w:r>
          </w:p>
          <w:p>
            <w:pPr>
              <w:pStyle w:val="8"/>
              <w:spacing w:line="520" w:lineRule="exact"/>
              <w:ind w:firstLine="480"/>
              <w:rPr>
                <w:rFonts w:ascii="Times New Roman" w:hAnsi="Times New Roman"/>
                <w:sz w:val="24"/>
                <w:szCs w:val="24"/>
              </w:rPr>
            </w:pPr>
            <w:r>
              <w:rPr>
                <w:rFonts w:hint="eastAsia" w:ascii="Times New Roman" w:hAnsi="Times New Roman"/>
                <w:sz w:val="24"/>
                <w:szCs w:val="24"/>
              </w:rPr>
              <w:t>②天然气管道施工工艺流程如下：</w:t>
            </w:r>
          </w:p>
          <w:p>
            <w:pPr>
              <w:pStyle w:val="8"/>
              <w:spacing w:line="520" w:lineRule="exact"/>
              <w:ind w:firstLine="480"/>
              <w:rPr>
                <w:rFonts w:ascii="Times New Roman" w:hAnsi="Times New Roman"/>
                <w:sz w:val="24"/>
                <w:szCs w:val="24"/>
              </w:rPr>
            </w:pPr>
            <w:r>
              <w:rPr>
                <w:rFonts w:hint="eastAsia" w:ascii="Times New Roman" w:hAnsi="Times New Roman"/>
                <w:sz w:val="24"/>
                <w:szCs w:val="24"/>
              </w:rPr>
              <w:t>施工过程依次包括作业带清理、管沟开挖、穿越、 管道焊接防腐、下管入沟，然后管道进行试压、清扫覆土回填，清理作业现场，恢复地貌。主要施工流程简图及产污节点见下图。</w:t>
            </w:r>
          </w:p>
          <w:p>
            <w:pPr>
              <w:pStyle w:val="9"/>
            </w:pPr>
          </w:p>
          <w:p>
            <w:pPr>
              <w:pStyle w:val="20"/>
              <w:ind w:left="0" w:leftChars="0" w:firstLine="0" w:firstLineChars="0"/>
              <w:jc w:val="center"/>
            </w:pPr>
            <w:r>
              <w:drawing>
                <wp:inline distT="0" distB="0" distL="114300" distR="114300">
                  <wp:extent cx="5067300" cy="5753100"/>
                  <wp:effectExtent l="0" t="0" r="0" b="0"/>
                  <wp:docPr id="6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
                          <pic:cNvPicPr>
                            <a:picLocks noChangeAspect="1"/>
                          </pic:cNvPicPr>
                        </pic:nvPicPr>
                        <pic:blipFill>
                          <a:blip r:embed="rId16"/>
                          <a:stretch>
                            <a:fillRect/>
                          </a:stretch>
                        </pic:blipFill>
                        <pic:spPr>
                          <a:xfrm>
                            <a:off x="0" y="0"/>
                            <a:ext cx="5067300" cy="5753100"/>
                          </a:xfrm>
                          <a:prstGeom prst="rect">
                            <a:avLst/>
                          </a:prstGeom>
                          <a:noFill/>
                          <a:ln>
                            <a:noFill/>
                          </a:ln>
                        </pic:spPr>
                      </pic:pic>
                    </a:graphicData>
                  </a:graphic>
                </wp:inline>
              </w:drawing>
            </w:r>
          </w:p>
          <w:p>
            <w:pPr>
              <w:pStyle w:val="17"/>
              <w:kinsoku w:val="0"/>
              <w:overflowPunct w:val="0"/>
              <w:spacing w:after="0" w:line="360" w:lineRule="auto"/>
              <w:ind w:firstLine="471"/>
              <w:jc w:val="center"/>
              <w:rPr>
                <w:rFonts w:ascii="Times New Roman" w:hAnsi="Times New Roman"/>
                <w:b/>
                <w:bCs/>
                <w:sz w:val="24"/>
                <w:szCs w:val="24"/>
              </w:rPr>
            </w:pPr>
            <w:r>
              <w:rPr>
                <w:rFonts w:ascii="Times New Roman" w:hAnsi="Times New Roman"/>
                <w:b/>
                <w:bCs/>
                <w:sz w:val="24"/>
                <w:szCs w:val="24"/>
              </w:rPr>
              <w:t>图5-</w:t>
            </w:r>
            <w:r>
              <w:rPr>
                <w:rFonts w:hint="eastAsia" w:ascii="Times New Roman" w:hAnsi="Times New Roman"/>
                <w:b/>
                <w:bCs/>
                <w:sz w:val="24"/>
                <w:szCs w:val="24"/>
              </w:rPr>
              <w:t>2</w:t>
            </w:r>
            <w:r>
              <w:rPr>
                <w:rFonts w:ascii="Times New Roman" w:hAnsi="Times New Roman"/>
                <w:b/>
                <w:bCs/>
                <w:sz w:val="24"/>
                <w:szCs w:val="24"/>
              </w:rPr>
              <w:t xml:space="preserve">  </w:t>
            </w:r>
            <w:r>
              <w:rPr>
                <w:rFonts w:hint="eastAsia" w:ascii="Times New Roman" w:hAnsi="Times New Roman"/>
                <w:b/>
                <w:bCs/>
                <w:sz w:val="24"/>
                <w:szCs w:val="24"/>
              </w:rPr>
              <w:t>管道施工</w:t>
            </w:r>
            <w:r>
              <w:rPr>
                <w:rFonts w:ascii="Times New Roman" w:hAnsi="Times New Roman"/>
                <w:b/>
                <w:bCs/>
                <w:sz w:val="24"/>
                <w:szCs w:val="24"/>
              </w:rPr>
              <w:t>工程工艺流程及产污环节图</w:t>
            </w:r>
          </w:p>
          <w:p>
            <w:pPr>
              <w:pStyle w:val="17"/>
              <w:spacing w:after="0" w:line="360" w:lineRule="auto"/>
              <w:ind w:firstLine="480" w:firstLineChars="200"/>
              <w:rPr>
                <w:rFonts w:ascii="Times New Roman" w:hAnsi="Times New Roman"/>
                <w:sz w:val="24"/>
                <w:szCs w:val="24"/>
              </w:rPr>
            </w:pPr>
            <w:r>
              <w:rPr>
                <w:rFonts w:hint="eastAsia" w:ascii="Times New Roman" w:hAnsi="Times New Roman"/>
                <w:sz w:val="24"/>
                <w:szCs w:val="24"/>
              </w:rPr>
              <w:t>（1）清管</w:t>
            </w:r>
          </w:p>
          <w:p>
            <w:pPr>
              <w:pStyle w:val="17"/>
              <w:spacing w:after="0" w:line="360" w:lineRule="auto"/>
              <w:ind w:firstLine="480" w:firstLineChars="200"/>
              <w:rPr>
                <w:rFonts w:ascii="Times New Roman" w:hAnsi="Times New Roman"/>
                <w:sz w:val="24"/>
                <w:szCs w:val="24"/>
              </w:rPr>
            </w:pPr>
            <w:r>
              <w:rPr>
                <w:rFonts w:hint="eastAsia" w:ascii="Times New Roman" w:hAnsi="Times New Roman"/>
                <w:sz w:val="24"/>
                <w:szCs w:val="24"/>
              </w:rPr>
              <w:t>单根管道在组焊前应先进行人工清扫。在全部焊接完成后应对改线段进行清管，管线清管应不少于2次，以排放口不再排出污物为合格。清扫管线应设置清管器临时收、发设施和专门放空管采用密闭式吹扫，不得使用站内设施。清管、试压的排放口不得设在人口稠密区、公共设施集中区。吹扫压力最大不超0.2MPa，清管废水经泥浆池沉淀后回用。清管排放口必须设安全的排水通道，避免淹没排水口周围场地，排水口要高于周围地面，避免积水倒灌。清管合格后应在试压前分别进行测径，测径宜采用铝质测径板，直径为试压段最大壁厚钢管或者弯管内径90%，测径板通过管段后，无变形、褶皱为合格。</w:t>
            </w:r>
          </w:p>
          <w:p>
            <w:pPr>
              <w:pStyle w:val="17"/>
              <w:spacing w:after="0" w:line="360" w:lineRule="auto"/>
              <w:ind w:firstLine="480" w:firstLineChars="200"/>
              <w:rPr>
                <w:rFonts w:ascii="Times New Roman" w:hAnsi="Times New Roman"/>
                <w:sz w:val="24"/>
                <w:szCs w:val="24"/>
              </w:rPr>
            </w:pPr>
            <w:r>
              <w:rPr>
                <w:rFonts w:hint="eastAsia" w:ascii="Times New Roman" w:hAnsi="Times New Roman"/>
                <w:sz w:val="24"/>
                <w:szCs w:val="24"/>
              </w:rPr>
              <w:t>（2）测径</w:t>
            </w:r>
          </w:p>
          <w:p>
            <w:pPr>
              <w:pStyle w:val="17"/>
              <w:spacing w:after="0" w:line="360" w:lineRule="auto"/>
              <w:ind w:firstLine="480" w:firstLineChars="200"/>
              <w:rPr>
                <w:rFonts w:ascii="Times New Roman" w:hAnsi="Times New Roman"/>
                <w:sz w:val="24"/>
                <w:szCs w:val="24"/>
              </w:rPr>
            </w:pPr>
            <w:r>
              <w:rPr>
                <w:rFonts w:hint="eastAsia" w:ascii="Times New Roman" w:hAnsi="Times New Roman"/>
                <w:sz w:val="24"/>
                <w:szCs w:val="24"/>
              </w:rPr>
              <w:t>清管合格后应在试压前分别进行测径。测径宜采用铝质测径板，测径铝板厚度为8mm，直径为试压段最大壁厚钢管或弯管内径的90%，测径板通过管道后，无变形、褶皱为合格。测近半损坏或弯曲时，应分析造成变形的原因，并重新做一次测径，如有变形，则应确定凹陷、弯曲或者损坏的具体位置，对损坏处进行返修，并再次测径板接受时没有出现任何变形。</w:t>
            </w:r>
          </w:p>
          <w:p>
            <w:pPr>
              <w:pStyle w:val="17"/>
              <w:spacing w:after="0"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试压</w:t>
            </w:r>
          </w:p>
          <w:p>
            <w:pPr>
              <w:pStyle w:val="17"/>
              <w:spacing w:after="0"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燃气管道无损检验和吹扫合格后，应进行强度试压和严密性试压。管道应分段进行压力试验，试验管道分段长度不应超过1KM。强度试验压力为为设计压力的1.5倍，严密性试验压力均为设计压力。试验介质采用洁净水，试压用水采取外运水，试压合格后将管段内积水清扫干净，清扫出的污染物应排放到泥浆池，清扫应以不再排出游离水为合格。</w:t>
            </w:r>
          </w:p>
          <w:p>
            <w:pPr>
              <w:pStyle w:val="17"/>
              <w:spacing w:after="0"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焊接</w:t>
            </w:r>
          </w:p>
          <w:p>
            <w:pPr>
              <w:pStyle w:val="17"/>
              <w:spacing w:after="0"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对管道进行焊接，本工程管线焊接完成后，应进行焊缝外观检查，焊缝外观成型均匀一致，焊缝及其热影响区表面上不得有裂纹、气孔、夹渣、飞溅、弧坑等缺陷。本项目管道所有环向焊缝应进行100%外观检查合格后进行100%无损检测，满足焊接工艺评定和《油气长输管道工程施工及验收规范》（GB50369-2014)要求。</w:t>
            </w:r>
          </w:p>
          <w:p>
            <w:pPr>
              <w:pStyle w:val="17"/>
              <w:spacing w:after="0" w:line="360" w:lineRule="auto"/>
              <w:ind w:firstLine="480" w:firstLineChars="200"/>
              <w:rPr>
                <w:rFonts w:hint="default" w:ascii="Times New Roman" w:hAnsi="Times New Roman" w:cs="Times New Roman"/>
                <w:sz w:val="24"/>
                <w:szCs w:val="24"/>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rPr>
              <w:t>施工期污染源强分析</w:t>
            </w:r>
          </w:p>
          <w:p>
            <w:pPr>
              <w:pStyle w:val="17"/>
              <w:spacing w:after="0" w:line="360" w:lineRule="auto"/>
              <w:ind w:firstLine="480" w:firstLineChars="200"/>
              <w:rPr>
                <w:rFonts w:hint="default" w:ascii="Times New Roman" w:hAnsi="Times New Roman" w:eastAsia="宋体" w:cs="Times New Roman"/>
                <w:sz w:val="24"/>
                <w:szCs w:val="24"/>
              </w:rPr>
            </w:pPr>
            <w:r>
              <w:rPr>
                <w:rFonts w:hint="default" w:ascii="Times New Roman" w:hAnsi="Times New Roman" w:cs="Times New Roman"/>
                <w:sz w:val="24"/>
                <w:szCs w:val="24"/>
              </w:rPr>
              <w:t>项目总施工期约为</w:t>
            </w: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rPr>
              <w:t>个月，</w:t>
            </w:r>
            <w:r>
              <w:rPr>
                <w:rFonts w:hint="eastAsia" w:ascii="Times New Roman" w:hAnsi="Times New Roman"/>
                <w:color w:val="000000"/>
                <w:sz w:val="24"/>
                <w:highlight w:val="none"/>
              </w:rPr>
              <w:t>本工程管道为芜湖长江LNG内河接收（转运）站配套天然气外输管道高安-横山分输站段项目的管线，全长约5.8km，管径DN400，设计压力4.0MPa</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管道运行期间采用密闭输送</w:t>
            </w:r>
            <w:r>
              <w:rPr>
                <w:rFonts w:hint="default" w:ascii="Times New Roman" w:hAnsi="Times New Roman" w:eastAsia="宋体" w:cs="Times New Roman"/>
                <w:sz w:val="24"/>
                <w:szCs w:val="24"/>
              </w:rPr>
              <w:t>，总施工人员约</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0人/d。施工人员均来自附近村镇，项目区不设置施工营地。施工期间的环境污染因素主要为废水、废气、固废、噪声等。</w:t>
            </w:r>
          </w:p>
          <w:p>
            <w:pPr>
              <w:pStyle w:val="17"/>
              <w:spacing w:after="0" w:line="360" w:lineRule="auto"/>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①</w:t>
            </w:r>
            <w:r>
              <w:rPr>
                <w:rFonts w:hint="eastAsia" w:ascii="Times New Roman" w:hAnsi="Times New Roman" w:eastAsia="宋体" w:cs="Times New Roman"/>
                <w:sz w:val="24"/>
                <w:szCs w:val="24"/>
                <w:lang w:val="en-US" w:eastAsia="zh-CN"/>
              </w:rPr>
              <w:t>废气</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t>站场废气污染源分析</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站场施工废气来源于新建站场土地平整等施工活动的扬尘、施工机械排放的废气和站场产生的焊接废气。站场土地平整将产生施工扬尘，主要污染因子为TSP。在采取一定措施后，施工扬尘的量将减少。在机械施工过程中，将有少量的柴油燃烧废气产生，主要污染物有N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、CmHn等。站场将产生少量焊接废气，主要污染物为有机废气等，有机废气约0.08t。</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管线施工废气污染源分析</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管线施工废气主要来自运输车辆尾气，开挖、运输、土石方堆放产生的扬尘和管线焊接防腐施工产生的废气及施工机械排放的废气等。</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运输车辆的尾气：主要污染因子为NO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、CmHn等。本工程运输车辆数少，其排放尾气相对较少。</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管线施工扬尘：本项目施工扬尘主要产生在以下环节：</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管沟开挖时产生的扬尘；</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开挖产生的临时土石方堆放时产生的扬尘。本项目输气管线管沟开挖主要为机械开挖，所挖出的土石方作为管沟回填土就地回填，不能用于回填的钻渣，因施工点较零散，且弃渣量较少，水保方案规划堆置于施工区内的小型弃渣点。管沟开挖过程中，仅在土石方临时堆放期间产生扬尘，由于本项目采用机械化作业，分段施工，每个施工段的时间均较短，在采用洒水降尘措施及加强施工管理后，临时堆放土石方产生的扬尘量甚微。</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焊接防腐废气：管道焊接产生焊接烟尘，防腐产生喷砂粉尘、有机废气（以非甲总烃计）等。</w:t>
            </w:r>
            <w:r>
              <w:rPr>
                <w:rFonts w:hint="eastAsia" w:ascii="Times New Roman" w:hAnsi="Times New Roman"/>
                <w:sz w:val="24"/>
              </w:rPr>
              <w:t>管道焊接产生焊接烟尘等。根据类比资料，每公里管道消耗约400kg的焊条。1kg焊条约产生8g烟尘，则本工程产生的焊接烟尘约0.0156t。</w:t>
            </w:r>
          </w:p>
          <w:p>
            <w:pPr>
              <w:pStyle w:val="17"/>
              <w:spacing w:after="0"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施工机械废气：本项目管线大部分采用机械化方式进行管沟开挖和穿越施工，在机械施工过程中，将有少量的柴油燃烧废气产生，主要污染物有NO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、CmHn等。</w:t>
            </w:r>
          </w:p>
          <w:p>
            <w:pPr>
              <w:pStyle w:val="17"/>
              <w:spacing w:after="0" w:line="360" w:lineRule="auto"/>
              <w:ind w:firstLine="480" w:firstLineChars="200"/>
              <w:rPr>
                <w:rFonts w:hint="eastAsia" w:ascii="Times New Roman" w:hAnsi="Times New Roman" w:eastAsia="宋体" w:cs="Times New Roman"/>
                <w:sz w:val="24"/>
                <w:szCs w:val="22"/>
                <w:lang w:val="en-US" w:eastAsia="zh-CN"/>
              </w:rPr>
            </w:pPr>
            <w:r>
              <w:rPr>
                <w:rFonts w:hint="eastAsia" w:ascii="Times New Roman" w:hAnsi="Times New Roman" w:eastAsia="宋体" w:cs="Times New Roman"/>
                <w:sz w:val="24"/>
                <w:szCs w:val="22"/>
                <w:lang w:val="en-US" w:eastAsia="zh-CN"/>
              </w:rPr>
              <w:t>②废水</w:t>
            </w:r>
          </w:p>
          <w:p>
            <w:pPr>
              <w:pStyle w:val="17"/>
              <w:spacing w:after="0" w:line="360" w:lineRule="auto"/>
              <w:ind w:firstLine="480" w:firstLineChars="200"/>
              <w:rPr>
                <w:rFonts w:hint="eastAsia" w:ascii="Times New Roman" w:hAnsi="Times New Roman" w:eastAsia="宋体" w:cs="Times New Roman"/>
                <w:sz w:val="24"/>
                <w:szCs w:val="22"/>
              </w:rPr>
            </w:pPr>
            <w:r>
              <w:rPr>
                <w:rFonts w:hint="eastAsia" w:ascii="Times New Roman" w:hAnsi="Times New Roman" w:eastAsia="宋体" w:cs="Times New Roman"/>
                <w:sz w:val="24"/>
                <w:szCs w:val="22"/>
              </w:rPr>
              <w:t>废水污染源主要分为施工生产废水，其来源及产生量分析见下表。</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ascii="Times New Roman" w:hAnsi="Times New Roman" w:eastAsia="宋体" w:cs="Times New Roman"/>
                <w:b/>
                <w:bCs/>
                <w:sz w:val="24"/>
                <w:szCs w:val="24"/>
                <w:lang w:val="en-US" w:eastAsia="zh-CN"/>
              </w:rPr>
              <w:t>5-1</w:t>
            </w:r>
            <w:r>
              <w:rPr>
                <w:rFonts w:hint="default" w:ascii="Times New Roman" w:hAnsi="Times New Roman" w:eastAsia="宋体" w:cs="Times New Roman"/>
                <w:b/>
                <w:bCs/>
                <w:sz w:val="24"/>
                <w:szCs w:val="24"/>
              </w:rPr>
              <w:t xml:space="preserve">   施工期废水污染源及源强分析表</w:t>
            </w:r>
          </w:p>
          <w:tbl>
            <w:tblPr>
              <w:tblStyle w:val="32"/>
              <w:tblW w:w="48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786"/>
              <w:gridCol w:w="1237"/>
              <w:gridCol w:w="1913"/>
              <w:gridCol w:w="2502"/>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tblHeader/>
                <w:jc w:val="center"/>
              </w:trPr>
              <w:tc>
                <w:tcPr>
                  <w:tcW w:w="444"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废水</w:t>
                  </w:r>
                </w:p>
                <w:p>
                  <w:pPr>
                    <w:pStyle w:val="102"/>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类别</w:t>
                  </w:r>
                </w:p>
              </w:tc>
              <w:tc>
                <w:tcPr>
                  <w:tcW w:w="699"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来源</w:t>
                  </w:r>
                </w:p>
              </w:tc>
              <w:tc>
                <w:tcPr>
                  <w:tcW w:w="1081"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主要成分及浓度</w:t>
                  </w:r>
                </w:p>
              </w:tc>
              <w:tc>
                <w:tcPr>
                  <w:tcW w:w="1414"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废水产生量</w:t>
                  </w:r>
                </w:p>
              </w:tc>
              <w:tc>
                <w:tcPr>
                  <w:tcW w:w="1360"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措施及去向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444" w:type="pct"/>
                  <w:vMerge w:val="restar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施工生产废水</w:t>
                  </w:r>
                </w:p>
              </w:tc>
              <w:tc>
                <w:tcPr>
                  <w:tcW w:w="699"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站场（</w:t>
                  </w:r>
                  <w:r>
                    <w:rPr>
                      <w:rFonts w:hint="eastAsia" w:ascii="Times New Roman" w:hAnsi="Times New Roman" w:eastAsia="宋体" w:cs="Times New Roman"/>
                      <w:sz w:val="21"/>
                      <w:szCs w:val="21"/>
                      <w:lang w:val="en-US" w:eastAsia="zh-CN"/>
                    </w:rPr>
                    <w:t>高安首站</w:t>
                  </w:r>
                  <w:r>
                    <w:rPr>
                      <w:rFonts w:hint="default"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eastAsia="zh-CN"/>
                    </w:rPr>
                    <w:t>横山</w:t>
                  </w:r>
                  <w:r>
                    <w:rPr>
                      <w:rFonts w:hint="default" w:ascii="Times New Roman" w:hAnsi="Times New Roman" w:eastAsia="宋体" w:cs="Times New Roman"/>
                      <w:sz w:val="21"/>
                      <w:szCs w:val="21"/>
                      <w:lang w:val="en-US"/>
                    </w:rPr>
                    <w:t>分输站）</w:t>
                  </w:r>
                </w:p>
              </w:tc>
              <w:tc>
                <w:tcPr>
                  <w:tcW w:w="1081"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施工场地产生的初期雨水，主要污染物为SS。</w:t>
                  </w:r>
                </w:p>
              </w:tc>
              <w:tc>
                <w:tcPr>
                  <w:tcW w:w="1414"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随季节雨量变化而变化，雨季产生量较大，旱季产生量较小</w:t>
                  </w:r>
                </w:p>
              </w:tc>
              <w:tc>
                <w:tcPr>
                  <w:tcW w:w="1360"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尽量避开雨季施工，在站场四周设置集雨沟及简易沉淀池，沉淀后用于场地周边灌溉及洒水抑尘，不能利用的借助已有沟渠排放。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444" w:type="pct"/>
                  <w:vMerge w:val="continue"/>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p>
              </w:tc>
              <w:tc>
                <w:tcPr>
                  <w:tcW w:w="699"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管线施工废水</w:t>
                  </w:r>
                </w:p>
              </w:tc>
              <w:tc>
                <w:tcPr>
                  <w:tcW w:w="1081"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定向钻、顶管施工将产生泥浆水。</w:t>
                  </w:r>
                </w:p>
              </w:tc>
              <w:tc>
                <w:tcPr>
                  <w:tcW w:w="1414"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其产生量和具体施工方式、钻孔深度、地质条件有关，无法精确定量。</w:t>
                  </w:r>
                </w:p>
              </w:tc>
              <w:tc>
                <w:tcPr>
                  <w:tcW w:w="1360"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处置方式为泥浆池沉淀处理后综合利用（洒水等）。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444" w:type="pct"/>
                  <w:vMerge w:val="continue"/>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p>
              </w:tc>
              <w:tc>
                <w:tcPr>
                  <w:tcW w:w="699"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管道清管废水</w:t>
                  </w:r>
                </w:p>
              </w:tc>
              <w:tc>
                <w:tcPr>
                  <w:tcW w:w="1081"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项目管道组焊并完成稳管后，将采用清洁水对管道进行清管、试压。管道试压后排水中的主要污染物为少量铁锈和悬浮物，根据类比，该部分废水SS浓度低于100mg/L左右。</w:t>
                  </w:r>
                </w:p>
              </w:tc>
              <w:tc>
                <w:tcPr>
                  <w:tcW w:w="1414"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试压时需用水充满整个管道，因此，试压用水至少等于管道体积，在有流量的试压情况下，本项目管道试压分段进行，水源重复利用率50%，拟建项目新建干线管道全长</w:t>
                  </w:r>
                  <w:r>
                    <w:rPr>
                      <w:rFonts w:hint="eastAsia" w:ascii="Times New Roman" w:hAnsi="Times New Roman" w:eastAsia="宋体" w:cs="Times New Roman"/>
                      <w:sz w:val="21"/>
                      <w:szCs w:val="21"/>
                      <w:lang w:val="en-US" w:eastAsia="zh-CN"/>
                    </w:rPr>
                    <w:t>5.8</w:t>
                  </w:r>
                  <w:r>
                    <w:rPr>
                      <w:rFonts w:hint="default" w:ascii="Times New Roman" w:hAnsi="Times New Roman" w:eastAsia="宋体" w:cs="Times New Roman"/>
                      <w:sz w:val="21"/>
                      <w:szCs w:val="21"/>
                      <w:lang w:val="en-US"/>
                    </w:rPr>
                    <w:t>km，管道规格为</w:t>
                  </w:r>
                  <w:r>
                    <w:rPr>
                      <w:rFonts w:hint="default" w:ascii="Times New Roman" w:hAnsi="Times New Roman" w:eastAsia="宋体" w:cs="Times New Roman"/>
                      <w:bCs/>
                      <w:sz w:val="21"/>
                      <w:szCs w:val="21"/>
                    </w:rPr>
                    <w:t>DN</w:t>
                  </w:r>
                  <w:r>
                    <w:rPr>
                      <w:rFonts w:hint="eastAsia" w:ascii="Times New Roman" w:hAnsi="Times New Roman" w:eastAsia="宋体" w:cs="Times New Roman"/>
                      <w:bCs/>
                      <w:sz w:val="21"/>
                      <w:szCs w:val="21"/>
                      <w:lang w:val="en-US" w:eastAsia="zh-CN"/>
                    </w:rPr>
                    <w:t>4</w:t>
                  </w:r>
                  <w:r>
                    <w:rPr>
                      <w:rFonts w:hint="default" w:ascii="Times New Roman" w:hAnsi="Times New Roman" w:eastAsia="宋体" w:cs="Times New Roman"/>
                      <w:bCs/>
                      <w:sz w:val="21"/>
                      <w:szCs w:val="21"/>
                    </w:rPr>
                    <w:t>00</w:t>
                  </w:r>
                  <w:r>
                    <w:rPr>
                      <w:rFonts w:hint="default" w:ascii="Times New Roman" w:hAnsi="Times New Roman" w:eastAsia="宋体" w:cs="Times New Roman"/>
                      <w:sz w:val="21"/>
                      <w:szCs w:val="21"/>
                      <w:lang w:val="en-US"/>
                    </w:rPr>
                    <w:t>mm，分段最大水量为</w:t>
                  </w:r>
                  <w:r>
                    <w:rPr>
                      <w:rFonts w:hint="eastAsia" w:ascii="Times New Roman" w:hAnsi="Times New Roman" w:eastAsia="宋体" w:cs="Times New Roman"/>
                      <w:sz w:val="21"/>
                      <w:szCs w:val="21"/>
                      <w:lang w:val="en-US" w:eastAsia="zh-CN"/>
                    </w:rPr>
                    <w:t>93.3</w:t>
                  </w:r>
                  <w:r>
                    <w:rPr>
                      <w:rFonts w:hint="default" w:ascii="Times New Roman" w:hAnsi="Times New Roman" w:eastAsia="宋体" w:cs="Times New Roman"/>
                      <w:sz w:val="21"/>
                      <w:szCs w:val="21"/>
                      <w:lang w:val="en-US"/>
                    </w:rPr>
                    <w:t>m</w:t>
                  </w:r>
                  <w:r>
                    <w:rPr>
                      <w:rFonts w:hint="default" w:ascii="Times New Roman" w:hAnsi="Times New Roman" w:eastAsia="宋体" w:cs="Times New Roman"/>
                      <w:sz w:val="21"/>
                      <w:szCs w:val="21"/>
                      <w:vertAlign w:val="superscript"/>
                      <w:lang w:val="en-US"/>
                    </w:rPr>
                    <w:t>3</w:t>
                  </w:r>
                  <w:r>
                    <w:rPr>
                      <w:rFonts w:hint="default" w:ascii="Times New Roman" w:hAnsi="Times New Roman" w:eastAsia="宋体" w:cs="Times New Roman"/>
                      <w:sz w:val="21"/>
                      <w:szCs w:val="21"/>
                      <w:lang w:val="en-US"/>
                    </w:rPr>
                    <w:t>，本项目试压废水总量为1</w:t>
                  </w:r>
                  <w:r>
                    <w:rPr>
                      <w:rFonts w:hint="eastAsia" w:ascii="Times New Roman" w:hAnsi="Times New Roman" w:eastAsia="宋体" w:cs="Times New Roman"/>
                      <w:sz w:val="21"/>
                      <w:szCs w:val="21"/>
                      <w:lang w:val="en-US" w:eastAsia="zh-CN"/>
                    </w:rPr>
                    <w:t>82</w:t>
                  </w:r>
                  <w:r>
                    <w:rPr>
                      <w:rFonts w:hint="default" w:ascii="Times New Roman" w:hAnsi="Times New Roman" w:eastAsia="宋体" w:cs="Times New Roman"/>
                      <w:sz w:val="21"/>
                      <w:szCs w:val="21"/>
                      <w:lang w:val="en-US"/>
                    </w:rPr>
                    <w:t>m</w:t>
                  </w:r>
                  <w:r>
                    <w:rPr>
                      <w:rFonts w:hint="default" w:ascii="Times New Roman" w:hAnsi="Times New Roman" w:eastAsia="宋体" w:cs="Times New Roman"/>
                      <w:sz w:val="21"/>
                      <w:szCs w:val="21"/>
                      <w:vertAlign w:val="superscript"/>
                      <w:lang w:val="en-US"/>
                    </w:rPr>
                    <w:t>3</w:t>
                  </w:r>
                  <w:r>
                    <w:rPr>
                      <w:rFonts w:hint="default" w:ascii="Times New Roman" w:hAnsi="Times New Roman" w:eastAsia="宋体" w:cs="Times New Roman"/>
                      <w:sz w:val="21"/>
                      <w:szCs w:val="21"/>
                      <w:lang w:val="en-US"/>
                    </w:rPr>
                    <w:t>。</w:t>
                  </w:r>
                </w:p>
              </w:tc>
              <w:tc>
                <w:tcPr>
                  <w:tcW w:w="1360" w:type="pct"/>
                  <w:shd w:val="clear" w:color="auto" w:fill="auto"/>
                  <w:vAlign w:val="center"/>
                </w:tcPr>
                <w:p>
                  <w:pPr>
                    <w:pStyle w:val="102"/>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但由于这部分废水排放量大，排放时间短，需做好废水的收集和排放工作，一般可通过简易沉淀后综合利用</w:t>
                  </w:r>
                  <w:r>
                    <w:rPr>
                      <w:rFonts w:hint="default" w:ascii="Times New Roman" w:hAnsi="Times New Roman" w:eastAsia="宋体" w:cs="Times New Roman"/>
                      <w:kern w:val="2"/>
                      <w:sz w:val="21"/>
                      <w:szCs w:val="21"/>
                    </w:rPr>
                    <w:t>。</w:t>
                  </w:r>
                  <w:r>
                    <w:rPr>
                      <w:rFonts w:hint="default" w:ascii="Times New Roman" w:hAnsi="Times New Roman" w:eastAsia="宋体" w:cs="Times New Roman"/>
                      <w:sz w:val="21"/>
                      <w:szCs w:val="21"/>
                      <w:lang w:val="en-US"/>
                    </w:rPr>
                    <w:t>根据国内其他管线建设经验，这部分废水经沉淀后外排对外环境不会产生大的影响。</w:t>
                  </w:r>
                </w:p>
              </w:tc>
            </w:tr>
          </w:tbl>
          <w:p>
            <w:pPr>
              <w:pStyle w:val="17"/>
              <w:spacing w:after="0" w:line="360" w:lineRule="auto"/>
              <w:ind w:firstLine="480" w:firstLineChars="200"/>
              <w:rPr>
                <w:rFonts w:hint="default" w:ascii="Times New Roman" w:hAnsi="Times New Roman" w:eastAsia="宋体" w:cs="Times New Roman"/>
                <w:sz w:val="24"/>
                <w:szCs w:val="24"/>
                <w:lang w:val="en-US" w:eastAsia="zh-CN"/>
              </w:rPr>
            </w:pPr>
          </w:p>
          <w:p>
            <w:pPr>
              <w:pStyle w:val="17"/>
              <w:spacing w:after="0" w:line="360" w:lineRule="auto"/>
              <w:ind w:firstLine="480" w:firstLineChars="200"/>
              <w:rPr>
                <w:rFonts w:hint="eastAsia" w:ascii="Times New Roman" w:hAnsi="Times New Roman" w:eastAsia="宋体"/>
                <w:sz w:val="24"/>
                <w:szCs w:val="24"/>
                <w:lang w:val="en-US" w:eastAsia="zh-CN"/>
              </w:rPr>
            </w:pPr>
            <w:r>
              <w:rPr>
                <w:rFonts w:hint="eastAsia" w:ascii="Times New Roman" w:hAnsi="Times New Roman"/>
                <w:sz w:val="24"/>
                <w:szCs w:val="24"/>
              </w:rPr>
              <w:t>③</w:t>
            </w:r>
            <w:r>
              <w:rPr>
                <w:rFonts w:hint="eastAsia" w:ascii="Times New Roman" w:hAnsi="Times New Roman"/>
                <w:sz w:val="24"/>
                <w:szCs w:val="24"/>
                <w:lang w:val="en-US" w:eastAsia="zh-CN"/>
              </w:rPr>
              <w:t>噪声</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ascii="Times New Roman" w:hAnsi="Times New Roman"/>
                <w:sz w:val="24"/>
                <w:szCs w:val="24"/>
              </w:rPr>
              <w:t>站场施工噪声源分析</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站场施工噪声主要来源于新建站场土建施工和少量进出施工场地的运输车辆的交通噪声等。其中，挖土机的声源强度为78~96dB(A)，电焊机的声源强度为90~95dB(A)，轻型载重车的声源强度为75～80dB(A)。</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ascii="Times New Roman" w:hAnsi="Times New Roman"/>
                <w:sz w:val="24"/>
                <w:szCs w:val="24"/>
              </w:rPr>
              <w:t>管线施工噪声源分析</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管线施工噪声主要来源于管沟开挖作业产生的设备噪声、道路穿越施工以及少量进出施工场地的运输车辆的交通噪声等。本项目的噪声源来自于施工作业机械，主要噪声设备有挖掘机、电焊机、推土机、定向钻等设备，噪声源强一般在85~100dB(A)（距设备5m处)之间。</w:t>
            </w:r>
          </w:p>
          <w:p>
            <w:pPr>
              <w:pStyle w:val="108"/>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5</w:t>
            </w:r>
            <w:r>
              <w:rPr>
                <w:rFonts w:hint="default" w:ascii="Times New Roman" w:hAnsi="Times New Roman" w:cs="Times New Roman"/>
                <w:b/>
                <w:color w:val="auto"/>
                <w:sz w:val="24"/>
                <w:szCs w:val="24"/>
              </w:rPr>
              <w:t>-</w:t>
            </w:r>
            <w:r>
              <w:rPr>
                <w:rFonts w:hint="eastAsia" w:ascii="Times New Roman" w:hAnsi="Times New Roman" w:cs="Times New Roman"/>
                <w:b/>
                <w:color w:val="auto"/>
                <w:sz w:val="24"/>
                <w:szCs w:val="24"/>
                <w:lang w:val="en-US" w:eastAsia="zh-CN"/>
              </w:rPr>
              <w:t>2</w:t>
            </w:r>
            <w:r>
              <w:rPr>
                <w:rFonts w:hint="default" w:ascii="Times New Roman" w:hAnsi="Times New Roman" w:cs="Times New Roman"/>
                <w:b/>
                <w:color w:val="auto"/>
                <w:sz w:val="24"/>
                <w:szCs w:val="24"/>
              </w:rPr>
              <w:tab/>
            </w:r>
            <w:r>
              <w:rPr>
                <w:rFonts w:hint="eastAsia" w:ascii="Times New Roman" w:hAnsi="Times New Roman" w:cs="Times New Roman"/>
                <w:b/>
                <w:color w:val="auto"/>
                <w:sz w:val="24"/>
                <w:szCs w:val="24"/>
                <w:lang w:val="en-US" w:eastAsia="zh-CN"/>
              </w:rPr>
              <w:t>施工设备</w:t>
            </w:r>
            <w:r>
              <w:rPr>
                <w:rFonts w:hint="default" w:ascii="Times New Roman" w:hAnsi="Times New Roman" w:cs="Times New Roman"/>
                <w:b/>
                <w:color w:val="auto"/>
                <w:sz w:val="24"/>
                <w:szCs w:val="24"/>
              </w:rPr>
              <w:t>主要噪声源及其声级</w:t>
            </w:r>
            <w:r>
              <w:rPr>
                <w:rFonts w:hint="eastAsia" w:ascii="Times New Roman" w:hAnsi="Times New Roman" w:cs="Times New Roman"/>
                <w:b/>
                <w:color w:val="auto"/>
                <w:sz w:val="24"/>
                <w:szCs w:val="24"/>
                <w:lang w:val="en-US" w:eastAsia="zh-CN"/>
              </w:rPr>
              <w:t xml:space="preserve">   </w:t>
            </w:r>
            <w:r>
              <w:rPr>
                <w:rFonts w:hint="default" w:ascii="Times New Roman" w:hAnsi="Times New Roman" w:cs="Times New Roman"/>
                <w:b/>
                <w:color w:val="auto"/>
                <w:sz w:val="24"/>
                <w:szCs w:val="24"/>
              </w:rPr>
              <w:t>（单位：dB（A））</w:t>
            </w:r>
          </w:p>
          <w:tbl>
            <w:tblPr>
              <w:tblStyle w:val="32"/>
              <w:tblW w:w="0" w:type="auto"/>
              <w:jc w:val="center"/>
              <w:tblLayout w:type="fixed"/>
              <w:tblCellMar>
                <w:top w:w="0" w:type="dxa"/>
                <w:left w:w="108" w:type="dxa"/>
                <w:bottom w:w="0" w:type="dxa"/>
                <w:right w:w="108" w:type="dxa"/>
              </w:tblCellMar>
            </w:tblPr>
            <w:tblGrid>
              <w:gridCol w:w="2469"/>
              <w:gridCol w:w="1953"/>
              <w:gridCol w:w="2470"/>
              <w:gridCol w:w="1953"/>
            </w:tblGrid>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液压挖掘机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推土机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电动挖掘机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轮式装载机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移动式发电机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102</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电锤</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定向钻</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电焊机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r>
          </w:tbl>
          <w:p>
            <w:pPr>
              <w:pStyle w:val="17"/>
              <w:kinsoku w:val="0"/>
              <w:overflowPunct w:val="0"/>
              <w:spacing w:line="257" w:lineRule="exact"/>
              <w:ind w:right="232"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注：以上数值取自《环境噪声与振动控制工程技术导则》（</w:t>
            </w:r>
            <w:r>
              <w:rPr>
                <w:rFonts w:hint="default" w:ascii="Times New Roman" w:hAnsi="Times New Roman" w:eastAsia="Times New Roman" w:cs="Times New Roman"/>
                <w:color w:val="auto"/>
                <w:sz w:val="21"/>
                <w:szCs w:val="21"/>
              </w:rPr>
              <w:t>HJ2034-2013</w:t>
            </w:r>
            <w:r>
              <w:rPr>
                <w:rFonts w:hint="default" w:ascii="Times New Roman" w:hAnsi="Times New Roman" w:cs="Times New Roman"/>
                <w:color w:val="auto"/>
                <w:sz w:val="21"/>
                <w:szCs w:val="21"/>
              </w:rPr>
              <w:t>）。</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sz w:val="24"/>
                <w:szCs w:val="24"/>
              </w:rPr>
              <w:t>④</w:t>
            </w:r>
            <w:r>
              <w:rPr>
                <w:rFonts w:hint="eastAsia" w:ascii="Times New Roman" w:hAnsi="Times New Roman"/>
                <w:sz w:val="24"/>
                <w:szCs w:val="24"/>
                <w:lang w:val="en-US" w:eastAsia="zh-CN"/>
              </w:rPr>
              <w:t>固废</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ascii="Times New Roman" w:hAnsi="Times New Roman"/>
                <w:sz w:val="24"/>
                <w:szCs w:val="24"/>
              </w:rPr>
              <w:t>站场固废</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站场施工固废来源于场地建筑施工、焊接施工时产生的建筑垃圾和焊接废料以及场地平整时产生的临时性堆土。根据项目</w:t>
            </w:r>
            <w:r>
              <w:rPr>
                <w:rFonts w:hint="eastAsia" w:ascii="Times New Roman" w:hAnsi="Times New Roman"/>
                <w:sz w:val="24"/>
                <w:szCs w:val="24"/>
                <w:lang w:val="en-US" w:eastAsia="zh-CN"/>
              </w:rPr>
              <w:t>设计资料</w:t>
            </w:r>
            <w:r>
              <w:rPr>
                <w:rFonts w:hint="eastAsia" w:ascii="Times New Roman" w:hAnsi="Times New Roman"/>
                <w:sz w:val="24"/>
                <w:szCs w:val="24"/>
              </w:rPr>
              <w:t>，本项目站场挖方</w:t>
            </w:r>
            <w:r>
              <w:rPr>
                <w:rFonts w:hint="eastAsia" w:ascii="Times New Roman" w:hAnsi="Times New Roman"/>
                <w:sz w:val="24"/>
                <w:szCs w:val="24"/>
                <w:lang w:val="en-US" w:eastAsia="zh-CN"/>
              </w:rPr>
              <w:t>12</w:t>
            </w:r>
            <w:r>
              <w:rPr>
                <w:rFonts w:hint="eastAsia" w:ascii="Times New Roman" w:hAnsi="Times New Roman"/>
                <w:sz w:val="24"/>
                <w:szCs w:val="24"/>
              </w:rPr>
              <w:t>7</w:t>
            </w:r>
            <w:r>
              <w:rPr>
                <w:rFonts w:hint="eastAsia" w:ascii="Times New Roman" w:hAnsi="Times New Roman"/>
                <w:sz w:val="24"/>
                <w:szCs w:val="24"/>
                <w:lang w:val="en-US" w:eastAsia="zh-CN"/>
              </w:rPr>
              <w:t>63</w:t>
            </w:r>
            <w:r>
              <w:rPr>
                <w:rFonts w:hint="eastAsia" w:ascii="Times New Roman" w:hAnsi="Times New Roman"/>
                <w:sz w:val="24"/>
                <w:szCs w:val="24"/>
              </w:rPr>
              <w:t>m</w:t>
            </w:r>
            <w:r>
              <w:rPr>
                <w:rFonts w:hint="eastAsia" w:ascii="Times New Roman" w:hAnsi="Times New Roman"/>
                <w:sz w:val="24"/>
                <w:szCs w:val="24"/>
                <w:vertAlign w:val="superscript"/>
              </w:rPr>
              <w:t>3</w:t>
            </w:r>
            <w:r>
              <w:rPr>
                <w:rFonts w:hint="eastAsia" w:ascii="Times New Roman" w:hAnsi="Times New Roman"/>
                <w:sz w:val="24"/>
                <w:szCs w:val="24"/>
              </w:rPr>
              <w:t>，填方</w:t>
            </w:r>
            <w:r>
              <w:rPr>
                <w:rFonts w:hint="eastAsia" w:ascii="Times New Roman" w:hAnsi="Times New Roman"/>
                <w:sz w:val="24"/>
                <w:szCs w:val="24"/>
                <w:lang w:val="en-US" w:eastAsia="zh-CN"/>
              </w:rPr>
              <w:t>12763</w:t>
            </w:r>
            <w:r>
              <w:rPr>
                <w:rFonts w:hint="eastAsia" w:ascii="Times New Roman" w:hAnsi="Times New Roman"/>
                <w:sz w:val="24"/>
                <w:szCs w:val="24"/>
              </w:rPr>
              <w:t>m</w:t>
            </w:r>
            <w:r>
              <w:rPr>
                <w:rFonts w:hint="eastAsia" w:ascii="Times New Roman" w:hAnsi="Times New Roman"/>
                <w:sz w:val="24"/>
                <w:szCs w:val="24"/>
                <w:vertAlign w:val="superscript"/>
              </w:rPr>
              <w:t>3</w:t>
            </w:r>
            <w:r>
              <w:rPr>
                <w:rFonts w:hint="eastAsia" w:ascii="Times New Roman" w:hAnsi="Times New Roman"/>
                <w:sz w:val="24"/>
                <w:szCs w:val="24"/>
              </w:rPr>
              <w:t>，无借、弃方。</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ascii="Times New Roman" w:hAnsi="Times New Roman"/>
                <w:sz w:val="24"/>
                <w:szCs w:val="24"/>
              </w:rPr>
              <w:t>管线施工固废污染源分析</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管线施工固体废物主要来源于工程施工弃渣、废弃泥浆和施工废料等。</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1）施工弃渣</w:t>
            </w:r>
          </w:p>
          <w:p>
            <w:pPr>
              <w:pStyle w:val="17"/>
              <w:kinsoku w:val="0"/>
              <w:overflowPunct w:val="0"/>
              <w:spacing w:after="0" w:line="360" w:lineRule="auto"/>
              <w:ind w:firstLine="471"/>
              <w:rPr>
                <w:rFonts w:hint="default" w:ascii="Times New Roman" w:hAnsi="Times New Roman" w:cs="Times New Roman"/>
                <w:color w:val="auto"/>
                <w:sz w:val="24"/>
                <w:szCs w:val="24"/>
              </w:rPr>
            </w:pPr>
            <w:r>
              <w:rPr>
                <w:rFonts w:hint="eastAsia" w:ascii="Times New Roman" w:hAnsi="Times New Roman"/>
                <w:sz w:val="24"/>
                <w:szCs w:val="24"/>
              </w:rPr>
              <w:t>管线施工过程中土石方主要来自管沟开挖、穿越工程。根据项目</w:t>
            </w:r>
            <w:r>
              <w:rPr>
                <w:rFonts w:hint="eastAsia" w:ascii="Times New Roman" w:hAnsi="Times New Roman"/>
                <w:sz w:val="24"/>
                <w:szCs w:val="24"/>
                <w:lang w:val="en-US" w:eastAsia="zh-CN"/>
              </w:rPr>
              <w:t>设计资料</w:t>
            </w:r>
            <w:r>
              <w:rPr>
                <w:rFonts w:hint="eastAsia" w:ascii="Times New Roman" w:hAnsi="Times New Roman"/>
                <w:sz w:val="24"/>
                <w:szCs w:val="24"/>
              </w:rPr>
              <w:t>，管线施工时挖方</w:t>
            </w:r>
            <w:r>
              <w:rPr>
                <w:rFonts w:hint="eastAsia" w:ascii="Times New Roman" w:hAnsi="Times New Roman"/>
                <w:sz w:val="24"/>
                <w:szCs w:val="24"/>
                <w:lang w:val="en-US" w:eastAsia="zh-CN"/>
              </w:rPr>
              <w:t>4.58</w:t>
            </w:r>
            <w:r>
              <w:rPr>
                <w:rFonts w:hint="eastAsia" w:ascii="Times New Roman" w:hAnsi="Times New Roman"/>
                <w:sz w:val="24"/>
                <w:szCs w:val="24"/>
              </w:rPr>
              <w:t>万m</w:t>
            </w:r>
            <w:r>
              <w:rPr>
                <w:rFonts w:hint="eastAsia" w:ascii="Times New Roman" w:hAnsi="Times New Roman"/>
                <w:sz w:val="24"/>
                <w:szCs w:val="24"/>
                <w:vertAlign w:val="superscript"/>
              </w:rPr>
              <w:t>3</w:t>
            </w:r>
            <w:r>
              <w:rPr>
                <w:rFonts w:hint="eastAsia" w:ascii="Times New Roman" w:hAnsi="Times New Roman"/>
                <w:sz w:val="24"/>
                <w:szCs w:val="24"/>
              </w:rPr>
              <w:t>，填方</w:t>
            </w:r>
            <w:r>
              <w:rPr>
                <w:rFonts w:hint="eastAsia" w:ascii="Times New Roman" w:hAnsi="Times New Roman"/>
                <w:sz w:val="24"/>
                <w:szCs w:val="24"/>
                <w:lang w:val="en-US" w:eastAsia="zh-CN"/>
              </w:rPr>
              <w:t>3.76</w:t>
            </w:r>
            <w:r>
              <w:rPr>
                <w:rFonts w:hint="eastAsia" w:ascii="Times New Roman" w:hAnsi="Times New Roman"/>
                <w:sz w:val="24"/>
                <w:szCs w:val="24"/>
              </w:rPr>
              <w:t>万m</w:t>
            </w:r>
            <w:r>
              <w:rPr>
                <w:rFonts w:hint="eastAsia" w:ascii="Times New Roman" w:hAnsi="Times New Roman"/>
                <w:sz w:val="24"/>
                <w:szCs w:val="24"/>
                <w:vertAlign w:val="superscript"/>
              </w:rPr>
              <w:t>3</w:t>
            </w:r>
            <w:r>
              <w:rPr>
                <w:rFonts w:hint="eastAsia" w:ascii="Times New Roman" w:hAnsi="Times New Roman"/>
                <w:sz w:val="24"/>
                <w:szCs w:val="24"/>
              </w:rPr>
              <w:t>，弃方</w:t>
            </w:r>
            <w:r>
              <w:rPr>
                <w:rFonts w:hint="eastAsia" w:ascii="Times New Roman" w:hAnsi="Times New Roman"/>
                <w:sz w:val="24"/>
                <w:szCs w:val="24"/>
                <w:lang w:val="en-US" w:eastAsia="zh-CN"/>
              </w:rPr>
              <w:t>0.82万m</w:t>
            </w:r>
            <w:r>
              <w:rPr>
                <w:rFonts w:hint="eastAsia" w:ascii="Times New Roman" w:hAnsi="Times New Roman"/>
                <w:sz w:val="24"/>
                <w:szCs w:val="24"/>
                <w:vertAlign w:val="superscript"/>
                <w:lang w:val="en-US" w:eastAsia="zh-CN"/>
              </w:rPr>
              <w:t>3</w:t>
            </w:r>
            <w:r>
              <w:rPr>
                <w:rFonts w:hint="eastAsia" w:ascii="Times New Roman" w:hAnsi="Times New Roman"/>
                <w:sz w:val="24"/>
                <w:szCs w:val="24"/>
                <w:lang w:val="en-US" w:eastAsia="zh-CN"/>
              </w:rPr>
              <w:t>，</w:t>
            </w:r>
            <w:r>
              <w:rPr>
                <w:rFonts w:hint="default" w:ascii="Times New Roman" w:hAnsi="Times New Roman" w:cs="Times New Roman"/>
                <w:color w:val="auto"/>
                <w:sz w:val="24"/>
                <w:szCs w:val="24"/>
              </w:rPr>
              <w:t>渣土主要用于周边市政工程的建设。</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定向钻钻渣考虑沿管道堆置到管沟表面或周边低洼凹地，并采取复耕或种植林草等防护措施；围堰所需土石方来源于两侧管线施工区开挖，施工结束后回填原处；穿越产生的泥浆经净化处理后回填至管线穿越区。根据管道工程分段施工的特点，管道工程区的表土、回填土石方沿管道作业带一侧堆置，各施工区表土剥离量用于后期绿化。</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2）废弃泥浆</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本项目定向钻等穿越施工需使用配制泥浆，其主要成份为膨润土，含有少量Na</w:t>
            </w:r>
            <w:r>
              <w:rPr>
                <w:rFonts w:hint="eastAsia" w:ascii="Times New Roman" w:hAnsi="Times New Roman"/>
                <w:sz w:val="24"/>
                <w:szCs w:val="24"/>
                <w:vertAlign w:val="subscript"/>
              </w:rPr>
              <w:t>2</w:t>
            </w:r>
            <w:r>
              <w:rPr>
                <w:rFonts w:hint="eastAsia" w:ascii="Times New Roman" w:hAnsi="Times New Roman"/>
                <w:sz w:val="24"/>
                <w:szCs w:val="24"/>
              </w:rPr>
              <w:t>CO</w:t>
            </w:r>
            <w:r>
              <w:rPr>
                <w:rFonts w:hint="eastAsia" w:ascii="Times New Roman" w:hAnsi="Times New Roman"/>
                <w:sz w:val="24"/>
                <w:szCs w:val="24"/>
                <w:vertAlign w:val="subscript"/>
              </w:rPr>
              <w:t>3</w:t>
            </w:r>
            <w:r>
              <w:rPr>
                <w:rFonts w:hint="eastAsia" w:ascii="Times New Roman" w:hAnsi="Times New Roman"/>
                <w:sz w:val="24"/>
                <w:szCs w:val="24"/>
              </w:rPr>
              <w:t>，呈弱碱性，对土壤的渗透性差，施工过程中泥浆可重复利用，到施工结束后，剩余泥浆(约为泥浆总量的40%)经pH调节为中性后作为废物收集在泥浆坑中，经干化处理后就地埋入防渗的泥浆池中，上面覆盖40cm的耕作土，确保恢复原有地貌。</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3）施工废料</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sz w:val="24"/>
                <w:szCs w:val="24"/>
              </w:rPr>
            </w:pPr>
            <w:r>
              <w:rPr>
                <w:rFonts w:hint="eastAsia" w:ascii="Times New Roman" w:hAnsi="Times New Roman"/>
                <w:sz w:val="24"/>
                <w:szCs w:val="24"/>
              </w:rPr>
              <w:t>管线施工时施工废料主要包括焊接作业中产生的废焊条、少量焊缝防腐采用的热收缩带零头、施工过程中产生的废包装材料、废混凝土等。本工程管道防腐均在厂家预制完成，管道施工现场无防腐废料产生。根据类比调查，一般管道施工过程中施工废料的产生量约为0.2t/km，本项目施工过程中产生的施工废料量约为1</w:t>
            </w:r>
            <w:r>
              <w:rPr>
                <w:rFonts w:hint="eastAsia" w:ascii="Times New Roman" w:hAnsi="Times New Roman"/>
                <w:sz w:val="24"/>
                <w:szCs w:val="24"/>
                <w:lang w:val="en-US" w:eastAsia="zh-CN"/>
              </w:rPr>
              <w:t>.16</w:t>
            </w:r>
            <w:r>
              <w:rPr>
                <w:rFonts w:hint="eastAsia" w:ascii="Times New Roman" w:hAnsi="Times New Roman"/>
                <w:sz w:val="24"/>
                <w:szCs w:val="24"/>
              </w:rPr>
              <w:t>t。对于施工产生的废弃焊头、废零件，不得直接丢弃，应在每个焊接作业点配备铁桶或纸箱，废弃物直接放入容器中，施工结束后集中回收处置。施工过程产生的废包装物等，应及时收集，可再生利用的进行回收利用；其它无回收利用价值的垃圾，依托当地环卫部门有偿清运，按相关规定进行妥善处置。</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⑤生态分析</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拟建项目施工期间对生态环境的影响主要表现在以下几方面：</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a）施工作业带清理和管沟开挖</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开挖管沟造成的土体扰动将使土壤的结构、组成及理化性质等发生变化，进而影响土壤的侵蚀状况、植被的恢复、农作物的生长发育等。</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管道主要采用沟埋方式敷设。管沟开挖整个施工作业带范围内的土壤和植被都会受到扰动或者破坏，尤其是在开挖管沟约2~3m 的范围内，植被破坏严重。</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b）穿越工程</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1）沟渠以及鱼塘穿越</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在河床地质条件满足定向钻施工工艺条件前提下，全部采用了定向钻穿越施工工艺，有效穿越工程避免对河流水质产生影响。主要表现为增加河水的泥沙含量，进而增加河水的悬浮物含量，从而影响河水水质。</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2）公路及铁路穿越</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本工程顶管穿越高速公路1处；顶管穿越县级以下公路穿越</w:t>
            </w:r>
            <w:r>
              <w:rPr>
                <w:rFonts w:hint="eastAsia" w:ascii="Times New Roman" w:hAnsi="Times New Roman"/>
                <w:sz w:val="24"/>
                <w:szCs w:val="24"/>
                <w:lang w:val="en-US" w:eastAsia="zh-CN"/>
              </w:rPr>
              <w:t>8</w:t>
            </w:r>
            <w:r>
              <w:rPr>
                <w:rFonts w:hint="eastAsia" w:ascii="Times New Roman" w:hAnsi="Times New Roman"/>
                <w:sz w:val="24"/>
                <w:szCs w:val="24"/>
              </w:rPr>
              <w:t>处，除产生少量弃土外，对环境影响不大。</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lang w:val="en-US" w:eastAsia="zh-CN"/>
              </w:rPr>
              <w:t>3</w:t>
            </w:r>
            <w:r>
              <w:rPr>
                <w:rFonts w:hint="eastAsia" w:ascii="Times New Roman" w:hAnsi="Times New Roman"/>
                <w:sz w:val="24"/>
                <w:szCs w:val="24"/>
              </w:rPr>
              <w:t>）水土流失预测</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本项目管道铺设将对被临时占用土地及相关区域的植被生态系统和地表的栽种植物造成一定程度的破坏。同时，施工过程中场地临时堆方和开挖地面因结构松散，易被雨水冲刷造成水土流失。根据本项目“施工一段、敷设一段”的特点，对全线水土流失量进行预测。</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本工程水土流失量预测按公式（3-1）、（3-2）计算。</w:t>
            </w:r>
          </w:p>
          <w:p>
            <w:pPr>
              <w:pStyle w:val="17"/>
              <w:spacing w:after="0" w:line="360" w:lineRule="auto"/>
              <w:ind w:firstLine="420" w:firstLineChars="200"/>
              <w:rPr>
                <w:rFonts w:hint="eastAsia" w:ascii="Times New Roman" w:hAnsi="Times New Roman"/>
                <w:sz w:val="24"/>
                <w:szCs w:val="24"/>
              </w:rPr>
            </w:pPr>
            <w:r>
              <w:rPr>
                <w:rFonts w:cs="Times New Roman"/>
                <w:snapToGrid/>
                <w:lang w:val="en-US"/>
              </w:rPr>
              <w:drawing>
                <wp:inline distT="0" distB="0" distL="0" distR="0">
                  <wp:extent cx="2169160" cy="553085"/>
                  <wp:effectExtent l="0" t="0" r="2540" b="18415"/>
                  <wp:docPr id="6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3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169160" cy="553085"/>
                          </a:xfrm>
                          <a:prstGeom prst="rect">
                            <a:avLst/>
                          </a:prstGeom>
                          <a:noFill/>
                          <a:ln>
                            <a:noFill/>
                          </a:ln>
                        </pic:spPr>
                      </pic:pic>
                    </a:graphicData>
                  </a:graphic>
                </wp:inline>
              </w:drawing>
            </w:r>
            <w:r>
              <w:rPr>
                <w:rFonts w:hint="eastAsia" w:ascii="Times New Roman" w:hAnsi="Times New Roman"/>
                <w:sz w:val="24"/>
                <w:szCs w:val="24"/>
              </w:rPr>
              <w:t>……………（3-1）</w:t>
            </w:r>
          </w:p>
          <w:p>
            <w:pPr>
              <w:pStyle w:val="17"/>
              <w:spacing w:after="0" w:line="360" w:lineRule="auto"/>
              <w:ind w:firstLine="420" w:firstLineChars="200"/>
              <w:rPr>
                <w:rFonts w:hint="eastAsia" w:ascii="Times New Roman" w:hAnsi="Times New Roman"/>
                <w:sz w:val="24"/>
                <w:szCs w:val="24"/>
              </w:rPr>
            </w:pPr>
            <w:r>
              <w:rPr>
                <w:rFonts w:cs="Times New Roman"/>
                <w:snapToGrid/>
                <w:lang w:val="en-US"/>
              </w:rPr>
              <w:drawing>
                <wp:inline distT="0" distB="0" distL="0" distR="0">
                  <wp:extent cx="2434590" cy="553085"/>
                  <wp:effectExtent l="0" t="0" r="3810" b="18415"/>
                  <wp:docPr id="6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3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434590" cy="553085"/>
                          </a:xfrm>
                          <a:prstGeom prst="rect">
                            <a:avLst/>
                          </a:prstGeom>
                          <a:noFill/>
                          <a:ln>
                            <a:noFill/>
                          </a:ln>
                        </pic:spPr>
                      </pic:pic>
                    </a:graphicData>
                  </a:graphic>
                </wp:inline>
              </w:drawing>
            </w:r>
            <w:r>
              <w:rPr>
                <w:rFonts w:hint="eastAsia" w:ascii="Times New Roman" w:hAnsi="Times New Roman"/>
                <w:sz w:val="24"/>
                <w:szCs w:val="24"/>
              </w:rPr>
              <w:t>…………（3-2）</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式中： —扰动地表土壤流失量，t；</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 xml:space="preserve">      —扰动地表新增土壤流失量，t；</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 xml:space="preserve">      —预测单元，=1，2，3，……、n；</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k—预测时段，k=1，2，3，指施工准备期、施工期和自然恢复期；</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—第个预测单元的面积，km</w:t>
            </w:r>
            <w:r>
              <w:rPr>
                <w:rFonts w:hint="eastAsia" w:ascii="Times New Roman" w:hAnsi="Times New Roman"/>
                <w:sz w:val="24"/>
                <w:szCs w:val="24"/>
                <w:vertAlign w:val="superscript"/>
              </w:rPr>
              <w:t>2</w:t>
            </w:r>
            <w:r>
              <w:rPr>
                <w:rFonts w:hint="eastAsia" w:ascii="Times New Roman" w:hAnsi="Times New Roman"/>
                <w:sz w:val="24"/>
                <w:szCs w:val="24"/>
              </w:rPr>
              <w:t>；</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—扰动后不同预测单元不同时段的土壤侵蚀模数，t/ km</w:t>
            </w:r>
            <w:r>
              <w:rPr>
                <w:rFonts w:hint="eastAsia" w:ascii="Times New Roman" w:hAnsi="Times New Roman"/>
                <w:sz w:val="24"/>
                <w:szCs w:val="24"/>
                <w:vertAlign w:val="superscript"/>
              </w:rPr>
              <w:t>2</w:t>
            </w:r>
            <w:r>
              <w:rPr>
                <w:rFonts w:hint="eastAsia" w:ascii="Times New Roman" w:hAnsi="Times New Roman"/>
                <w:sz w:val="24"/>
                <w:szCs w:val="24"/>
              </w:rPr>
              <w:t>·a；</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—不同单元各时段新增土壤侵蚀模数，t/ km</w:t>
            </w:r>
            <w:r>
              <w:rPr>
                <w:rFonts w:hint="eastAsia" w:ascii="Times New Roman" w:hAnsi="Times New Roman"/>
                <w:sz w:val="24"/>
                <w:szCs w:val="24"/>
                <w:vertAlign w:val="superscript"/>
              </w:rPr>
              <w:t>2</w:t>
            </w:r>
            <w:r>
              <w:rPr>
                <w:rFonts w:hint="eastAsia" w:ascii="Times New Roman" w:hAnsi="Times New Roman"/>
                <w:sz w:val="24"/>
                <w:szCs w:val="24"/>
              </w:rPr>
              <w:t>·a；</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—预测时段（扰动时段），a。</w:t>
            </w:r>
          </w:p>
          <w:p>
            <w:pPr>
              <w:pStyle w:val="17"/>
              <w:spacing w:after="0" w:line="360" w:lineRule="auto"/>
              <w:ind w:firstLine="480" w:firstLineChars="200"/>
              <w:rPr>
                <w:rFonts w:hint="eastAsia" w:ascii="Times New Roman" w:hAnsi="Times New Roman"/>
                <w:sz w:val="24"/>
                <w:szCs w:val="24"/>
              </w:rPr>
            </w:pPr>
            <w:r>
              <w:rPr>
                <w:rFonts w:hint="eastAsia" w:ascii="Times New Roman" w:hAnsi="Times New Roman"/>
                <w:sz w:val="24"/>
                <w:szCs w:val="24"/>
              </w:rPr>
              <w:t>经计算，本项目建设期可能造成水土流失总量为</w:t>
            </w:r>
            <w:r>
              <w:rPr>
                <w:rFonts w:hint="eastAsia" w:ascii="Times New Roman" w:hAnsi="Times New Roman"/>
                <w:sz w:val="24"/>
                <w:szCs w:val="24"/>
                <w:lang w:val="en-US" w:eastAsia="zh-CN"/>
              </w:rPr>
              <w:t>4</w:t>
            </w:r>
            <w:r>
              <w:rPr>
                <w:rFonts w:hint="eastAsia" w:ascii="Times New Roman" w:hAnsi="Times New Roman"/>
                <w:sz w:val="24"/>
                <w:szCs w:val="24"/>
              </w:rPr>
              <w:t>75.3t，其中新增水土流失总量为</w:t>
            </w:r>
            <w:r>
              <w:rPr>
                <w:rFonts w:hint="eastAsia" w:ascii="Times New Roman" w:hAnsi="Times New Roman"/>
                <w:sz w:val="24"/>
                <w:szCs w:val="24"/>
                <w:lang w:val="en-US" w:eastAsia="zh-CN"/>
              </w:rPr>
              <w:t>36</w:t>
            </w:r>
            <w:r>
              <w:rPr>
                <w:rFonts w:hint="eastAsia" w:ascii="Times New Roman" w:hAnsi="Times New Roman"/>
                <w:sz w:val="24"/>
                <w:szCs w:val="24"/>
              </w:rPr>
              <w:t>8.5t。</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Times New Roman"/>
              </w:rPr>
            </w:pPr>
            <w:r>
              <w:rPr>
                <w:rFonts w:hint="default" w:ascii="Times New Roman" w:hAnsi="Times New Roman" w:eastAsia="宋体" w:cs="Times New Roman"/>
                <w:b/>
                <w:bCs/>
                <w:sz w:val="24"/>
                <w:szCs w:val="24"/>
              </w:rPr>
              <w:t>表</w:t>
            </w:r>
            <w:r>
              <w:rPr>
                <w:rFonts w:hint="default" w:ascii="Times New Roman" w:hAnsi="Times New Roman" w:eastAsia="宋体" w:cs="Times New Roman"/>
                <w:b/>
                <w:bCs/>
                <w:sz w:val="24"/>
                <w:szCs w:val="24"/>
                <w:lang w:val="en-US" w:eastAsia="zh-CN"/>
              </w:rPr>
              <w:t>5-1</w:t>
            </w:r>
            <w:r>
              <w:rPr>
                <w:rFonts w:hint="default" w:ascii="Times New Roman" w:hAnsi="Times New Roman" w:eastAsia="宋体" w:cs="Times New Roman"/>
                <w:b/>
                <w:bCs/>
                <w:sz w:val="24"/>
                <w:szCs w:val="24"/>
              </w:rPr>
              <w:t xml:space="preserve">     施工期污染源汇总表</w:t>
            </w:r>
          </w:p>
          <w:tbl>
            <w:tblPr>
              <w:tblStyle w:val="32"/>
              <w:tblW w:w="48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69"/>
              <w:gridCol w:w="893"/>
              <w:gridCol w:w="1594"/>
              <w:gridCol w:w="3134"/>
              <w:gridCol w:w="18"/>
              <w:gridCol w:w="1588"/>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tblHeader/>
                <w:jc w:val="center"/>
              </w:trPr>
              <w:tc>
                <w:tcPr>
                  <w:tcW w:w="265"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位置</w:t>
                  </w:r>
                </w:p>
              </w:tc>
              <w:tc>
                <w:tcPr>
                  <w:tcW w:w="504"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环境要素</w:t>
                  </w: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主要污染物</w:t>
                  </w:r>
                </w:p>
              </w:tc>
              <w:tc>
                <w:tcPr>
                  <w:tcW w:w="1781" w:type="pct"/>
                  <w:gridSpan w:val="2"/>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处理处置措施</w:t>
                  </w:r>
                </w:p>
              </w:tc>
              <w:tc>
                <w:tcPr>
                  <w:tcW w:w="897" w:type="pct"/>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排放量</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restar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站场、管线</w:t>
                  </w:r>
                </w:p>
              </w:tc>
              <w:tc>
                <w:tcPr>
                  <w:tcW w:w="504" w:type="pct"/>
                  <w:vMerge w:val="restar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大气</w:t>
                  </w:r>
                </w:p>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环境</w:t>
                  </w: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施工扬尘</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施工场地保洁、洒水抑尘，设围栏</w:t>
                  </w:r>
                </w:p>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，材料运输及堆放时设蓬盖</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少量</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施工机械废气</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车辆、设备及时维护保养，控制作业时间</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少量</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焊接废气</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少量</w:t>
                  </w:r>
                  <w:r>
                    <w:rPr>
                      <w:rFonts w:hint="eastAsia" w:ascii="Times New Roman" w:hAnsi="Times New Roman" w:eastAsia="宋体" w:cs="Times New Roman"/>
                      <w:sz w:val="21"/>
                      <w:szCs w:val="21"/>
                      <w:lang w:val="en-US" w:eastAsia="zh-CN"/>
                    </w:rPr>
                    <w:t>烟尘</w:t>
                  </w:r>
                </w:p>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沿管线无组织排放</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0.</w:t>
                  </w:r>
                  <w:r>
                    <w:rPr>
                      <w:rFonts w:hint="eastAsia" w:ascii="Times New Roman" w:hAnsi="Times New Roman" w:eastAsia="宋体" w:cs="Times New Roman"/>
                      <w:sz w:val="21"/>
                      <w:szCs w:val="21"/>
                      <w:lang w:val="en-US" w:eastAsia="zh-CN"/>
                    </w:rPr>
                    <w:t>156</w:t>
                  </w:r>
                  <w:r>
                    <w:rPr>
                      <w:rFonts w:hint="default" w:ascii="Times New Roman" w:hAnsi="Times New Roman" w:eastAsia="宋体" w:cs="Times New Roman"/>
                      <w:sz w:val="21"/>
                      <w:szCs w:val="21"/>
                      <w:lang w:val="en-US"/>
                    </w:rPr>
                    <w:t>t</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restart"/>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水环境</w:t>
                  </w: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清管、试压废水</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沉淀后回用于抑尘洒水，不外排</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1</w:t>
                  </w:r>
                  <w:r>
                    <w:rPr>
                      <w:rFonts w:hint="eastAsia" w:ascii="Times New Roman" w:hAnsi="Times New Roman" w:eastAsia="宋体" w:cs="Times New Roman"/>
                      <w:sz w:val="21"/>
                      <w:szCs w:val="21"/>
                      <w:lang w:val="en-US" w:eastAsia="zh-CN"/>
                    </w:rPr>
                    <w:t>82</w:t>
                  </w:r>
                  <w:r>
                    <w:rPr>
                      <w:rFonts w:hint="default" w:ascii="Times New Roman" w:hAnsi="Times New Roman" w:eastAsia="宋体" w:cs="Times New Roman"/>
                      <w:sz w:val="21"/>
                      <w:szCs w:val="21"/>
                      <w:lang w:val="en-US"/>
                    </w:rPr>
                    <w:t>m</w:t>
                  </w:r>
                  <w:r>
                    <w:rPr>
                      <w:rFonts w:hint="default" w:ascii="Times New Roman" w:hAnsi="Times New Roman" w:eastAsia="宋体" w:cs="Times New Roman"/>
                      <w:sz w:val="21"/>
                      <w:szCs w:val="21"/>
                      <w:vertAlign w:val="superscript"/>
                      <w:lang w:val="en-US"/>
                    </w:rPr>
                    <w:t>3</w:t>
                  </w:r>
                  <w:r>
                    <w:rPr>
                      <w:rFonts w:hint="default" w:ascii="Times New Roman" w:hAnsi="Times New Roman" w:eastAsia="宋体" w:cs="Times New Roman"/>
                      <w:sz w:val="21"/>
                      <w:szCs w:val="21"/>
                      <w:lang w:val="en-US"/>
                    </w:rPr>
                    <w:t>，不外排</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定向钻施工</w:t>
                  </w:r>
                </w:p>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泥浆水</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设置泥浆池，污泥干化处理后作为渣土进行回填，少量污水在池中自然风干，严禁外排沟渠；禁止雨季施工</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少量，不外排</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站场施工冲洗废水</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设沉淀回用系统，不外排</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2~5m</w:t>
                  </w:r>
                  <w:r>
                    <w:rPr>
                      <w:rFonts w:hint="default" w:ascii="Times New Roman" w:hAnsi="Times New Roman" w:eastAsia="宋体" w:cs="Times New Roman"/>
                      <w:sz w:val="21"/>
                      <w:szCs w:val="21"/>
                      <w:vertAlign w:val="superscript"/>
                      <w:lang w:val="en-US"/>
                    </w:rPr>
                    <w:t>3</w:t>
                  </w:r>
                  <w:r>
                    <w:rPr>
                      <w:rFonts w:hint="default" w:ascii="Times New Roman" w:hAnsi="Times New Roman" w:eastAsia="宋体" w:cs="Times New Roman"/>
                      <w:sz w:val="21"/>
                      <w:szCs w:val="21"/>
                      <w:lang w:val="en-US"/>
                    </w:rPr>
                    <w:t>/次，不外排</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材料堆场初期雨水</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设集雨沟及沉淀池，处理后回用，不外排</w:t>
                  </w:r>
                </w:p>
              </w:tc>
              <w:tc>
                <w:tcPr>
                  <w:tcW w:w="907" w:type="pct"/>
                  <w:gridSpan w:val="2"/>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不外排</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restart"/>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固体废物</w:t>
                  </w: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施工废料</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在每个焊接作业点配备铁桶或纸箱，废物直接放入容器中，施工结束后集中回收处置。施工过程产生的废包装物等，及时收集，可再生利用的进行回收利用；其它无回收利用价值的垃圾，依托当地环卫部门有偿清运，按相关规定进行妥善处置</w:t>
                  </w:r>
                </w:p>
              </w:tc>
              <w:tc>
                <w:tcPr>
                  <w:tcW w:w="907" w:type="pct"/>
                  <w:gridSpan w:val="2"/>
                  <w:shd w:val="clear" w:color="auto" w:fill="auto"/>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1</w:t>
                  </w:r>
                  <w:r>
                    <w:rPr>
                      <w:rFonts w:hint="eastAsia" w:ascii="Times New Roman" w:hAnsi="Times New Roman" w:eastAsia="宋体" w:cs="Times New Roman"/>
                      <w:sz w:val="21"/>
                      <w:szCs w:val="21"/>
                      <w:lang w:val="en-US" w:eastAsia="zh-CN"/>
                    </w:rPr>
                    <w:t>.16</w:t>
                  </w:r>
                  <w:r>
                    <w:rPr>
                      <w:rFonts w:hint="default" w:ascii="Times New Roman" w:hAnsi="Times New Roman" w:eastAsia="宋体" w:cs="Times New Roman"/>
                      <w:sz w:val="21"/>
                      <w:szCs w:val="21"/>
                      <w:lang w:val="en-US"/>
                    </w:rPr>
                    <w:t>t</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临时堆土</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渣土主要用于周边市政工程的建设。</w:t>
                  </w:r>
                </w:p>
              </w:tc>
              <w:tc>
                <w:tcPr>
                  <w:tcW w:w="907" w:type="pct"/>
                  <w:gridSpan w:val="2"/>
                  <w:shd w:val="clear" w:color="auto" w:fill="auto"/>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弃方0.82万m</w:t>
                  </w:r>
                  <w:r>
                    <w:rPr>
                      <w:rFonts w:hint="default" w:ascii="Times New Roman" w:hAnsi="Times New Roman" w:eastAsia="宋体" w:cs="Times New Roman"/>
                      <w:sz w:val="21"/>
                      <w:szCs w:val="21"/>
                      <w:vertAlign w:val="superscript"/>
                      <w:lang w:val="en-US"/>
                    </w:rPr>
                    <w:t>3</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泥浆池泥浆</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设泥浆贮存池，经干化后作为渣土进行回填</w:t>
                  </w:r>
                </w:p>
              </w:tc>
              <w:tc>
                <w:tcPr>
                  <w:tcW w:w="907" w:type="pct"/>
                  <w:gridSpan w:val="2"/>
                  <w:shd w:val="clear" w:color="auto" w:fill="auto"/>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0.94t</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声环境</w:t>
                  </w: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施工作业、运输车辆噪声</w:t>
                  </w:r>
                </w:p>
              </w:tc>
              <w:tc>
                <w:tcPr>
                  <w:tcW w:w="177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设置移动隔声屏，选用符合国家标准的低噪声设备，控制作业时间，设备要及时维护和保养</w:t>
                  </w:r>
                </w:p>
              </w:tc>
              <w:tc>
                <w:tcPr>
                  <w:tcW w:w="907" w:type="pct"/>
                  <w:gridSpan w:val="2"/>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80~100dB(A)</w:t>
                  </w:r>
                </w:p>
              </w:tc>
              <w:tc>
                <w:tcPr>
                  <w:tcW w:w="649" w:type="pct"/>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265" w:type="pct"/>
                  <w:vMerge w:val="continue"/>
                  <w:tcMar>
                    <w:left w:w="28" w:type="dxa"/>
                    <w:right w:w="28" w:type="dxa"/>
                  </w:tcMar>
                  <w:vAlign w:val="center"/>
                </w:tcPr>
                <w:p>
                  <w:pPr>
                    <w:pStyle w:val="102"/>
                    <w:rPr>
                      <w:rFonts w:hint="default" w:ascii="Times New Roman" w:hAnsi="Times New Roman" w:eastAsia="宋体" w:cs="Times New Roman"/>
                      <w:sz w:val="21"/>
                      <w:szCs w:val="21"/>
                      <w:lang w:val="en-US"/>
                    </w:rPr>
                  </w:pPr>
                </w:p>
              </w:tc>
              <w:tc>
                <w:tcPr>
                  <w:tcW w:w="504"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生态</w:t>
                  </w:r>
                </w:p>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环境</w:t>
                  </w:r>
                </w:p>
              </w:tc>
              <w:tc>
                <w:tcPr>
                  <w:tcW w:w="901" w:type="pct"/>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施工征地暂时影响局部区域的农业生产、损坏一定的植被，产生局部的水土流失</w:t>
                  </w:r>
                </w:p>
              </w:tc>
              <w:tc>
                <w:tcPr>
                  <w:tcW w:w="2679" w:type="pct"/>
                  <w:gridSpan w:val="3"/>
                  <w:shd w:val="clear" w:color="auto" w:fill="auto"/>
                  <w:tcMar>
                    <w:left w:w="28" w:type="dxa"/>
                    <w:right w:w="28" w:type="dxa"/>
                  </w:tcMar>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植被恢复（管线上方及中心线两侧5m范围内禁止栽种深根植物），合理优化设计，减少开挖和占地，采取水土保持措施，规范施工、加强宣传、严格管理</w:t>
                  </w:r>
                </w:p>
              </w:tc>
              <w:tc>
                <w:tcPr>
                  <w:tcW w:w="649" w:type="pct"/>
                  <w:vAlign w:val="center"/>
                </w:tcPr>
                <w:p>
                  <w:pPr>
                    <w:pStyle w:val="102"/>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w:t>
                  </w:r>
                </w:p>
              </w:tc>
            </w:tr>
          </w:tbl>
          <w:p>
            <w:pPr>
              <w:pStyle w:val="17"/>
              <w:numPr>
                <w:ilvl w:val="0"/>
                <w:numId w:val="8"/>
              </w:numPr>
              <w:spacing w:after="0" w:line="360" w:lineRule="auto"/>
              <w:ind w:left="0" w:leftChars="0" w:firstLine="480" w:firstLineChars="200"/>
              <w:rPr>
                <w:rFonts w:hint="eastAsia" w:ascii="Times New Roman" w:hAnsi="Times New Roman"/>
                <w:sz w:val="24"/>
                <w:szCs w:val="24"/>
                <w:lang w:val="en-US" w:eastAsia="zh-CN"/>
              </w:rPr>
            </w:pPr>
            <w:r>
              <w:rPr>
                <w:rFonts w:hint="eastAsia" w:ascii="Times New Roman" w:hAnsi="Times New Roman"/>
                <w:sz w:val="24"/>
                <w:szCs w:val="24"/>
                <w:lang w:val="en-US" w:eastAsia="zh-CN"/>
              </w:rPr>
              <w:t>营运期工程分析</w:t>
            </w:r>
          </w:p>
          <w:p>
            <w:pPr>
              <w:pStyle w:val="17"/>
              <w:numPr>
                <w:ilvl w:val="0"/>
                <w:numId w:val="0"/>
              </w:numPr>
              <w:spacing w:after="0" w:line="360" w:lineRule="auto"/>
              <w:ind w:leftChars="200"/>
              <w:rPr>
                <w:rFonts w:hint="default" w:ascii="Times New Roman" w:hAnsi="Times New Roman" w:eastAsia="宋体"/>
                <w:sz w:val="24"/>
                <w:szCs w:val="24"/>
                <w:lang w:val="en-US" w:eastAsia="zh-CN"/>
              </w:rPr>
            </w:pPr>
            <w:r>
              <w:rPr>
                <w:rFonts w:hint="eastAsia" w:ascii="Times New Roman" w:hAnsi="Times New Roman"/>
                <w:sz w:val="24"/>
                <w:szCs w:val="24"/>
                <w:lang w:val="en-US" w:eastAsia="zh-CN"/>
              </w:rPr>
              <w:t>1</w:t>
            </w:r>
            <w:r>
              <w:rPr>
                <w:rFonts w:hint="eastAsia" w:ascii="Times New Roman" w:hAnsi="Times New Roman"/>
                <w:sz w:val="24"/>
                <w:szCs w:val="24"/>
              </w:rPr>
              <w:t>、</w:t>
            </w:r>
            <w:r>
              <w:rPr>
                <w:rFonts w:hint="eastAsia" w:ascii="Times New Roman" w:hAnsi="Times New Roman"/>
                <w:sz w:val="24"/>
                <w:szCs w:val="24"/>
                <w:lang w:val="en-US" w:eastAsia="zh-CN"/>
              </w:rPr>
              <w:t>运营期站场工程工艺流程图</w:t>
            </w:r>
          </w:p>
          <w:p>
            <w:pPr>
              <w:pStyle w:val="17"/>
              <w:spacing w:after="0" w:line="360" w:lineRule="auto"/>
              <w:ind w:firstLine="420" w:firstLineChars="200"/>
              <w:rPr>
                <w:rFonts w:hint="eastAsia" w:ascii="Times New Roman" w:hAnsi="Times New Roman"/>
                <w:sz w:val="24"/>
                <w:szCs w:val="24"/>
              </w:rPr>
            </w:pPr>
            <w:r>
              <w:drawing>
                <wp:inline distT="0" distB="0" distL="114300" distR="114300">
                  <wp:extent cx="5343525" cy="2466975"/>
                  <wp:effectExtent l="0" t="0" r="9525" b="9525"/>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9"/>
                          <a:stretch>
                            <a:fillRect/>
                          </a:stretch>
                        </pic:blipFill>
                        <pic:spPr>
                          <a:xfrm>
                            <a:off x="0" y="0"/>
                            <a:ext cx="5343525" cy="2466975"/>
                          </a:xfrm>
                          <a:prstGeom prst="rect">
                            <a:avLst/>
                          </a:prstGeom>
                          <a:noFill/>
                          <a:ln>
                            <a:noFill/>
                          </a:ln>
                        </pic:spPr>
                      </pic:pic>
                    </a:graphicData>
                  </a:graphic>
                </wp:inline>
              </w:drawing>
            </w:r>
          </w:p>
          <w:p>
            <w:pPr>
              <w:pStyle w:val="17"/>
              <w:spacing w:after="0" w:line="360" w:lineRule="auto"/>
              <w:ind w:firstLine="482" w:firstLineChars="200"/>
              <w:jc w:val="center"/>
              <w:rPr>
                <w:rFonts w:hint="eastAsia" w:ascii="Times New Roman" w:hAnsi="Times New Roman"/>
                <w:b/>
                <w:bCs/>
                <w:sz w:val="24"/>
                <w:szCs w:val="24"/>
              </w:rPr>
            </w:pPr>
            <w:r>
              <w:rPr>
                <w:rFonts w:hint="eastAsia" w:ascii="Times New Roman" w:hAnsi="Times New Roman"/>
                <w:b/>
                <w:bCs/>
                <w:sz w:val="24"/>
                <w:szCs w:val="24"/>
              </w:rPr>
              <w:t>图</w:t>
            </w:r>
            <w:r>
              <w:rPr>
                <w:rFonts w:hint="eastAsia" w:ascii="Times New Roman" w:hAnsi="Times New Roman"/>
                <w:b/>
                <w:bCs/>
                <w:sz w:val="24"/>
                <w:szCs w:val="24"/>
                <w:lang w:val="en-US" w:eastAsia="zh-CN"/>
              </w:rPr>
              <w:t>5-3</w:t>
            </w:r>
            <w:r>
              <w:rPr>
                <w:rFonts w:hint="eastAsia" w:ascii="Times New Roman" w:hAnsi="Times New Roman"/>
                <w:b/>
                <w:bCs/>
                <w:sz w:val="24"/>
                <w:szCs w:val="24"/>
              </w:rPr>
              <w:t xml:space="preserve">    </w:t>
            </w:r>
            <w:r>
              <w:rPr>
                <w:rFonts w:hint="eastAsia" w:ascii="Times New Roman" w:hAnsi="Times New Roman"/>
                <w:b/>
                <w:bCs/>
                <w:sz w:val="24"/>
                <w:szCs w:val="24"/>
                <w:lang w:val="en-US" w:eastAsia="zh-CN"/>
              </w:rPr>
              <w:t>站场</w:t>
            </w:r>
            <w:r>
              <w:rPr>
                <w:rFonts w:hint="eastAsia" w:ascii="Times New Roman" w:hAnsi="Times New Roman"/>
                <w:b/>
                <w:bCs/>
                <w:sz w:val="24"/>
                <w:szCs w:val="24"/>
              </w:rPr>
              <w:t>工艺流程及产排污节点图</w:t>
            </w:r>
          </w:p>
          <w:p>
            <w:pPr>
              <w:pStyle w:val="17"/>
              <w:spacing w:after="0" w:line="360" w:lineRule="auto"/>
              <w:ind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运行期间，管道全线采用密闭输送工艺，沿线各阀室均为无人值守，除天然气放空产生少量废气外，无其它工艺产污环节。因此，对环境的影响主要来自各工艺站场的排污。本项目横山分输站无人值守，仅高安站设有8位工作人员。</w:t>
            </w:r>
          </w:p>
          <w:p>
            <w:pPr>
              <w:pStyle w:val="17"/>
              <w:spacing w:after="0" w:line="360" w:lineRule="auto"/>
              <w:ind w:firstLine="420" w:firstLineChars="200"/>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277" w:hRule="atLeast"/>
          <w:jc w:val="center"/>
        </w:trPr>
        <w:tc>
          <w:tcPr>
            <w:tcW w:w="9361" w:type="dxa"/>
            <w:tcBorders>
              <w:top w:val="single" w:color="auto" w:sz="4" w:space="0"/>
              <w:left w:val="single" w:color="auto" w:sz="4" w:space="0"/>
              <w:bottom w:val="single" w:color="auto" w:sz="4" w:space="0"/>
              <w:right w:val="single" w:color="auto" w:sz="4" w:space="0"/>
            </w:tcBorders>
          </w:tcPr>
          <w:p>
            <w:pPr>
              <w:pStyle w:val="17"/>
              <w:numPr>
                <w:ilvl w:val="0"/>
                <w:numId w:val="0"/>
              </w:numPr>
              <w:spacing w:after="0" w:line="360" w:lineRule="auto"/>
              <w:ind w:left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2、污染物产生情况分析：</w:t>
            </w:r>
          </w:p>
          <w:p>
            <w:pPr>
              <w:numPr>
                <w:ilvl w:val="0"/>
                <w:numId w:val="0"/>
              </w:numPr>
              <w:spacing w:line="360" w:lineRule="auto"/>
              <w:ind w:firstLine="480" w:firstLineChars="200"/>
              <w:rPr>
                <w:rFonts w:ascii="Times New Roman" w:hAnsi="Times New Roman"/>
                <w:b w:val="0"/>
                <w:bCs w:val="0"/>
                <w:color w:val="000000"/>
                <w:sz w:val="24"/>
                <w:szCs w:val="24"/>
              </w:rPr>
            </w:pPr>
            <w:r>
              <w:rPr>
                <w:rFonts w:hint="eastAsia" w:ascii="Times New Roman" w:hAnsi="Times New Roman"/>
                <w:b w:val="0"/>
                <w:bCs w:val="0"/>
                <w:color w:val="000000"/>
                <w:sz w:val="24"/>
                <w:szCs w:val="24"/>
              </w:rPr>
              <w:t>①</w:t>
            </w:r>
            <w:r>
              <w:rPr>
                <w:rFonts w:ascii="Times New Roman" w:hAnsi="Times New Roman"/>
                <w:b w:val="0"/>
                <w:bCs w:val="0"/>
                <w:color w:val="000000"/>
                <w:sz w:val="24"/>
                <w:szCs w:val="24"/>
              </w:rPr>
              <w:t>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rPr>
            </w:pPr>
            <w:r>
              <w:rPr>
                <w:rFonts w:hint="eastAsia" w:ascii="Times New Roman" w:hAnsi="Times New Roman"/>
                <w:color w:val="000000"/>
                <w:sz w:val="24"/>
              </w:rPr>
              <w:t>本项目的废水主要来自工艺站场员工产生的生活污水以及清管作业和分离器检修废水。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Times New Roman" w:hAnsi="Times New Roman"/>
                <w:color w:val="000000"/>
                <w:sz w:val="24"/>
              </w:rPr>
            </w:pPr>
            <w:r>
              <w:rPr>
                <w:rFonts w:hint="eastAsia" w:ascii="Times New Roman" w:hAnsi="Times New Roman"/>
                <w:color w:val="000000"/>
                <w:sz w:val="24"/>
                <w:lang w:eastAsia="zh-CN"/>
              </w:rPr>
              <w:t>（</w:t>
            </w:r>
            <w:r>
              <w:rPr>
                <w:rFonts w:hint="eastAsia" w:ascii="Times New Roman" w:hAnsi="Times New Roman"/>
                <w:color w:val="000000"/>
                <w:sz w:val="24"/>
                <w:lang w:val="en-US" w:eastAsia="zh-CN"/>
              </w:rPr>
              <w:t>1</w:t>
            </w:r>
            <w:r>
              <w:rPr>
                <w:rFonts w:hint="eastAsia" w:ascii="Times New Roman" w:hAnsi="Times New Roman"/>
                <w:color w:val="000000"/>
                <w:sz w:val="24"/>
                <w:lang w:eastAsia="zh-CN"/>
              </w:rPr>
              <w:t>）</w:t>
            </w:r>
            <w:r>
              <w:rPr>
                <w:rFonts w:hint="eastAsia" w:ascii="Times New Roman" w:hAnsi="Times New Roman"/>
                <w:color w:val="000000"/>
                <w:sz w:val="24"/>
              </w:rPr>
              <w:t>生活污水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rPr>
            </w:pPr>
            <w:r>
              <w:rPr>
                <w:rFonts w:hint="eastAsia" w:ascii="Times New Roman" w:hAnsi="Times New Roman"/>
                <w:sz w:val="24"/>
              </w:rPr>
              <w:t>高安首站配备</w:t>
            </w:r>
            <w:r>
              <w:rPr>
                <w:rFonts w:ascii="Times New Roman" w:hAnsi="Times New Roman"/>
                <w:sz w:val="24"/>
              </w:rPr>
              <w:t>职工</w:t>
            </w:r>
            <w:r>
              <w:rPr>
                <w:rFonts w:hint="eastAsia" w:ascii="Times New Roman" w:hAnsi="Times New Roman"/>
                <w:sz w:val="24"/>
              </w:rPr>
              <w:t>人</w:t>
            </w:r>
            <w:r>
              <w:rPr>
                <w:rFonts w:ascii="Times New Roman" w:hAnsi="Times New Roman"/>
                <w:sz w:val="24"/>
              </w:rPr>
              <w:t>数为</w:t>
            </w:r>
            <w:r>
              <w:rPr>
                <w:rFonts w:hint="eastAsia" w:ascii="Times New Roman" w:hAnsi="Times New Roman"/>
                <w:sz w:val="24"/>
              </w:rPr>
              <w:t>8</w:t>
            </w:r>
            <w:r>
              <w:rPr>
                <w:rFonts w:ascii="Times New Roman" w:hAnsi="Times New Roman"/>
                <w:sz w:val="24"/>
              </w:rPr>
              <w:t>人，</w:t>
            </w:r>
            <w:r>
              <w:rPr>
                <w:rFonts w:hint="eastAsia" w:ascii="Times New Roman" w:hAnsi="Times New Roman"/>
                <w:sz w:val="24"/>
              </w:rPr>
              <w:t>横山分输站不配备员工，员工利用《芜湖长江LNG内河接收（转运）站项目》配套建设的食堂、宿舍。</w:t>
            </w:r>
            <w:r>
              <w:rPr>
                <w:rFonts w:ascii="Times New Roman" w:hAnsi="Times New Roman"/>
                <w:sz w:val="24"/>
              </w:rPr>
              <w:t>根据《安徽省行业用水定额》（DB34/T 679-2014），员工用水量按每人每天</w:t>
            </w:r>
            <w:r>
              <w:rPr>
                <w:rFonts w:hint="eastAsia" w:ascii="Times New Roman" w:hAnsi="Times New Roman"/>
                <w:sz w:val="24"/>
              </w:rPr>
              <w:t>1</w:t>
            </w:r>
            <w:r>
              <w:rPr>
                <w:rFonts w:ascii="Times New Roman" w:hAnsi="Times New Roman"/>
                <w:sz w:val="24"/>
              </w:rPr>
              <w:t>50L计，则厂区员工生活用水量为1</w:t>
            </w:r>
            <w:r>
              <w:rPr>
                <w:rFonts w:hint="eastAsia" w:ascii="Times New Roman" w:hAnsi="Times New Roman"/>
                <w:sz w:val="24"/>
              </w:rPr>
              <w:t>.2m</w:t>
            </w:r>
            <w:r>
              <w:rPr>
                <w:rFonts w:hint="eastAsia" w:ascii="Times New Roman" w:hAnsi="Times New Roman"/>
                <w:sz w:val="24"/>
                <w:vertAlign w:val="superscript"/>
              </w:rPr>
              <w:t>3</w:t>
            </w:r>
            <w:r>
              <w:rPr>
                <w:rFonts w:ascii="Times New Roman" w:hAnsi="Times New Roman"/>
                <w:sz w:val="24"/>
              </w:rPr>
              <w:t>/d，3</w:t>
            </w:r>
            <w:r>
              <w:rPr>
                <w:rFonts w:hint="eastAsia" w:ascii="Times New Roman" w:hAnsi="Times New Roman"/>
                <w:sz w:val="24"/>
              </w:rPr>
              <w:t>60m</w:t>
            </w:r>
            <w:r>
              <w:rPr>
                <w:rFonts w:hint="eastAsia" w:ascii="Times New Roman" w:hAnsi="Times New Roman"/>
                <w:sz w:val="24"/>
                <w:vertAlign w:val="superscript"/>
              </w:rPr>
              <w:t>3</w:t>
            </w:r>
            <w:r>
              <w:rPr>
                <w:rFonts w:ascii="Times New Roman" w:hAnsi="Times New Roman"/>
                <w:sz w:val="24"/>
              </w:rPr>
              <w:t>/</w:t>
            </w:r>
            <w:r>
              <w:rPr>
                <w:rFonts w:hint="eastAsia" w:ascii="Times New Roman" w:hAnsi="Times New Roman"/>
                <w:sz w:val="24"/>
              </w:rPr>
              <w:t>a。</w:t>
            </w:r>
            <w:r>
              <w:rPr>
                <w:rFonts w:ascii="Times New Roman" w:hAnsi="Times New Roman"/>
                <w:sz w:val="24"/>
              </w:rPr>
              <w:t>工作天数一年以300天计）。排水系数以0.8计，则生活污水排放量为0</w:t>
            </w:r>
            <w:r>
              <w:rPr>
                <w:rFonts w:hint="eastAsia" w:ascii="Times New Roman" w:hAnsi="Times New Roman"/>
                <w:sz w:val="24"/>
              </w:rPr>
              <w:t>.96m</w:t>
            </w:r>
            <w:r>
              <w:rPr>
                <w:rFonts w:hint="eastAsia" w:ascii="Times New Roman" w:hAnsi="Times New Roman"/>
                <w:sz w:val="24"/>
                <w:vertAlign w:val="superscript"/>
              </w:rPr>
              <w:t>3</w:t>
            </w:r>
            <w:r>
              <w:rPr>
                <w:rFonts w:ascii="Times New Roman" w:hAnsi="Times New Roman"/>
                <w:sz w:val="24"/>
              </w:rPr>
              <w:t>/d，</w:t>
            </w:r>
            <w:r>
              <w:rPr>
                <w:rFonts w:hint="eastAsia" w:ascii="Times New Roman" w:hAnsi="Times New Roman"/>
                <w:sz w:val="24"/>
              </w:rPr>
              <w:t>288m</w:t>
            </w:r>
            <w:r>
              <w:rPr>
                <w:rFonts w:hint="eastAsia" w:ascii="Times New Roman" w:hAnsi="Times New Roman"/>
                <w:sz w:val="24"/>
                <w:vertAlign w:val="superscript"/>
              </w:rPr>
              <w:t>3</w:t>
            </w:r>
            <w:r>
              <w:rPr>
                <w:rFonts w:ascii="Times New Roman" w:hAnsi="Times New Roman"/>
                <w:sz w:val="24"/>
              </w:rPr>
              <w:t>/a。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Times New Roman" w:hAnsi="Times New Roman"/>
                <w:color w:val="000000"/>
                <w:sz w:val="24"/>
              </w:rPr>
            </w:pPr>
            <w:r>
              <w:rPr>
                <w:rFonts w:hint="eastAsia" w:ascii="Times New Roman" w:hAnsi="Times New Roman"/>
                <w:color w:val="000000"/>
                <w:sz w:val="24"/>
                <w:lang w:val="en-US" w:eastAsia="zh-CN"/>
              </w:rPr>
              <w:t>（2）</w:t>
            </w:r>
            <w:r>
              <w:rPr>
                <w:rFonts w:hint="eastAsia" w:ascii="Times New Roman" w:hAnsi="Times New Roman"/>
                <w:color w:val="000000"/>
                <w:sz w:val="24"/>
              </w:rPr>
              <w:t>清管作业和分离器检修废水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rPr>
            </w:pPr>
            <w:r>
              <w:rPr>
                <w:rFonts w:hint="eastAsia" w:ascii="Times New Roman" w:hAnsi="Times New Roman"/>
                <w:color w:val="000000"/>
                <w:sz w:val="24"/>
              </w:rPr>
              <w:t>营运期清洗废水包括站内过滤分离设备、汇管、计量设备等的排污以及接收清管器过程中排出的少量残液，以及项目定期对过滤分离器和清管器接收装置注水进行清洗，类比同类工程，清洗频率约为每4个月1次，清洗废水产生量约为3.0m</w:t>
            </w:r>
            <w:r>
              <w:rPr>
                <w:rFonts w:hint="eastAsia" w:ascii="Times New Roman" w:hAnsi="Times New Roman"/>
                <w:color w:val="000000"/>
                <w:sz w:val="24"/>
                <w:vertAlign w:val="superscript"/>
              </w:rPr>
              <w:t>3</w:t>
            </w:r>
            <w:r>
              <w:rPr>
                <w:rFonts w:hint="eastAsia" w:ascii="Times New Roman" w:hAnsi="Times New Roman"/>
                <w:color w:val="000000"/>
                <w:sz w:val="24"/>
              </w:rPr>
              <w:t>/次。废水中主要成分为铁锈类物质和悬浮物，类比国内同类工程，主要污染物为铁锈、悬浮物物质，污染物浓度为SS400mg/L。分离器排污和设备内部清洗水进入站场内排污池后按照危险废物集中处理，定期送有资质单位处置。</w:t>
            </w:r>
            <w:r>
              <w:rPr>
                <w:rFonts w:hint="eastAsia" w:ascii="Times New Roman" w:hAnsi="Times New Roman"/>
                <w:color w:val="000000"/>
                <w:sz w:val="24"/>
                <w:lang w:val="en-US" w:eastAsia="zh-CN"/>
              </w:rPr>
              <w:t>高安首站及横山</w:t>
            </w:r>
            <w:r>
              <w:rPr>
                <w:rFonts w:hint="eastAsia" w:ascii="Times New Roman" w:hAnsi="Times New Roman"/>
                <w:color w:val="000000"/>
                <w:sz w:val="24"/>
              </w:rPr>
              <w:t>分输站站内的排污池均为5m</w:t>
            </w:r>
            <w:r>
              <w:rPr>
                <w:rFonts w:hint="eastAsia" w:ascii="Times New Roman" w:hAnsi="Times New Roman"/>
                <w:color w:val="000000"/>
                <w:sz w:val="24"/>
                <w:vertAlign w:val="superscript"/>
              </w:rPr>
              <w:t>3</w:t>
            </w:r>
            <w:r>
              <w:rPr>
                <w:rFonts w:hint="eastAsia" w:ascii="Times New Roman" w:hAnsi="Times New Roman"/>
                <w:color w:val="000000"/>
                <w:sz w:val="24"/>
              </w:rPr>
              <w:t>。</w:t>
            </w:r>
          </w:p>
          <w:p>
            <w:pPr>
              <w:spacing w:line="360" w:lineRule="auto"/>
              <w:ind w:firstLine="480" w:firstLineChars="200"/>
              <w:rPr>
                <w:rFonts w:ascii="Times New Roman" w:hAnsi="Times New Roman"/>
                <w:sz w:val="24"/>
              </w:rPr>
            </w:pPr>
            <w:r>
              <w:rPr>
                <w:rFonts w:ascii="Times New Roman" w:hAnsi="Times New Roman"/>
                <w:sz w:val="24"/>
              </w:rPr>
              <w:t>职工生活污水</w:t>
            </w:r>
            <w:r>
              <w:rPr>
                <w:rFonts w:ascii="Times New Roman" w:hAnsi="Times New Roman"/>
                <w:sz w:val="24"/>
                <w:szCs w:val="24"/>
              </w:rPr>
              <w:t>经</w:t>
            </w:r>
            <w:r>
              <w:rPr>
                <w:rFonts w:hint="eastAsia" w:ascii="Times New Roman" w:hAnsi="Times New Roman"/>
                <w:sz w:val="24"/>
                <w:szCs w:val="24"/>
                <w:lang w:val="en-US" w:eastAsia="zh-CN"/>
              </w:rPr>
              <w:t>隔油池、</w:t>
            </w:r>
            <w:r>
              <w:rPr>
                <w:rFonts w:ascii="Times New Roman" w:hAnsi="Times New Roman"/>
                <w:sz w:val="24"/>
                <w:szCs w:val="24"/>
              </w:rPr>
              <w:t>化粪池预处理满足《污水综合排放标准》（GB8978-1996）中的三级标准（氨氮参照《污水排入城镇下水道水质标准》（GB/T31962-2015中的标准）后，排放至</w:t>
            </w:r>
            <w:r>
              <w:rPr>
                <w:rFonts w:ascii="Times New Roman" w:hAnsi="Times New Roman"/>
                <w:bCs/>
                <w:spacing w:val="-3"/>
                <w:sz w:val="24"/>
              </w:rPr>
              <w:t>芜湖大桥综合经济开发区污水处理厂</w:t>
            </w:r>
            <w:r>
              <w:rPr>
                <w:rFonts w:ascii="Times New Roman" w:hAnsi="Times New Roman"/>
                <w:sz w:val="24"/>
                <w:szCs w:val="24"/>
              </w:rPr>
              <w:t>处置，尾水排放满足</w:t>
            </w:r>
            <w:r>
              <w:rPr>
                <w:rFonts w:ascii="Times New Roman" w:hAnsi="Times New Roman"/>
                <w:sz w:val="24"/>
              </w:rPr>
              <w:t>《城镇污水处理厂污染物排放标准》（GB18918-2002）一级标准中 A 类标准。具体见水平衡图。</w:t>
            </w:r>
          </w:p>
          <w:p>
            <w:pPr>
              <w:spacing w:line="360" w:lineRule="auto"/>
              <w:jc w:val="center"/>
              <w:rPr>
                <w:rFonts w:ascii="Times New Roman" w:hAnsi="Times New Roman"/>
                <w:b/>
                <w:sz w:val="24"/>
              </w:rPr>
            </w:pPr>
            <w:r>
              <w:drawing>
                <wp:inline distT="0" distB="0" distL="114300" distR="114300">
                  <wp:extent cx="5791200" cy="1276350"/>
                  <wp:effectExtent l="0" t="0" r="0" b="0"/>
                  <wp:docPr id="7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8"/>
                          <pic:cNvPicPr>
                            <a:picLocks noChangeAspect="1"/>
                          </pic:cNvPicPr>
                        </pic:nvPicPr>
                        <pic:blipFill>
                          <a:blip r:embed="rId20"/>
                          <a:stretch>
                            <a:fillRect/>
                          </a:stretch>
                        </pic:blipFill>
                        <pic:spPr>
                          <a:xfrm>
                            <a:off x="0" y="0"/>
                            <a:ext cx="5791200" cy="1276350"/>
                          </a:xfrm>
                          <a:prstGeom prst="rect">
                            <a:avLst/>
                          </a:prstGeom>
                          <a:noFill/>
                          <a:ln>
                            <a:noFill/>
                          </a:ln>
                        </pic:spPr>
                      </pic:pic>
                    </a:graphicData>
                  </a:graphic>
                </wp:inline>
              </w:drawing>
            </w:r>
          </w:p>
          <w:p>
            <w:pPr>
              <w:widowControl/>
              <w:ind w:firstLine="474"/>
              <w:jc w:val="center"/>
              <w:rPr>
                <w:rFonts w:ascii="Times New Roman" w:hAnsi="Times New Roman"/>
                <w:b/>
                <w:sz w:val="24"/>
                <w:szCs w:val="24"/>
              </w:rPr>
            </w:pPr>
            <w:r>
              <w:rPr>
                <w:rFonts w:ascii="Times New Roman" w:hAnsi="Times New Roman"/>
                <w:b/>
                <w:sz w:val="24"/>
                <w:szCs w:val="24"/>
              </w:rPr>
              <w:t>图5-3   厂区水平衡图     单位：</w:t>
            </w:r>
            <w:r>
              <w:rPr>
                <w:rFonts w:hint="eastAsia" w:ascii="Times New Roman" w:hAnsi="Times New Roman"/>
                <w:b/>
                <w:sz w:val="24"/>
                <w:szCs w:val="24"/>
              </w:rPr>
              <w:t>m</w:t>
            </w:r>
            <w:r>
              <w:rPr>
                <w:rFonts w:hint="eastAsia" w:ascii="Times New Roman" w:hAnsi="Times New Roman"/>
                <w:b/>
                <w:sz w:val="24"/>
                <w:szCs w:val="24"/>
                <w:vertAlign w:val="superscript"/>
              </w:rPr>
              <w:t>3</w:t>
            </w:r>
            <w:r>
              <w:rPr>
                <w:rFonts w:ascii="Times New Roman" w:hAnsi="Times New Roman"/>
                <w:b/>
                <w:sz w:val="24"/>
                <w:szCs w:val="24"/>
                <w:vertAlign w:val="superscript"/>
              </w:rPr>
              <w:t>/</w:t>
            </w:r>
            <w:r>
              <w:rPr>
                <w:rFonts w:ascii="Times New Roman" w:hAnsi="Times New Roman"/>
                <w:b/>
                <w:sz w:val="24"/>
                <w:szCs w:val="24"/>
              </w:rPr>
              <w:t>d</w:t>
            </w:r>
          </w:p>
          <w:p>
            <w:pPr>
              <w:spacing w:line="360" w:lineRule="auto"/>
              <w:ind w:firstLine="482" w:firstLineChars="200"/>
              <w:jc w:val="center"/>
              <w:rPr>
                <w:rFonts w:ascii="Times New Roman" w:hAnsi="Times New Roman"/>
                <w:b/>
                <w:sz w:val="24"/>
              </w:rPr>
            </w:pPr>
          </w:p>
          <w:p>
            <w:pPr>
              <w:spacing w:line="360" w:lineRule="auto"/>
              <w:ind w:firstLine="482" w:firstLineChars="200"/>
              <w:jc w:val="center"/>
              <w:rPr>
                <w:rFonts w:ascii="Times New Roman" w:hAnsi="Times New Roman"/>
                <w:b/>
                <w:sz w:val="24"/>
              </w:rPr>
            </w:pPr>
          </w:p>
          <w:p>
            <w:pPr>
              <w:spacing w:line="360" w:lineRule="auto"/>
              <w:ind w:firstLine="482" w:firstLineChars="200"/>
              <w:jc w:val="center"/>
              <w:rPr>
                <w:rFonts w:ascii="Times New Roman" w:hAnsi="Times New Roman"/>
                <w:b/>
                <w:sz w:val="24"/>
              </w:rPr>
            </w:pPr>
          </w:p>
          <w:p>
            <w:pPr>
              <w:spacing w:line="360" w:lineRule="auto"/>
              <w:ind w:firstLine="482" w:firstLineChars="200"/>
              <w:jc w:val="center"/>
              <w:rPr>
                <w:rFonts w:ascii="Times New Roman" w:hAnsi="Times New Roman"/>
                <w:b/>
                <w:sz w:val="24"/>
              </w:rPr>
            </w:pPr>
          </w:p>
          <w:p>
            <w:pPr>
              <w:spacing w:line="360" w:lineRule="auto"/>
              <w:ind w:firstLine="482" w:firstLineChars="200"/>
              <w:jc w:val="center"/>
              <w:rPr>
                <w:rFonts w:ascii="Times New Roman" w:hAnsi="Times New Roman"/>
                <w:b/>
                <w:sz w:val="24"/>
              </w:rPr>
            </w:pPr>
            <w:r>
              <w:rPr>
                <w:rFonts w:ascii="Times New Roman" w:hAnsi="Times New Roman"/>
                <w:b/>
                <w:sz w:val="24"/>
              </w:rPr>
              <w:t>表5-</w:t>
            </w:r>
            <w:r>
              <w:rPr>
                <w:rFonts w:hint="eastAsia" w:ascii="Times New Roman" w:hAnsi="Times New Roman"/>
                <w:b/>
                <w:sz w:val="24"/>
                <w:lang w:val="en-US" w:eastAsia="zh-CN"/>
              </w:rPr>
              <w:t>3</w:t>
            </w:r>
            <w:r>
              <w:rPr>
                <w:rFonts w:ascii="Times New Roman" w:hAnsi="Times New Roman"/>
                <w:b/>
                <w:sz w:val="24"/>
              </w:rPr>
              <w:t xml:space="preserve">  </w:t>
            </w:r>
            <w:r>
              <w:rPr>
                <w:rFonts w:hint="eastAsia" w:ascii="Times New Roman" w:hAnsi="Times New Roman"/>
                <w:b/>
                <w:sz w:val="24"/>
              </w:rPr>
              <w:t>生活</w:t>
            </w:r>
            <w:r>
              <w:rPr>
                <w:rFonts w:ascii="Times New Roman" w:hAnsi="Times New Roman"/>
                <w:b/>
                <w:sz w:val="24"/>
              </w:rPr>
              <w:t>污水污染物产生、排放情况一览表</w:t>
            </w:r>
          </w:p>
          <w:tbl>
            <w:tblPr>
              <w:tblStyle w:val="32"/>
              <w:tblW w:w="8844" w:type="dxa"/>
              <w:jc w:val="center"/>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38"/>
              <w:gridCol w:w="965"/>
              <w:gridCol w:w="1163"/>
              <w:gridCol w:w="1111"/>
              <w:gridCol w:w="996"/>
              <w:gridCol w:w="1595"/>
              <w:gridCol w:w="1207"/>
              <w:gridCol w:w="1169"/>
            </w:tblGrid>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638" w:type="dxa"/>
                  <w:vMerge w:val="restart"/>
                  <w:tcBorders>
                    <w:top w:val="single" w:color="auto" w:sz="4" w:space="0"/>
                    <w:left w:val="single" w:color="auto" w:sz="0"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种类</w:t>
                  </w:r>
                </w:p>
              </w:tc>
              <w:tc>
                <w:tcPr>
                  <w:tcW w:w="965"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废水量</w:t>
                  </w:r>
                </w:p>
                <w:p>
                  <w:pPr>
                    <w:jc w:val="center"/>
                    <w:rPr>
                      <w:rFonts w:ascii="Times New Roman" w:hAnsi="Times New Roman"/>
                      <w:sz w:val="21"/>
                      <w:szCs w:val="21"/>
                    </w:rPr>
                  </w:pPr>
                  <w:r>
                    <w:rPr>
                      <w:rFonts w:ascii="Times New Roman" w:hAnsi="Times New Roman"/>
                      <w:sz w:val="21"/>
                      <w:szCs w:val="21"/>
                    </w:rPr>
                    <w:t>（m³/a）</w:t>
                  </w:r>
                </w:p>
              </w:tc>
              <w:tc>
                <w:tcPr>
                  <w:tcW w:w="1163"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污染物</w:t>
                  </w:r>
                </w:p>
                <w:p>
                  <w:pPr>
                    <w:jc w:val="center"/>
                    <w:rPr>
                      <w:rFonts w:ascii="Times New Roman" w:hAnsi="Times New Roman"/>
                      <w:sz w:val="21"/>
                      <w:szCs w:val="21"/>
                    </w:rPr>
                  </w:pPr>
                  <w:r>
                    <w:rPr>
                      <w:rFonts w:ascii="Times New Roman" w:hAnsi="Times New Roman"/>
                      <w:sz w:val="21"/>
                      <w:szCs w:val="21"/>
                    </w:rPr>
                    <w:t>名称</w:t>
                  </w:r>
                </w:p>
              </w:tc>
              <w:tc>
                <w:tcPr>
                  <w:tcW w:w="210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污染物产生量</w:t>
                  </w:r>
                </w:p>
              </w:tc>
              <w:tc>
                <w:tcPr>
                  <w:tcW w:w="1595"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处理措施</w:t>
                  </w:r>
                </w:p>
              </w:tc>
              <w:tc>
                <w:tcPr>
                  <w:tcW w:w="2376"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pacing w:val="-12"/>
                      <w:sz w:val="21"/>
                      <w:szCs w:val="21"/>
                    </w:rPr>
                    <w:t>污染物排放量</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97" w:hRule="atLeast"/>
                <w:jc w:val="center"/>
              </w:trPr>
              <w:tc>
                <w:tcPr>
                  <w:tcW w:w="638"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965"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163"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浓度(mg/L)</w:t>
                  </w:r>
                </w:p>
              </w:tc>
              <w:tc>
                <w:tcPr>
                  <w:tcW w:w="99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产生量(</w:t>
                  </w:r>
                  <w:r>
                    <w:rPr>
                      <w:rFonts w:hint="eastAsia" w:ascii="Times New Roman" w:hAnsi="Times New Roman"/>
                      <w:sz w:val="21"/>
                      <w:szCs w:val="21"/>
                    </w:rPr>
                    <w:t>m</w:t>
                  </w:r>
                  <w:r>
                    <w:rPr>
                      <w:rFonts w:hint="eastAsia" w:ascii="Times New Roman" w:hAnsi="Times New Roman"/>
                      <w:sz w:val="21"/>
                      <w:szCs w:val="21"/>
                      <w:vertAlign w:val="superscript"/>
                    </w:rPr>
                    <w:t>3</w:t>
                  </w:r>
                  <w:r>
                    <w:rPr>
                      <w:rFonts w:ascii="Times New Roman" w:hAnsi="Times New Roman"/>
                      <w:sz w:val="21"/>
                      <w:szCs w:val="21"/>
                    </w:rPr>
                    <w:t>/a)</w:t>
                  </w:r>
                </w:p>
              </w:tc>
              <w:tc>
                <w:tcPr>
                  <w:tcW w:w="1595"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1"/>
                      <w:szCs w:val="21"/>
                    </w:rPr>
                  </w:pPr>
                  <w:r>
                    <w:rPr>
                      <w:rFonts w:ascii="Times New Roman" w:hAnsi="Times New Roman"/>
                      <w:sz w:val="21"/>
                      <w:szCs w:val="21"/>
                    </w:rPr>
                    <w:t>浓度</w:t>
                  </w:r>
                </w:p>
                <w:p>
                  <w:pPr>
                    <w:jc w:val="center"/>
                    <w:rPr>
                      <w:rFonts w:ascii="Times New Roman" w:hAnsi="Times New Roman"/>
                      <w:sz w:val="21"/>
                      <w:szCs w:val="21"/>
                    </w:rPr>
                  </w:pPr>
                  <w:r>
                    <w:rPr>
                      <w:rFonts w:ascii="Times New Roman" w:hAnsi="Times New Roman"/>
                      <w:sz w:val="21"/>
                      <w:szCs w:val="21"/>
                    </w:rPr>
                    <w:t>(mg/L)</w:t>
                  </w:r>
                </w:p>
              </w:tc>
              <w:tc>
                <w:tcPr>
                  <w:tcW w:w="116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ascii="Times New Roman" w:hAnsi="Times New Roman"/>
                      <w:sz w:val="21"/>
                      <w:szCs w:val="21"/>
                    </w:rPr>
                    <w:t>排放量</w:t>
                  </w:r>
                </w:p>
                <w:p>
                  <w:pPr>
                    <w:jc w:val="center"/>
                    <w:rPr>
                      <w:rFonts w:ascii="Times New Roman" w:hAnsi="Times New Roman"/>
                      <w:sz w:val="21"/>
                      <w:szCs w:val="21"/>
                    </w:rPr>
                  </w:pPr>
                  <w:r>
                    <w:rPr>
                      <w:rFonts w:ascii="Times New Roman" w:hAnsi="Times New Roman"/>
                      <w:sz w:val="21"/>
                      <w:szCs w:val="21"/>
                    </w:rPr>
                    <w:t>(</w:t>
                  </w:r>
                  <w:r>
                    <w:rPr>
                      <w:rFonts w:hint="eastAsia" w:ascii="Times New Roman" w:hAnsi="Times New Roman"/>
                      <w:sz w:val="21"/>
                      <w:szCs w:val="21"/>
                    </w:rPr>
                    <w:t>m</w:t>
                  </w:r>
                  <w:r>
                    <w:rPr>
                      <w:rFonts w:hint="eastAsia" w:ascii="Times New Roman" w:hAnsi="Times New Roman"/>
                      <w:sz w:val="21"/>
                      <w:szCs w:val="21"/>
                      <w:vertAlign w:val="superscript"/>
                    </w:rPr>
                    <w:t>3</w:t>
                  </w:r>
                  <w:r>
                    <w:rPr>
                      <w:rFonts w:ascii="Times New Roman" w:hAnsi="Times New Roman"/>
                      <w:sz w:val="21"/>
                      <w:szCs w:val="21"/>
                    </w:rPr>
                    <w:t>/a)</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top w:val="single" w:color="auto" w:sz="4" w:space="0"/>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r>
                    <w:rPr>
                      <w:rFonts w:hint="eastAsia" w:ascii="Times New Roman" w:hAnsi="Times New Roman"/>
                      <w:sz w:val="21"/>
                      <w:szCs w:val="21"/>
                      <w:lang w:eastAsia="zh-CN"/>
                    </w:rPr>
                    <w:t>生活</w:t>
                  </w:r>
                  <w:r>
                    <w:rPr>
                      <w:rFonts w:ascii="Times New Roman" w:hAnsi="Times New Roman"/>
                      <w:sz w:val="21"/>
                      <w:szCs w:val="21"/>
                      <w:lang w:eastAsia="zh-CN"/>
                    </w:rPr>
                    <w:t>污水</w:t>
                  </w:r>
                </w:p>
              </w:tc>
              <w:tc>
                <w:tcPr>
                  <w:tcW w:w="965" w:type="dxa"/>
                  <w:vMerge w:val="restart"/>
                  <w:tcBorders>
                    <w:top w:val="single" w:color="auto" w:sz="4" w:space="0"/>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lang w:eastAsia="zh-CN"/>
                    </w:rPr>
                  </w:pPr>
                  <w:r>
                    <w:rPr>
                      <w:rFonts w:ascii="Times New Roman" w:hAnsi="Times New Roman"/>
                      <w:sz w:val="21"/>
                      <w:szCs w:val="21"/>
                      <w:lang w:eastAsia="zh-CN"/>
                    </w:rPr>
                    <w:t>2</w:t>
                  </w:r>
                  <w:r>
                    <w:rPr>
                      <w:rFonts w:hint="eastAsia" w:ascii="Times New Roman" w:hAnsi="Times New Roman"/>
                      <w:sz w:val="21"/>
                      <w:szCs w:val="21"/>
                      <w:lang w:eastAsia="zh-CN"/>
                    </w:rPr>
                    <w:t>88</w:t>
                  </w:r>
                </w:p>
              </w:tc>
              <w:tc>
                <w:tcPr>
                  <w:tcW w:w="116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r>
                    <w:rPr>
                      <w:rFonts w:ascii="Times New Roman" w:hAnsi="Times New Roman"/>
                      <w:sz w:val="21"/>
                      <w:szCs w:val="21"/>
                    </w:rPr>
                    <w:t>COD</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300</w:t>
                  </w:r>
                </w:p>
              </w:tc>
              <w:tc>
                <w:tcPr>
                  <w:tcW w:w="99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0.0864</w:t>
                  </w:r>
                </w:p>
              </w:tc>
              <w:tc>
                <w:tcPr>
                  <w:tcW w:w="1595" w:type="dxa"/>
                  <w:vMerge w:val="restart"/>
                  <w:tcBorders>
                    <w:top w:val="single" w:color="auto" w:sz="4" w:space="0"/>
                    <w:left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r>
                    <w:rPr>
                      <w:rFonts w:hint="eastAsia" w:ascii="Times New Roman" w:hAnsi="Times New Roman"/>
                      <w:sz w:val="21"/>
                      <w:szCs w:val="21"/>
                    </w:rPr>
                    <w:t>隔油池、</w:t>
                  </w:r>
                  <w:r>
                    <w:rPr>
                      <w:rFonts w:ascii="Times New Roman" w:hAnsi="Times New Roman"/>
                      <w:sz w:val="21"/>
                      <w:szCs w:val="21"/>
                    </w:rPr>
                    <w:t>化粪池</w:t>
                  </w: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270</w:t>
                  </w:r>
                </w:p>
              </w:tc>
              <w:tc>
                <w:tcPr>
                  <w:tcW w:w="116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 xml:space="preserve">0.0778 </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965"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116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r>
                    <w:rPr>
                      <w:rFonts w:ascii="Times New Roman" w:hAnsi="Times New Roman"/>
                      <w:sz w:val="21"/>
                      <w:szCs w:val="21"/>
                    </w:rPr>
                    <w:t>SS</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200</w:t>
                  </w:r>
                </w:p>
              </w:tc>
              <w:tc>
                <w:tcPr>
                  <w:tcW w:w="99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0.0576</w:t>
                  </w:r>
                </w:p>
              </w:tc>
              <w:tc>
                <w:tcPr>
                  <w:tcW w:w="1595" w:type="dxa"/>
                  <w:vMerge w:val="continue"/>
                  <w:tcBorders>
                    <w:left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160</w:t>
                  </w:r>
                </w:p>
              </w:tc>
              <w:tc>
                <w:tcPr>
                  <w:tcW w:w="116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 xml:space="preserve">0.0461 </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965"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116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r>
                    <w:rPr>
                      <w:rFonts w:ascii="Times New Roman" w:hAnsi="Times New Roman"/>
                      <w:sz w:val="21"/>
                      <w:szCs w:val="21"/>
                    </w:rPr>
                    <w:t>氨氮</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25</w:t>
                  </w:r>
                </w:p>
              </w:tc>
              <w:tc>
                <w:tcPr>
                  <w:tcW w:w="99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0.0072</w:t>
                  </w:r>
                </w:p>
              </w:tc>
              <w:tc>
                <w:tcPr>
                  <w:tcW w:w="1595" w:type="dxa"/>
                  <w:vMerge w:val="continue"/>
                  <w:tcBorders>
                    <w:left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25</w:t>
                  </w:r>
                </w:p>
              </w:tc>
              <w:tc>
                <w:tcPr>
                  <w:tcW w:w="116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 xml:space="preserve">0.0072 </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965"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116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r>
                    <w:rPr>
                      <w:rFonts w:ascii="Times New Roman" w:hAnsi="Times New Roman"/>
                      <w:sz w:val="21"/>
                      <w:szCs w:val="21"/>
                    </w:rPr>
                    <w:t>BOD</w:t>
                  </w:r>
                  <w:r>
                    <w:rPr>
                      <w:rFonts w:ascii="Times New Roman" w:hAnsi="Times New Roman"/>
                      <w:sz w:val="21"/>
                      <w:szCs w:val="21"/>
                      <w:vertAlign w:val="subscript"/>
                    </w:rPr>
                    <w:t>5</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150</w:t>
                  </w:r>
                </w:p>
              </w:tc>
              <w:tc>
                <w:tcPr>
                  <w:tcW w:w="99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0.0432</w:t>
                  </w:r>
                </w:p>
              </w:tc>
              <w:tc>
                <w:tcPr>
                  <w:tcW w:w="1595" w:type="dxa"/>
                  <w:vMerge w:val="continue"/>
                  <w:tcBorders>
                    <w:left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sz w:val="21"/>
                      <w:szCs w:val="21"/>
                    </w:rPr>
                  </w:pPr>
                  <w:r>
                    <w:rPr>
                      <w:rFonts w:ascii="Times New Roman" w:hAnsi="Times New Roman"/>
                      <w:kern w:val="0"/>
                      <w:sz w:val="21"/>
                      <w:szCs w:val="21"/>
                      <w:lang w:bidi="ar"/>
                    </w:rPr>
                    <w:t>135</w:t>
                  </w:r>
                </w:p>
              </w:tc>
              <w:tc>
                <w:tcPr>
                  <w:tcW w:w="116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 xml:space="preserve">0.0389 </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965" w:type="dxa"/>
                  <w:vMerge w:val="continue"/>
                  <w:tcBorders>
                    <w:left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rPr>
                  </w:pPr>
                </w:p>
              </w:tc>
              <w:tc>
                <w:tcPr>
                  <w:tcW w:w="116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100"/>
                    <w:spacing w:before="53" w:line="240" w:lineRule="atLeast"/>
                    <w:jc w:val="center"/>
                    <w:rPr>
                      <w:rFonts w:ascii="Times New Roman" w:hAnsi="Times New Roman"/>
                      <w:sz w:val="21"/>
                      <w:szCs w:val="21"/>
                      <w:lang w:eastAsia="zh-CN"/>
                    </w:rPr>
                  </w:pPr>
                  <w:r>
                    <w:rPr>
                      <w:rFonts w:hint="eastAsia" w:ascii="Times New Roman" w:hAnsi="Times New Roman"/>
                      <w:sz w:val="21"/>
                      <w:szCs w:val="21"/>
                      <w:lang w:eastAsia="zh-CN"/>
                    </w:rPr>
                    <w:t>动植物油</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120</w:t>
                  </w:r>
                </w:p>
              </w:tc>
              <w:tc>
                <w:tcPr>
                  <w:tcW w:w="99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0.03456</w:t>
                  </w:r>
                </w:p>
              </w:tc>
              <w:tc>
                <w:tcPr>
                  <w:tcW w:w="1595" w:type="dxa"/>
                  <w:vMerge w:val="continue"/>
                  <w:tcBorders>
                    <w:left w:val="single" w:color="auto" w:sz="4" w:space="0"/>
                    <w:right w:val="single" w:color="auto" w:sz="4" w:space="0"/>
                  </w:tcBorders>
                  <w:tcMar>
                    <w:left w:w="28" w:type="dxa"/>
                    <w:right w:w="28" w:type="dxa"/>
                  </w:tcMar>
                  <w:vAlign w:val="center"/>
                </w:tcPr>
                <w:p>
                  <w:pPr>
                    <w:jc w:val="center"/>
                    <w:rPr>
                      <w:rFonts w:ascii="Times New Roman" w:hAnsi="Times New Roman"/>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80</w:t>
                  </w:r>
                </w:p>
              </w:tc>
              <w:tc>
                <w:tcPr>
                  <w:tcW w:w="116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jc w:val="center"/>
                    <w:textAlignment w:val="center"/>
                    <w:rPr>
                      <w:rFonts w:ascii="Times New Roman" w:hAnsi="Times New Roman"/>
                      <w:kern w:val="0"/>
                      <w:sz w:val="21"/>
                      <w:szCs w:val="21"/>
                      <w:lang w:bidi="ar"/>
                    </w:rPr>
                  </w:pPr>
                  <w:r>
                    <w:rPr>
                      <w:rFonts w:hint="eastAsia" w:ascii="Times New Roman" w:hAnsi="Times New Roman"/>
                      <w:kern w:val="0"/>
                      <w:sz w:val="21"/>
                      <w:szCs w:val="21"/>
                      <w:lang w:bidi="ar"/>
                    </w:rPr>
                    <w:t xml:space="preserve">0.0230 </w:t>
                  </w:r>
                </w:p>
              </w:tc>
            </w:tr>
          </w:tbl>
          <w:p>
            <w:pPr>
              <w:spacing w:line="360" w:lineRule="auto"/>
              <w:rPr>
                <w:rFonts w:ascii="Times New Roman" w:hAnsi="Times New Roman"/>
                <w:b/>
                <w:bCs/>
                <w:color w:val="000000"/>
                <w:sz w:val="24"/>
                <w:szCs w:val="24"/>
              </w:rPr>
            </w:pPr>
          </w:p>
          <w:p>
            <w:pPr>
              <w:spacing w:line="360" w:lineRule="auto"/>
              <w:ind w:firstLine="480" w:firstLineChars="200"/>
              <w:rPr>
                <w:rFonts w:ascii="Times New Roman" w:hAnsi="Times New Roman"/>
                <w:b w:val="0"/>
                <w:bCs w:val="0"/>
                <w:color w:val="000000"/>
                <w:sz w:val="24"/>
                <w:szCs w:val="24"/>
              </w:rPr>
            </w:pPr>
            <w:r>
              <w:rPr>
                <w:rFonts w:hint="eastAsia" w:ascii="Times New Roman" w:hAnsi="Times New Roman"/>
                <w:b w:val="0"/>
                <w:bCs w:val="0"/>
                <w:color w:val="000000"/>
                <w:sz w:val="24"/>
                <w:szCs w:val="24"/>
              </w:rPr>
              <w:t>②</w:t>
            </w:r>
            <w:r>
              <w:rPr>
                <w:rFonts w:ascii="Times New Roman" w:hAnsi="Times New Roman"/>
                <w:b w:val="0"/>
                <w:bCs w:val="0"/>
                <w:color w:val="000000"/>
                <w:sz w:val="24"/>
                <w:szCs w:val="24"/>
              </w:rPr>
              <w:t>废气</w:t>
            </w:r>
          </w:p>
          <w:p>
            <w:pPr>
              <w:spacing w:line="360" w:lineRule="auto"/>
              <w:ind w:firstLine="480" w:firstLineChars="200"/>
              <w:rPr>
                <w:rFonts w:hint="eastAsia" w:ascii="Times New Roman" w:hAnsi="Times New Roman"/>
                <w:sz w:val="24"/>
              </w:rPr>
            </w:pPr>
            <w:bookmarkStart w:id="5" w:name="_Hlk507536064"/>
            <w:r>
              <w:rPr>
                <w:rFonts w:hint="eastAsia" w:ascii="Times New Roman" w:hAnsi="Times New Roman"/>
                <w:sz w:val="24"/>
              </w:rPr>
              <w:t>本项目排放的工艺废气主要来自清管作业、分离器检修排放的少量天然气以及</w:t>
            </w:r>
            <w:r>
              <w:rPr>
                <w:rFonts w:hint="eastAsia" w:ascii="Times New Roman" w:hAnsi="Times New Roman"/>
                <w:sz w:val="24"/>
                <w:lang w:val="en-US" w:eastAsia="zh-CN"/>
              </w:rPr>
              <w:t>运行泄漏</w:t>
            </w:r>
            <w:r>
              <w:rPr>
                <w:rFonts w:hint="eastAsia" w:ascii="Times New Roman" w:hAnsi="Times New Roman"/>
                <w:sz w:val="24"/>
              </w:rPr>
              <w:t>排放废气。</w:t>
            </w:r>
          </w:p>
          <w:p>
            <w:pPr>
              <w:spacing w:line="360" w:lineRule="auto"/>
              <w:ind w:firstLine="480" w:firstLineChars="200"/>
              <w:rPr>
                <w:rFonts w:hint="eastAsia" w:ascii="Times New Roman" w:hAnsi="Times New Roman"/>
                <w:sz w:val="24"/>
              </w:rPr>
            </w:pPr>
            <w:r>
              <w:rPr>
                <w:rFonts w:hint="eastAsia" w:ascii="Times New Roman" w:hAnsi="Times New Roman"/>
                <w:sz w:val="24"/>
                <w:lang w:val="en-US" w:eastAsia="zh-CN"/>
              </w:rPr>
              <w:t>（1）</w:t>
            </w:r>
            <w:r>
              <w:rPr>
                <w:rFonts w:hint="eastAsia" w:ascii="Times New Roman" w:hAnsi="Times New Roman"/>
                <w:sz w:val="24"/>
              </w:rPr>
              <w:t>清管作业废气排放</w:t>
            </w:r>
          </w:p>
          <w:p>
            <w:pPr>
              <w:spacing w:line="360" w:lineRule="auto"/>
              <w:ind w:firstLine="480" w:firstLineChars="200"/>
              <w:rPr>
                <w:rFonts w:hint="eastAsia" w:ascii="Times New Roman" w:hAnsi="Times New Roman"/>
                <w:sz w:val="24"/>
              </w:rPr>
            </w:pPr>
            <w:r>
              <w:rPr>
                <w:rFonts w:hint="eastAsia" w:ascii="Times New Roman" w:hAnsi="Times New Roman"/>
                <w:sz w:val="24"/>
              </w:rPr>
              <w:t>本项目正常运行期间，管线每2年将进行1次清管作业，清管作业时收球筒有极少量的天然气将通过各站场的放空立管排放。</w:t>
            </w:r>
          </w:p>
          <w:p>
            <w:pPr>
              <w:spacing w:line="360" w:lineRule="auto"/>
              <w:ind w:firstLine="480" w:firstLineChars="200"/>
              <w:rPr>
                <w:rFonts w:hint="eastAsia" w:ascii="Times New Roman" w:hAnsi="Times New Roman"/>
                <w:sz w:val="24"/>
              </w:rPr>
            </w:pPr>
            <w:r>
              <w:rPr>
                <w:rFonts w:hint="eastAsia" w:ascii="Times New Roman" w:hAnsi="Times New Roman"/>
                <w:sz w:val="24"/>
              </w:rPr>
              <w:t>根据类比调查，单个站场每次清管收球作业排放天然气体积约为50m</w:t>
            </w:r>
            <w:r>
              <w:rPr>
                <w:rFonts w:hint="eastAsia" w:ascii="Times New Roman" w:hAnsi="Times New Roman"/>
                <w:sz w:val="24"/>
                <w:vertAlign w:val="superscript"/>
              </w:rPr>
              <w:t>3</w:t>
            </w:r>
            <w:r>
              <w:rPr>
                <w:rFonts w:hint="eastAsia" w:ascii="Times New Roman" w:hAnsi="Times New Roman"/>
                <w:sz w:val="24"/>
              </w:rPr>
              <w:t>，且是瞬时排放，对环境的影响较小。本项目具有收球装置的站场共2座，清管收球作业排放的天然气体积共计100m</w:t>
            </w:r>
            <w:r>
              <w:rPr>
                <w:rFonts w:hint="eastAsia" w:ascii="Times New Roman" w:hAnsi="Times New Roman"/>
                <w:sz w:val="24"/>
                <w:vertAlign w:val="superscript"/>
              </w:rPr>
              <w:t>3</w:t>
            </w:r>
            <w:r>
              <w:rPr>
                <w:rFonts w:hint="eastAsia" w:ascii="Times New Roman" w:hAnsi="Times New Roman"/>
                <w:sz w:val="24"/>
              </w:rPr>
              <w:t>/次。天然气中主要成分为甲烷，由天然气组分表可以看出，非甲烷总烃以C</w:t>
            </w:r>
            <w:r>
              <w:rPr>
                <w:rFonts w:hint="eastAsia" w:ascii="Times New Roman" w:hAnsi="Times New Roman"/>
                <w:sz w:val="24"/>
                <w:vertAlign w:val="subscript"/>
              </w:rPr>
              <w:t>2</w:t>
            </w:r>
            <w:r>
              <w:rPr>
                <w:rFonts w:hint="eastAsia" w:ascii="Times New Roman" w:hAnsi="Times New Roman"/>
                <w:sz w:val="24"/>
              </w:rPr>
              <w:t>、C</w:t>
            </w:r>
            <w:r>
              <w:rPr>
                <w:rFonts w:hint="eastAsia" w:ascii="Times New Roman" w:hAnsi="Times New Roman"/>
                <w:sz w:val="24"/>
                <w:vertAlign w:val="subscript"/>
              </w:rPr>
              <w:t>3</w:t>
            </w:r>
            <w:r>
              <w:rPr>
                <w:rFonts w:hint="eastAsia" w:ascii="Times New Roman" w:hAnsi="Times New Roman"/>
                <w:sz w:val="24"/>
              </w:rPr>
              <w:t>、IC</w:t>
            </w:r>
            <w:r>
              <w:rPr>
                <w:rFonts w:hint="eastAsia" w:ascii="Times New Roman" w:hAnsi="Times New Roman"/>
                <w:sz w:val="24"/>
                <w:vertAlign w:val="subscript"/>
              </w:rPr>
              <w:t>4</w:t>
            </w:r>
            <w:r>
              <w:rPr>
                <w:rFonts w:hint="eastAsia" w:ascii="Times New Roman" w:hAnsi="Times New Roman"/>
                <w:sz w:val="24"/>
              </w:rPr>
              <w:t>、NC</w:t>
            </w:r>
            <w:r>
              <w:rPr>
                <w:rFonts w:hint="eastAsia" w:ascii="Times New Roman" w:hAnsi="Times New Roman"/>
                <w:sz w:val="24"/>
                <w:vertAlign w:val="subscript"/>
              </w:rPr>
              <w:t>4</w:t>
            </w:r>
            <w:r>
              <w:rPr>
                <w:rFonts w:hint="eastAsia" w:ascii="Times New Roman" w:hAnsi="Times New Roman"/>
                <w:sz w:val="24"/>
              </w:rPr>
              <w:t>为主，分子量分别为30、44、58、58，则非甲烷总烃的分子量可估算为</w:t>
            </w:r>
            <w:r>
              <w:rPr>
                <w:rFonts w:hint="eastAsia" w:ascii="Times New Roman" w:hAnsi="Times New Roman"/>
                <w:sz w:val="24"/>
                <w:lang w:val="en-US" w:eastAsia="zh-CN"/>
              </w:rPr>
              <w:t>3.298%</w:t>
            </w:r>
            <w:r>
              <w:rPr>
                <w:rFonts w:hint="eastAsia" w:ascii="Times New Roman" w:hAnsi="Times New Roman"/>
                <w:sz w:val="24"/>
                <w:lang w:eastAsia="zh-CN"/>
              </w:rPr>
              <w:t>，</w:t>
            </w:r>
            <w:r>
              <w:rPr>
                <w:rFonts w:hint="eastAsia" w:ascii="Times New Roman" w:hAnsi="Times New Roman"/>
                <w:sz w:val="24"/>
                <w:lang w:val="en-US" w:eastAsia="zh-CN"/>
              </w:rPr>
              <w:t>本项目非甲烷总烃分子量估算为33.28，则高安首站、横山分输站非甲烷总烃排放量均为0.049t/a</w:t>
            </w:r>
            <w:r>
              <w:rPr>
                <w:rFonts w:hint="eastAsia" w:ascii="Times New Roman" w:hAnsi="Times New Roman"/>
                <w:sz w:val="24"/>
              </w:rPr>
              <w:t>。</w:t>
            </w:r>
          </w:p>
          <w:p>
            <w:pPr>
              <w:spacing w:line="360" w:lineRule="auto"/>
              <w:ind w:firstLine="480" w:firstLineChars="200"/>
              <w:rPr>
                <w:rFonts w:hint="eastAsia" w:ascii="Times New Roman" w:hAnsi="Times New Roman" w:eastAsia="宋体"/>
                <w:sz w:val="24"/>
                <w:lang w:val="en-US" w:eastAsia="zh-CN"/>
              </w:rPr>
            </w:pPr>
            <w:r>
              <w:rPr>
                <w:rFonts w:hint="eastAsia" w:ascii="Times New Roman" w:hAnsi="Times New Roman"/>
                <w:sz w:val="24"/>
                <w:lang w:val="en-US" w:eastAsia="zh-CN"/>
              </w:rPr>
              <w:t>（2）</w:t>
            </w:r>
            <w:r>
              <w:rPr>
                <w:rFonts w:hint="eastAsia" w:ascii="Times New Roman" w:hAnsi="Times New Roman"/>
                <w:sz w:val="24"/>
              </w:rPr>
              <w:t>分离器检修</w:t>
            </w:r>
            <w:r>
              <w:rPr>
                <w:rFonts w:hint="eastAsia" w:ascii="Times New Roman" w:hAnsi="Times New Roman"/>
                <w:sz w:val="24"/>
                <w:lang w:val="en-US" w:eastAsia="zh-CN"/>
              </w:rPr>
              <w:t>废气</w:t>
            </w:r>
          </w:p>
          <w:p>
            <w:pPr>
              <w:spacing w:line="360" w:lineRule="auto"/>
              <w:ind w:firstLine="480" w:firstLineChars="200"/>
              <w:rPr>
                <w:rFonts w:hint="eastAsia" w:ascii="Times New Roman" w:hAnsi="Times New Roman"/>
                <w:sz w:val="24"/>
              </w:rPr>
            </w:pPr>
            <w:r>
              <w:rPr>
                <w:rFonts w:hint="eastAsia" w:ascii="Times New Roman" w:hAnsi="Times New Roman"/>
                <w:sz w:val="24"/>
              </w:rPr>
              <w:t>分离器一般每年需要进行1次定期检修，分离器检修泄漏的少量天然气将通过工艺站场外的放空系统直接排放。根据类比调查，单个站场每次分离器检修作业天然气排放体积约为20m</w:t>
            </w:r>
            <w:r>
              <w:rPr>
                <w:rFonts w:hint="eastAsia" w:ascii="Times New Roman" w:hAnsi="Times New Roman"/>
                <w:sz w:val="24"/>
                <w:vertAlign w:val="superscript"/>
              </w:rPr>
              <w:t>3</w:t>
            </w:r>
            <w:r>
              <w:rPr>
                <w:rFonts w:hint="eastAsia" w:ascii="Times New Roman" w:hAnsi="Times New Roman"/>
                <w:sz w:val="24"/>
              </w:rPr>
              <w:t>，且是瞬时排放，对环境的影响较小。本项目共有站场2座，分离器检修作业排放的天然气体积共计40m</w:t>
            </w:r>
            <w:r>
              <w:rPr>
                <w:rFonts w:hint="eastAsia" w:ascii="Times New Roman" w:hAnsi="Times New Roman"/>
                <w:sz w:val="24"/>
                <w:vertAlign w:val="superscript"/>
              </w:rPr>
              <w:t>3</w:t>
            </w:r>
            <w:r>
              <w:rPr>
                <w:rFonts w:hint="eastAsia" w:ascii="Times New Roman" w:hAnsi="Times New Roman"/>
                <w:sz w:val="24"/>
              </w:rPr>
              <w:t>/a</w:t>
            </w:r>
            <w:r>
              <w:rPr>
                <w:rFonts w:hint="eastAsia" w:ascii="Times New Roman" w:hAnsi="Times New Roman"/>
                <w:sz w:val="24"/>
                <w:lang w:eastAsia="zh-CN"/>
              </w:rPr>
              <w:t>，</w:t>
            </w:r>
            <w:r>
              <w:rPr>
                <w:rFonts w:hint="eastAsia" w:ascii="Times New Roman" w:hAnsi="Times New Roman"/>
                <w:sz w:val="24"/>
                <w:lang w:val="en-US" w:eastAsia="zh-CN"/>
              </w:rPr>
              <w:t>同上计算，高安首站、横山分输站非甲烷总烃排放量均为0.019t/a</w:t>
            </w:r>
            <w:r>
              <w:rPr>
                <w:rFonts w:hint="eastAsia" w:ascii="Times New Roman" w:hAnsi="Times New Roman"/>
                <w:sz w:val="24"/>
              </w:rPr>
              <w:t>。</w:t>
            </w:r>
          </w:p>
          <w:p>
            <w:pPr>
              <w:spacing w:line="360" w:lineRule="auto"/>
              <w:ind w:firstLine="480" w:firstLineChars="200"/>
              <w:rPr>
                <w:rFonts w:hint="eastAsia" w:ascii="Times New Roman" w:hAnsi="Times New Roman"/>
                <w:sz w:val="24"/>
              </w:rPr>
            </w:pPr>
            <w:r>
              <w:rPr>
                <w:rFonts w:hint="eastAsia" w:ascii="Times New Roman" w:hAnsi="Times New Roman"/>
                <w:sz w:val="24"/>
                <w:lang w:val="en-US" w:eastAsia="zh-CN"/>
              </w:rPr>
              <w:t>（3）运行泄漏</w:t>
            </w:r>
            <w:r>
              <w:rPr>
                <w:rFonts w:hint="eastAsia" w:ascii="Times New Roman" w:hAnsi="Times New Roman"/>
                <w:sz w:val="24"/>
              </w:rPr>
              <w:t>废气</w:t>
            </w:r>
          </w:p>
          <w:p>
            <w:pPr>
              <w:spacing w:line="360" w:lineRule="auto"/>
              <w:ind w:firstLine="480" w:firstLineChars="200"/>
              <w:rPr>
                <w:rFonts w:hint="eastAsia" w:ascii="Times New Roman" w:hAnsi="Times New Roman"/>
                <w:sz w:val="24"/>
              </w:rPr>
            </w:pPr>
            <w:r>
              <w:rPr>
                <w:rFonts w:hint="eastAsia" w:ascii="Times New Roman" w:hAnsi="Times New Roman"/>
                <w:sz w:val="24"/>
              </w:rPr>
              <w:t>本项目</w:t>
            </w:r>
            <w:r>
              <w:rPr>
                <w:rFonts w:hint="eastAsia" w:ascii="Times New Roman" w:hAnsi="Times New Roman"/>
                <w:sz w:val="24"/>
                <w:lang w:val="en-US" w:eastAsia="zh-CN"/>
              </w:rPr>
              <w:t>高安首站及横山</w:t>
            </w:r>
            <w:r>
              <w:rPr>
                <w:rFonts w:hint="eastAsia" w:ascii="Times New Roman" w:hAnsi="Times New Roman"/>
                <w:sz w:val="24"/>
              </w:rPr>
              <w:t>分输站在运行过程中会泄漏少量的烃类气体，主要成分为甲烷，此外还有极少量的非甲烷总烃。根据类比调查，单个站场非甲烷总烃无组织泄漏量约为0.01kg/h。运行过程中泄露的烃类气体来源于工艺设备，阀室主要设备为阀门、放空管、绝缘接头、清管三通以及金属无缝钢管；站场工艺设备为阀门、放空管、绝缘接头、清管三通、金属无缝钢管、调压撬、过滤分离器以及旋风分离器、计量撬等；结合考虑阀室的工艺设备和站场工艺设备的不同，单个站场非甲烷总烃无组织泄漏量约为0.001kg/h。</w:t>
            </w:r>
          </w:p>
          <w:bookmarkEnd w:id="5"/>
          <w:p>
            <w:pPr>
              <w:spacing w:line="360" w:lineRule="auto"/>
              <w:ind w:firstLine="480" w:firstLineChars="200"/>
              <w:rPr>
                <w:rFonts w:ascii="Times New Roman" w:hAnsi="Times New Roman"/>
                <w:b w:val="0"/>
                <w:bCs w:val="0"/>
                <w:color w:val="000000"/>
                <w:sz w:val="24"/>
                <w:szCs w:val="24"/>
              </w:rPr>
            </w:pPr>
            <w:r>
              <w:rPr>
                <w:rFonts w:hint="eastAsia" w:ascii="Times New Roman" w:hAnsi="Times New Roman"/>
                <w:b w:val="0"/>
                <w:bCs w:val="0"/>
                <w:color w:val="000000"/>
                <w:sz w:val="24"/>
                <w:szCs w:val="24"/>
              </w:rPr>
              <w:t>③</w:t>
            </w:r>
            <w:r>
              <w:rPr>
                <w:rFonts w:ascii="Times New Roman" w:hAnsi="Times New Roman"/>
                <w:b w:val="0"/>
                <w:bCs w:val="0"/>
                <w:color w:val="000000"/>
                <w:sz w:val="24"/>
                <w:szCs w:val="24"/>
              </w:rPr>
              <w:t>噪声</w:t>
            </w:r>
          </w:p>
          <w:p>
            <w:pPr>
              <w:widowControl/>
              <w:spacing w:line="360" w:lineRule="auto"/>
              <w:ind w:firstLine="480" w:firstLineChars="200"/>
              <w:rPr>
                <w:rFonts w:ascii="Times New Roman" w:hAnsi="Times New Roman" w:eastAsia="Calibri"/>
                <w:b/>
                <w:color w:val="000000"/>
                <w:sz w:val="24"/>
                <w:szCs w:val="22"/>
              </w:rPr>
            </w:pPr>
            <w:r>
              <w:rPr>
                <w:rFonts w:hint="eastAsia" w:ascii="Times New Roman" w:hAnsi="Times New Roman"/>
                <w:sz w:val="24"/>
                <w:szCs w:val="24"/>
              </w:rPr>
              <w:t>工艺站场噪声源包括站场汇气管、分离器、放空系统等，放空系统噪声只有在紧急事故状态下才会产生。</w:t>
            </w:r>
            <w:r>
              <w:rPr>
                <w:rFonts w:hint="eastAsia" w:ascii="Times New Roman" w:hAnsi="Times New Roman"/>
                <w:color w:val="000000"/>
                <w:sz w:val="24"/>
              </w:rPr>
              <w:t>运营</w:t>
            </w:r>
            <w:r>
              <w:rPr>
                <w:rFonts w:ascii="Times New Roman" w:hAnsi="Times New Roman"/>
                <w:color w:val="000000"/>
                <w:sz w:val="24"/>
              </w:rPr>
              <w:t>时利用墙壁的作用，使噪声受到不同程度的隔绝和吸收，做到尽可能屏蔽声源，减少对环境的影响。同时在总体布置上利用建筑物、构筑物来阻隔声波的传播。通常</w:t>
            </w:r>
            <w:r>
              <w:rPr>
                <w:rFonts w:hint="eastAsia" w:ascii="Times New Roman" w:hAnsi="Times New Roman"/>
                <w:color w:val="000000"/>
                <w:sz w:val="24"/>
              </w:rPr>
              <w:t>建筑物</w:t>
            </w:r>
            <w:r>
              <w:rPr>
                <w:rFonts w:ascii="Times New Roman" w:hAnsi="Times New Roman"/>
                <w:color w:val="000000"/>
                <w:sz w:val="24"/>
              </w:rPr>
              <w:t>的隔声量为18~22dB(A)。本项目主要设备噪声源强见下表。</w:t>
            </w:r>
          </w:p>
          <w:p>
            <w:pPr>
              <w:pStyle w:val="4"/>
              <w:tabs>
                <w:tab w:val="left" w:pos="2559"/>
                <w:tab w:val="left" w:pos="6171"/>
              </w:tabs>
              <w:spacing w:before="0" w:beforeLines="0" w:after="0" w:afterLines="0" w:line="360" w:lineRule="auto"/>
              <w:jc w:val="center"/>
              <w:rPr>
                <w:rFonts w:ascii="Times New Roman" w:hAnsi="Times New Roman" w:eastAsia="Calibri"/>
                <w:b/>
                <w:bCs w:val="0"/>
                <w:color w:val="000000"/>
                <w:szCs w:val="22"/>
              </w:rPr>
            </w:pPr>
            <w:r>
              <w:rPr>
                <w:rFonts w:ascii="Times New Roman" w:hAnsi="Times New Roman" w:eastAsia="Calibri"/>
                <w:b/>
                <w:bCs w:val="0"/>
                <w:color w:val="000000"/>
                <w:szCs w:val="22"/>
              </w:rPr>
              <w:t>表5-</w:t>
            </w:r>
            <w:r>
              <w:rPr>
                <w:rFonts w:hint="eastAsia" w:ascii="Times New Roman" w:hAnsi="Times New Roman" w:eastAsia="宋体"/>
                <w:b/>
                <w:bCs w:val="0"/>
                <w:color w:val="000000"/>
                <w:szCs w:val="22"/>
                <w:lang w:val="en-US" w:eastAsia="zh-CN"/>
              </w:rPr>
              <w:t>4</w:t>
            </w:r>
            <w:r>
              <w:rPr>
                <w:rFonts w:ascii="Times New Roman" w:hAnsi="Times New Roman" w:eastAsia="Calibri"/>
                <w:b/>
                <w:bCs w:val="0"/>
                <w:color w:val="000000"/>
                <w:szCs w:val="22"/>
              </w:rPr>
              <w:t xml:space="preserve">  营运期间噪声污染源强  </w:t>
            </w:r>
            <w:r>
              <w:rPr>
                <w:rFonts w:hint="eastAsia" w:ascii="Times New Roman" w:hAnsi="Times New Roman" w:eastAsia="宋体"/>
                <w:b/>
                <w:bCs w:val="0"/>
                <w:color w:val="000000"/>
                <w:szCs w:val="22"/>
              </w:rPr>
              <w:t xml:space="preserve">  </w:t>
            </w:r>
            <w:r>
              <w:rPr>
                <w:rFonts w:ascii="Times New Roman" w:hAnsi="Times New Roman" w:eastAsia="Calibri"/>
                <w:b/>
                <w:bCs w:val="0"/>
                <w:color w:val="000000"/>
                <w:szCs w:val="22"/>
              </w:rPr>
              <w:t>单位 dB（A）</w:t>
            </w:r>
          </w:p>
          <w:tbl>
            <w:tblPr>
              <w:tblStyle w:val="32"/>
              <w:tblW w:w="8844" w:type="dxa"/>
              <w:jc w:val="center"/>
              <w:tblLayout w:type="fixed"/>
              <w:tblCellMar>
                <w:top w:w="0" w:type="dxa"/>
                <w:left w:w="0" w:type="dxa"/>
                <w:bottom w:w="0" w:type="dxa"/>
                <w:right w:w="0" w:type="dxa"/>
              </w:tblCellMar>
            </w:tblPr>
            <w:tblGrid>
              <w:gridCol w:w="939"/>
              <w:gridCol w:w="2260"/>
              <w:gridCol w:w="1883"/>
              <w:gridCol w:w="1579"/>
              <w:gridCol w:w="2183"/>
            </w:tblGrid>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编号</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设备名称</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治理前等效声级[dB(A)]</w:t>
                  </w:r>
                </w:p>
              </w:tc>
              <w:tc>
                <w:tcPr>
                  <w:tcW w:w="1579"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治理措施</w:t>
                  </w: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治理后等效声级[dB(A)]</w:t>
                  </w:r>
                </w:p>
              </w:tc>
            </w:tr>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1</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bCs/>
                      <w:color w:val="000000"/>
                      <w:szCs w:val="22"/>
                    </w:rPr>
                  </w:pPr>
                  <w:r>
                    <w:rPr>
                      <w:rFonts w:hint="eastAsia" w:ascii="Times New Roman" w:hAnsi="Times New Roman"/>
                      <w:bCs/>
                      <w:color w:val="000000"/>
                      <w:szCs w:val="22"/>
                    </w:rPr>
                    <w:t>加热炉</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85~90</w:t>
                  </w:r>
                </w:p>
              </w:tc>
              <w:tc>
                <w:tcPr>
                  <w:tcW w:w="1579" w:type="dxa"/>
                  <w:vMerge w:val="restart"/>
                  <w:tcBorders>
                    <w:top w:val="single" w:color="000000" w:sz="4" w:space="0"/>
                    <w:left w:val="single" w:color="000000"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基础固定、减震、隔声</w:t>
                  </w: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65~70</w:t>
                  </w:r>
                </w:p>
              </w:tc>
            </w:tr>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2</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bCs/>
                      <w:color w:val="000000"/>
                      <w:szCs w:val="22"/>
                    </w:rPr>
                  </w:pPr>
                  <w:r>
                    <w:rPr>
                      <w:rFonts w:hint="eastAsia" w:ascii="Times New Roman" w:hAnsi="Times New Roman"/>
                      <w:color w:val="000000"/>
                      <w:szCs w:val="21"/>
                    </w:rPr>
                    <w:t>配电设备</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80~90</w:t>
                  </w:r>
                </w:p>
              </w:tc>
              <w:tc>
                <w:tcPr>
                  <w:tcW w:w="1579" w:type="dxa"/>
                  <w:vMerge w:val="continue"/>
                  <w:tcBorders>
                    <w:left w:val="single" w:color="000000" w:sz="4" w:space="0"/>
                    <w:right w:val="single" w:color="auto" w:sz="4" w:space="0"/>
                  </w:tcBorders>
                  <w:vAlign w:val="center"/>
                </w:tcPr>
                <w:p>
                  <w:pPr>
                    <w:jc w:val="center"/>
                    <w:rPr>
                      <w:rFonts w:ascii="Times New Roman" w:hAnsi="Times New Roman"/>
                      <w:color w:val="000000"/>
                      <w:szCs w:val="21"/>
                    </w:rPr>
                  </w:pP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60~</w:t>
                  </w:r>
                  <w:r>
                    <w:rPr>
                      <w:rFonts w:hint="eastAsia" w:ascii="Times New Roman" w:hAnsi="Times New Roman"/>
                      <w:color w:val="000000"/>
                      <w:szCs w:val="21"/>
                      <w:lang w:val="en-US" w:eastAsia="zh-CN"/>
                    </w:rPr>
                    <w:t>7</w:t>
                  </w:r>
                  <w:r>
                    <w:rPr>
                      <w:rFonts w:ascii="Times New Roman" w:hAnsi="Times New Roman"/>
                      <w:color w:val="000000"/>
                      <w:szCs w:val="21"/>
                    </w:rPr>
                    <w:t>0</w:t>
                  </w:r>
                </w:p>
              </w:tc>
            </w:tr>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3</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放空系统</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90~105</w:t>
                  </w:r>
                </w:p>
              </w:tc>
              <w:tc>
                <w:tcPr>
                  <w:tcW w:w="1579" w:type="dxa"/>
                  <w:vMerge w:val="continue"/>
                  <w:tcBorders>
                    <w:left w:val="single" w:color="000000" w:sz="4" w:space="0"/>
                    <w:bottom w:val="single" w:color="auto" w:sz="4" w:space="0"/>
                    <w:right w:val="single" w:color="auto" w:sz="4" w:space="0"/>
                  </w:tcBorders>
                  <w:vAlign w:val="center"/>
                </w:tcPr>
                <w:p>
                  <w:pPr>
                    <w:jc w:val="center"/>
                    <w:rPr>
                      <w:rFonts w:ascii="Times New Roman" w:hAnsi="Times New Roman"/>
                      <w:color w:val="000000"/>
                      <w:szCs w:val="21"/>
                    </w:rPr>
                  </w:pP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70~85</w:t>
                  </w:r>
                </w:p>
              </w:tc>
            </w:tr>
          </w:tbl>
          <w:p>
            <w:pPr>
              <w:rPr>
                <w:rFonts w:ascii="Times New Roman" w:hAnsi="Times New Roman"/>
                <w:color w:val="000000"/>
              </w:rPr>
            </w:pPr>
          </w:p>
          <w:p>
            <w:pPr>
              <w:spacing w:line="360" w:lineRule="auto"/>
              <w:ind w:firstLine="480" w:firstLineChars="200"/>
              <w:rPr>
                <w:rFonts w:ascii="Times New Roman" w:hAnsi="Times New Roman"/>
                <w:b w:val="0"/>
                <w:bCs w:val="0"/>
                <w:color w:val="000000"/>
                <w:sz w:val="24"/>
                <w:szCs w:val="24"/>
              </w:rPr>
            </w:pPr>
            <w:r>
              <w:rPr>
                <w:rFonts w:hint="eastAsia" w:ascii="Times New Roman" w:hAnsi="Times New Roman"/>
                <w:b w:val="0"/>
                <w:bCs w:val="0"/>
                <w:color w:val="000000"/>
                <w:sz w:val="24"/>
                <w:szCs w:val="24"/>
              </w:rPr>
              <w:t>④</w:t>
            </w:r>
            <w:r>
              <w:rPr>
                <w:rFonts w:ascii="Times New Roman" w:hAnsi="Times New Roman"/>
                <w:b w:val="0"/>
                <w:bCs w:val="0"/>
                <w:color w:val="000000"/>
                <w:sz w:val="24"/>
                <w:szCs w:val="24"/>
              </w:rPr>
              <w:t>固废</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lang w:val="en-US" w:eastAsia="zh-CN"/>
              </w:rPr>
              <w:t>（1）</w:t>
            </w:r>
            <w:r>
              <w:rPr>
                <w:rFonts w:hint="eastAsia" w:ascii="Times New Roman" w:hAnsi="Times New Roman"/>
                <w:color w:val="000000"/>
                <w:sz w:val="24"/>
              </w:rPr>
              <w:t>生活垃圾</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lang w:val="en-US" w:eastAsia="zh-CN"/>
              </w:rPr>
              <w:t>高安首站</w:t>
            </w:r>
            <w:r>
              <w:rPr>
                <w:rFonts w:hint="eastAsia" w:ascii="Times New Roman" w:hAnsi="Times New Roman"/>
                <w:color w:val="000000"/>
                <w:sz w:val="24"/>
              </w:rPr>
              <w:t>劳动定员为</w:t>
            </w:r>
            <w:r>
              <w:rPr>
                <w:rFonts w:hint="eastAsia" w:ascii="Times New Roman" w:hAnsi="Times New Roman"/>
                <w:color w:val="000000"/>
                <w:sz w:val="24"/>
                <w:lang w:val="en-US" w:eastAsia="zh-CN"/>
              </w:rPr>
              <w:t>8</w:t>
            </w:r>
            <w:r>
              <w:rPr>
                <w:rFonts w:hint="eastAsia" w:ascii="Times New Roman" w:hAnsi="Times New Roman"/>
                <w:color w:val="000000"/>
                <w:sz w:val="24"/>
              </w:rPr>
              <w:t>人，生活垃圾按每人每天0.5kg/d人计算，生活垃圾产生量约为1.</w:t>
            </w:r>
            <w:r>
              <w:rPr>
                <w:rFonts w:hint="eastAsia" w:ascii="Times New Roman" w:hAnsi="Times New Roman"/>
                <w:color w:val="000000"/>
                <w:sz w:val="24"/>
                <w:lang w:val="en-US" w:eastAsia="zh-CN"/>
              </w:rPr>
              <w:t>46</w:t>
            </w:r>
            <w:r>
              <w:rPr>
                <w:rFonts w:hint="eastAsia" w:ascii="Times New Roman" w:hAnsi="Times New Roman"/>
                <w:color w:val="000000"/>
                <w:sz w:val="24"/>
              </w:rPr>
              <w:t>t/a；依托当地环卫部门清运。</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lang w:val="en-US" w:eastAsia="zh-CN"/>
              </w:rPr>
              <w:t>（2）</w:t>
            </w:r>
            <w:r>
              <w:rPr>
                <w:rFonts w:hint="eastAsia" w:ascii="Times New Roman" w:hAnsi="Times New Roman"/>
                <w:color w:val="000000"/>
                <w:sz w:val="24"/>
              </w:rPr>
              <w:t>一般工业固废</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t>1）废滤芯</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t>站场清管作业或分离器维护时会产生一些废滤芯，每座站场产生量约为0.026t/a，本项目废滤芯产生量为0.052t/a。过滤器定期更换的滤芯属于一般工业固废，交由生产厂家回收。</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lang w:val="en-US" w:eastAsia="zh-CN"/>
              </w:rPr>
              <w:t>2</w:t>
            </w:r>
            <w:r>
              <w:rPr>
                <w:rFonts w:hint="eastAsia" w:ascii="Times New Roman" w:hAnsi="Times New Roman"/>
                <w:color w:val="000000"/>
                <w:sz w:val="24"/>
                <w:lang w:eastAsia="zh-CN"/>
              </w:rPr>
              <w:t>）</w:t>
            </w:r>
            <w:r>
              <w:rPr>
                <w:rFonts w:hint="eastAsia" w:ascii="Times New Roman" w:hAnsi="Times New Roman"/>
                <w:color w:val="000000"/>
                <w:sz w:val="24"/>
              </w:rPr>
              <w:t>清管废渣</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t>管道运行期间产生的清管固废极少，主要成份为氧化铁粉末和粉尘，属于一般工业固废。管道每年进行1～2次清管，全线清管装置为手动操作，密闭清管通球，清管固废产生量极少。根据类比调查，单个站场每次清管作业时将产生15kg废渣。本工程具有收球装置的站场为2座，按每年清管2次计算，清管作业时将产生废渣60kg/a，</w:t>
            </w:r>
            <w:r>
              <w:rPr>
                <w:rFonts w:hint="eastAsia" w:ascii="Times New Roman" w:hAnsi="Times New Roman"/>
                <w:color w:val="000000"/>
                <w:sz w:val="24"/>
                <w:lang w:val="en-US" w:eastAsia="zh-CN"/>
              </w:rPr>
              <w:t>由环卫部门</w:t>
            </w:r>
            <w:r>
              <w:rPr>
                <w:rFonts w:hint="eastAsia" w:ascii="Times New Roman" w:hAnsi="Times New Roman"/>
                <w:color w:val="000000"/>
                <w:sz w:val="24"/>
              </w:rPr>
              <w:t>定期外运处理，对环境影响较小。</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lang w:eastAsia="zh-CN"/>
              </w:rPr>
              <w:t>（</w:t>
            </w:r>
            <w:r>
              <w:rPr>
                <w:rFonts w:hint="eastAsia" w:ascii="Times New Roman" w:hAnsi="Times New Roman"/>
                <w:color w:val="000000"/>
                <w:sz w:val="24"/>
                <w:lang w:val="en-US" w:eastAsia="zh-CN"/>
              </w:rPr>
              <w:t>3</w:t>
            </w:r>
            <w:r>
              <w:rPr>
                <w:rFonts w:hint="eastAsia" w:ascii="Times New Roman" w:hAnsi="Times New Roman"/>
                <w:color w:val="000000"/>
                <w:sz w:val="24"/>
                <w:lang w:eastAsia="zh-CN"/>
              </w:rPr>
              <w:t>）</w:t>
            </w:r>
            <w:r>
              <w:rPr>
                <w:rFonts w:hint="eastAsia" w:ascii="Times New Roman" w:hAnsi="Times New Roman"/>
                <w:color w:val="000000"/>
                <w:sz w:val="24"/>
              </w:rPr>
              <w:t>危险废物</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t>清管废水残液一起集中处理，排污池沉渣产生量为40kg/a，其中</w:t>
            </w:r>
            <w:r>
              <w:rPr>
                <w:rFonts w:hint="eastAsia" w:ascii="Times New Roman" w:hAnsi="Times New Roman"/>
                <w:color w:val="000000"/>
                <w:sz w:val="24"/>
                <w:lang w:val="en-US" w:eastAsia="zh-CN"/>
              </w:rPr>
              <w:t>高安首站</w:t>
            </w:r>
            <w:r>
              <w:rPr>
                <w:rFonts w:hint="eastAsia" w:ascii="Times New Roman" w:hAnsi="Times New Roman"/>
                <w:color w:val="000000"/>
                <w:sz w:val="24"/>
              </w:rPr>
              <w:t>产生量为</w:t>
            </w:r>
            <w:r>
              <w:rPr>
                <w:rFonts w:hint="eastAsia" w:ascii="Times New Roman" w:hAnsi="Times New Roman"/>
                <w:color w:val="000000"/>
                <w:sz w:val="24"/>
                <w:lang w:val="en-US" w:eastAsia="zh-CN"/>
              </w:rPr>
              <w:t>3</w:t>
            </w:r>
            <w:r>
              <w:rPr>
                <w:rFonts w:hint="eastAsia" w:ascii="Times New Roman" w:hAnsi="Times New Roman"/>
                <w:color w:val="000000"/>
                <w:sz w:val="24"/>
              </w:rPr>
              <w:t>5kg/a，</w:t>
            </w:r>
            <w:r>
              <w:rPr>
                <w:rFonts w:hint="eastAsia" w:ascii="Times New Roman" w:hAnsi="Times New Roman"/>
                <w:color w:val="000000"/>
                <w:sz w:val="24"/>
                <w:lang w:val="en-US" w:eastAsia="zh-CN"/>
              </w:rPr>
              <w:t>横山分输站</w:t>
            </w:r>
            <w:r>
              <w:rPr>
                <w:rFonts w:hint="eastAsia" w:ascii="Times New Roman" w:hAnsi="Times New Roman"/>
                <w:color w:val="000000"/>
                <w:sz w:val="24"/>
              </w:rPr>
              <w:t>产生量为5kg/a。根据建设单位日常管理，将排污池中的沉渣按照危险废物管理，定期委托有资质单位处理。</w:t>
            </w:r>
          </w:p>
          <w:p>
            <w:pPr>
              <w:widowControl/>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t>根据《国家危险废物名录》</w:t>
            </w:r>
            <w:r>
              <w:rPr>
                <w:rFonts w:hint="eastAsia" w:ascii="Times New Roman" w:hAnsi="Times New Roman"/>
                <w:color w:val="000000"/>
                <w:sz w:val="24"/>
                <w:lang w:eastAsia="zh-CN"/>
              </w:rPr>
              <w:t>（</w:t>
            </w:r>
            <w:r>
              <w:rPr>
                <w:rFonts w:hint="eastAsia" w:ascii="Times New Roman" w:hAnsi="Times New Roman"/>
                <w:color w:val="000000"/>
                <w:sz w:val="24"/>
                <w:lang w:val="en-US" w:eastAsia="zh-CN"/>
              </w:rPr>
              <w:t>2021版</w:t>
            </w:r>
            <w:r>
              <w:rPr>
                <w:rFonts w:hint="eastAsia" w:ascii="Times New Roman" w:hAnsi="Times New Roman"/>
                <w:color w:val="000000"/>
                <w:sz w:val="24"/>
                <w:lang w:eastAsia="zh-CN"/>
              </w:rPr>
              <w:t>）</w:t>
            </w:r>
            <w:r>
              <w:rPr>
                <w:rFonts w:hint="eastAsia" w:ascii="Times New Roman" w:hAnsi="Times New Roman"/>
                <w:color w:val="000000"/>
                <w:sz w:val="24"/>
              </w:rPr>
              <w:t>对上述固废进行危险废物判定，根据《建设项目危险废物环境影响评价指南》本项目产生及处理危险废物汇总表见表3.14-8。</w:t>
            </w:r>
            <w:r>
              <w:rPr>
                <w:rFonts w:hint="eastAsia" w:ascii="Times New Roman" w:hAnsi="Times New Roman"/>
                <w:color w:val="000000"/>
                <w:sz w:val="24"/>
                <w:lang w:val="en-US" w:eastAsia="zh-CN"/>
              </w:rPr>
              <w:t>高安首站产生的危废利用码头工程建设的危废库（建筑面积30m</w:t>
            </w:r>
            <w:r>
              <w:rPr>
                <w:rFonts w:hint="eastAsia" w:ascii="Times New Roman" w:hAnsi="Times New Roman"/>
                <w:color w:val="000000"/>
                <w:sz w:val="24"/>
                <w:vertAlign w:val="superscript"/>
                <w:lang w:val="en-US" w:eastAsia="zh-CN"/>
              </w:rPr>
              <w:t>2</w:t>
            </w:r>
            <w:r>
              <w:rPr>
                <w:rFonts w:hint="eastAsia" w:ascii="Times New Roman" w:hAnsi="Times New Roman"/>
                <w:color w:val="000000"/>
                <w:sz w:val="24"/>
                <w:lang w:val="en-US" w:eastAsia="zh-CN"/>
              </w:rPr>
              <w:t>）存储，横山</w:t>
            </w:r>
            <w:r>
              <w:rPr>
                <w:rFonts w:hint="eastAsia" w:ascii="Times New Roman" w:hAnsi="Times New Roman"/>
                <w:color w:val="000000"/>
                <w:sz w:val="24"/>
              </w:rPr>
              <w:t>分输站内</w:t>
            </w:r>
            <w:r>
              <w:rPr>
                <w:rFonts w:hint="eastAsia" w:ascii="Times New Roman" w:hAnsi="Times New Roman"/>
                <w:color w:val="000000"/>
                <w:sz w:val="24"/>
                <w:lang w:val="en-US" w:eastAsia="zh-CN"/>
              </w:rPr>
              <w:t>新</w:t>
            </w:r>
            <w:r>
              <w:rPr>
                <w:rFonts w:hint="eastAsia" w:ascii="Times New Roman" w:hAnsi="Times New Roman"/>
                <w:color w:val="000000"/>
                <w:sz w:val="24"/>
              </w:rPr>
              <w:t>建设1处危废暂存区，</w:t>
            </w:r>
            <w:r>
              <w:rPr>
                <w:rFonts w:hint="eastAsia" w:ascii="Times New Roman" w:hAnsi="Times New Roman"/>
                <w:color w:val="000000"/>
                <w:sz w:val="24"/>
                <w:lang w:val="en-US" w:eastAsia="zh-CN"/>
              </w:rPr>
              <w:t>建筑面积10m</w:t>
            </w:r>
            <w:r>
              <w:rPr>
                <w:rFonts w:hint="eastAsia" w:ascii="Times New Roman" w:hAnsi="Times New Roman"/>
                <w:color w:val="000000"/>
                <w:sz w:val="24"/>
                <w:vertAlign w:val="superscript"/>
                <w:lang w:val="en-US" w:eastAsia="zh-CN"/>
              </w:rPr>
              <w:t>2</w:t>
            </w:r>
            <w:r>
              <w:rPr>
                <w:rFonts w:hint="eastAsia" w:ascii="Times New Roman" w:hAnsi="Times New Roman"/>
                <w:color w:val="000000"/>
                <w:sz w:val="24"/>
                <w:lang w:val="en-US" w:eastAsia="zh-CN"/>
              </w:rPr>
              <w:t>，</w:t>
            </w:r>
            <w:r>
              <w:rPr>
                <w:rFonts w:hint="eastAsia" w:ascii="Times New Roman" w:hAnsi="Times New Roman"/>
                <w:color w:val="000000"/>
                <w:sz w:val="24"/>
              </w:rPr>
              <w:t>配备专人进行危废的收集和管理，危废实行分类收集、采用符合标准的容器分类放置。危废暂存区应按规定设置警示标志，储存场地必须做好防渗漏，同时危废储存场地必须符合《危险废物贮存污染控制标准》（GB18597-2001）及其2013年修改清单的各项要求，危险废物的运输执行《危险废物转移联单管理办法》中有关的规定和要求。</w:t>
            </w:r>
          </w:p>
          <w:p>
            <w:pPr>
              <w:pStyle w:val="5"/>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表</w:t>
            </w:r>
            <w:r>
              <w:rPr>
                <w:rFonts w:hint="default" w:ascii="Times New Roman" w:hAnsi="Times New Roman" w:cs="Times New Roman"/>
                <w:b/>
                <w:bCs/>
                <w:sz w:val="24"/>
                <w:szCs w:val="24"/>
                <w:lang w:val="en-US" w:eastAsia="zh-CN"/>
              </w:rPr>
              <w:t>5-</w:t>
            </w:r>
            <w:r>
              <w:rPr>
                <w:rFonts w:hint="eastAsia" w:ascii="Times New Roman" w:hAnsi="Times New Roman" w:cs="Times New Roman"/>
                <w:b/>
                <w:bCs/>
                <w:sz w:val="24"/>
                <w:szCs w:val="24"/>
                <w:lang w:val="en-US" w:eastAsia="zh-CN"/>
              </w:rPr>
              <w:t>5</w:t>
            </w:r>
            <w:r>
              <w:rPr>
                <w:rFonts w:hint="default" w:ascii="Times New Roman" w:hAnsi="Times New Roman" w:cs="Times New Roman"/>
                <w:b/>
                <w:bCs/>
                <w:sz w:val="24"/>
                <w:szCs w:val="24"/>
              </w:rPr>
              <w:t xml:space="preserve">  项目固废产排情况一览表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125"/>
              <w:gridCol w:w="1276"/>
              <w:gridCol w:w="997"/>
              <w:gridCol w:w="651"/>
              <w:gridCol w:w="1584"/>
              <w:gridCol w:w="1133"/>
              <w:gridCol w:w="1200"/>
              <w:gridCol w:w="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序号</w:t>
                  </w:r>
                </w:p>
              </w:tc>
              <w:tc>
                <w:tcPr>
                  <w:tcW w:w="1125"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固废名称</w:t>
                  </w:r>
                </w:p>
              </w:tc>
              <w:tc>
                <w:tcPr>
                  <w:tcW w:w="1276"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废物代码</w:t>
                  </w:r>
                </w:p>
              </w:tc>
              <w:tc>
                <w:tcPr>
                  <w:tcW w:w="997"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来源</w:t>
                  </w:r>
                </w:p>
              </w:tc>
              <w:tc>
                <w:tcPr>
                  <w:tcW w:w="651"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状态</w:t>
                  </w:r>
                </w:p>
              </w:tc>
              <w:tc>
                <w:tcPr>
                  <w:tcW w:w="1584"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存放地点</w:t>
                  </w:r>
                </w:p>
              </w:tc>
              <w:tc>
                <w:tcPr>
                  <w:tcW w:w="1133"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产生量（t/a）</w:t>
                  </w:r>
                </w:p>
              </w:tc>
              <w:tc>
                <w:tcPr>
                  <w:tcW w:w="1200"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处置方式</w:t>
                  </w:r>
                </w:p>
              </w:tc>
              <w:tc>
                <w:tcPr>
                  <w:tcW w:w="549"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1</w:t>
                  </w:r>
                </w:p>
              </w:tc>
              <w:tc>
                <w:tcPr>
                  <w:tcW w:w="1125"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废滤芯</w:t>
                  </w:r>
                </w:p>
              </w:tc>
              <w:tc>
                <w:tcPr>
                  <w:tcW w:w="1276"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一般</w:t>
                  </w:r>
                </w:p>
              </w:tc>
              <w:tc>
                <w:tcPr>
                  <w:tcW w:w="997"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检修维护</w:t>
                  </w:r>
                </w:p>
              </w:tc>
              <w:tc>
                <w:tcPr>
                  <w:tcW w:w="651"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固态</w:t>
                  </w:r>
                </w:p>
              </w:tc>
              <w:tc>
                <w:tcPr>
                  <w:tcW w:w="1584"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default" w:ascii="Times New Roman" w:hAnsi="Times New Roman" w:cs="Times New Roman"/>
                      <w:spacing w:val="0"/>
                      <w:sz w:val="21"/>
                      <w:szCs w:val="21"/>
                      <w:lang w:val="en-US" w:eastAsia="zh-CN"/>
                    </w:rPr>
                    <w:t>一般固废暂存场所</w:t>
                  </w:r>
                </w:p>
              </w:tc>
              <w:tc>
                <w:tcPr>
                  <w:tcW w:w="1133"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0.052</w:t>
                  </w:r>
                </w:p>
              </w:tc>
              <w:tc>
                <w:tcPr>
                  <w:tcW w:w="1200" w:type="dxa"/>
                  <w:vMerge w:val="restart"/>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val="en-US" w:eastAsia="zh-CN"/>
                    </w:rPr>
                    <w:t>外售给物资回收部门</w:t>
                  </w:r>
                </w:p>
              </w:tc>
              <w:tc>
                <w:tcPr>
                  <w:tcW w:w="549"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2</w:t>
                  </w:r>
                </w:p>
              </w:tc>
              <w:tc>
                <w:tcPr>
                  <w:tcW w:w="1125" w:type="dxa"/>
                  <w:noWrap w:val="0"/>
                  <w:vAlign w:val="center"/>
                </w:tcPr>
                <w:p>
                  <w:pPr>
                    <w:pStyle w:val="105"/>
                    <w:spacing w:line="240" w:lineRule="atLeast"/>
                    <w:ind w:firstLine="0" w:firstLineChars="0"/>
                    <w:jc w:val="center"/>
                    <w:rPr>
                      <w:rFonts w:hint="eastAsia" w:ascii="Times New Roman" w:hAnsi="Times New Roman" w:eastAsia="宋体" w:cs="Times New Roman"/>
                      <w:spacing w:val="0"/>
                      <w:sz w:val="21"/>
                      <w:szCs w:val="21"/>
                      <w:lang w:val="en-US" w:eastAsia="zh-CN"/>
                    </w:rPr>
                  </w:pPr>
                  <w:r>
                    <w:rPr>
                      <w:rFonts w:hint="eastAsia" w:ascii="Times New Roman" w:hAnsi="Times New Roman" w:cs="Times New Roman"/>
                      <w:lang w:val="en-US" w:eastAsia="zh-CN"/>
                    </w:rPr>
                    <w:t>清管废渣</w:t>
                  </w:r>
                </w:p>
              </w:tc>
              <w:tc>
                <w:tcPr>
                  <w:tcW w:w="1276"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一般</w:t>
                  </w:r>
                </w:p>
              </w:tc>
              <w:tc>
                <w:tcPr>
                  <w:tcW w:w="997" w:type="dxa"/>
                  <w:noWrap w:val="0"/>
                  <w:vAlign w:val="center"/>
                </w:tcPr>
                <w:p>
                  <w:pPr>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检修维护</w:t>
                  </w:r>
                </w:p>
              </w:tc>
              <w:tc>
                <w:tcPr>
                  <w:tcW w:w="651"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固态</w:t>
                  </w:r>
                </w:p>
              </w:tc>
              <w:tc>
                <w:tcPr>
                  <w:tcW w:w="1584"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default" w:ascii="Times New Roman" w:hAnsi="Times New Roman" w:cs="Times New Roman"/>
                      <w:spacing w:val="0"/>
                      <w:sz w:val="21"/>
                      <w:szCs w:val="21"/>
                      <w:lang w:val="en-US" w:eastAsia="zh-CN"/>
                    </w:rPr>
                    <w:t>一般固废暂存场所</w:t>
                  </w:r>
                </w:p>
              </w:tc>
              <w:tc>
                <w:tcPr>
                  <w:tcW w:w="1133"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0.06</w:t>
                  </w:r>
                </w:p>
              </w:tc>
              <w:tc>
                <w:tcPr>
                  <w:tcW w:w="1200" w:type="dxa"/>
                  <w:vMerge w:val="continue"/>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p>
              </w:tc>
              <w:tc>
                <w:tcPr>
                  <w:tcW w:w="549"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496"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3</w:t>
                  </w:r>
                </w:p>
              </w:tc>
              <w:tc>
                <w:tcPr>
                  <w:tcW w:w="1125"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val="en-US" w:eastAsia="en-US"/>
                    </w:rPr>
                  </w:pPr>
                  <w:r>
                    <w:rPr>
                      <w:rFonts w:hint="default" w:ascii="Times New Roman" w:hAnsi="Times New Roman" w:cs="Times New Roman"/>
                      <w:spacing w:val="0"/>
                      <w:sz w:val="21"/>
                      <w:szCs w:val="21"/>
                      <w:lang w:val="en-US" w:eastAsia="zh-CN"/>
                    </w:rPr>
                    <w:t>生活垃圾</w:t>
                  </w:r>
                </w:p>
              </w:tc>
              <w:tc>
                <w:tcPr>
                  <w:tcW w:w="1276" w:type="dxa"/>
                  <w:noWrap w:val="0"/>
                  <w:vAlign w:val="center"/>
                </w:tcPr>
                <w:p>
                  <w:pPr>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一般</w:t>
                  </w:r>
                </w:p>
              </w:tc>
              <w:tc>
                <w:tcPr>
                  <w:tcW w:w="997" w:type="dxa"/>
                  <w:noWrap w:val="0"/>
                  <w:vAlign w:val="center"/>
                </w:tcPr>
                <w:p>
                  <w:pPr>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生产车间</w:t>
                  </w:r>
                </w:p>
              </w:tc>
              <w:tc>
                <w:tcPr>
                  <w:tcW w:w="651"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固态</w:t>
                  </w:r>
                </w:p>
              </w:tc>
              <w:tc>
                <w:tcPr>
                  <w:tcW w:w="1584" w:type="dxa"/>
                  <w:noWrap w:val="0"/>
                  <w:vAlign w:val="center"/>
                </w:tcPr>
                <w:p>
                  <w:pPr>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垃圾桶</w:t>
                  </w:r>
                </w:p>
              </w:tc>
              <w:tc>
                <w:tcPr>
                  <w:tcW w:w="1133"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1.46</w:t>
                  </w:r>
                </w:p>
              </w:tc>
              <w:tc>
                <w:tcPr>
                  <w:tcW w:w="1200" w:type="dxa"/>
                  <w:vMerge w:val="continue"/>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p>
              </w:tc>
              <w:tc>
                <w:tcPr>
                  <w:tcW w:w="549"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496"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val="en-US" w:eastAsia="zh-CN"/>
                    </w:rPr>
                  </w:pPr>
                  <w:r>
                    <w:rPr>
                      <w:rFonts w:hint="eastAsia" w:ascii="Times New Roman" w:hAnsi="Times New Roman" w:cs="Times New Roman"/>
                      <w:spacing w:val="0"/>
                      <w:sz w:val="21"/>
                      <w:szCs w:val="21"/>
                      <w:lang w:val="en-US" w:eastAsia="zh-CN"/>
                    </w:rPr>
                    <w:t>4</w:t>
                  </w:r>
                </w:p>
              </w:tc>
              <w:tc>
                <w:tcPr>
                  <w:tcW w:w="1125" w:type="dxa"/>
                  <w:noWrap w:val="0"/>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清管废水残夜</w:t>
                  </w:r>
                </w:p>
              </w:tc>
              <w:tc>
                <w:tcPr>
                  <w:tcW w:w="1276" w:type="dxa"/>
                  <w:noWrap w:val="0"/>
                  <w:vAlign w:val="center"/>
                </w:tcPr>
                <w:p>
                  <w:pPr>
                    <w:pStyle w:val="105"/>
                    <w:spacing w:line="240" w:lineRule="atLeast"/>
                    <w:ind w:firstLine="0" w:firstLineChars="0"/>
                    <w:jc w:val="center"/>
                    <w:rPr>
                      <w:rFonts w:hint="default" w:ascii="Times New Roman" w:hAnsi="Times New Roman" w:eastAsia="宋体" w:cs="Times New Roman"/>
                      <w:spacing w:val="0"/>
                      <w:kern w:val="2"/>
                      <w:sz w:val="21"/>
                      <w:szCs w:val="21"/>
                      <w:lang w:val="en-US" w:eastAsia="en-US" w:bidi="ar-SA"/>
                    </w:rPr>
                  </w:pPr>
                  <w:r>
                    <w:rPr>
                      <w:rFonts w:hint="default" w:ascii="Times New Roman" w:hAnsi="Times New Roman" w:eastAsia="宋体" w:cs="Times New Roman"/>
                      <w:spacing w:val="0"/>
                      <w:kern w:val="2"/>
                      <w:sz w:val="21"/>
                      <w:szCs w:val="21"/>
                      <w:lang w:val="en-US" w:eastAsia="en-US" w:bidi="ar-SA"/>
                    </w:rPr>
                    <w:t>251-001-08</w:t>
                  </w:r>
                </w:p>
              </w:tc>
              <w:tc>
                <w:tcPr>
                  <w:tcW w:w="997" w:type="dxa"/>
                  <w:noWrap w:val="0"/>
                  <w:vAlign w:val="center"/>
                </w:tcPr>
                <w:p>
                  <w:pPr>
                    <w:spacing w:line="240" w:lineRule="atLeast"/>
                    <w:ind w:firstLine="0" w:firstLineChars="0"/>
                    <w:jc w:val="center"/>
                    <w:rPr>
                      <w:rFonts w:hint="default" w:ascii="Times New Roman" w:hAnsi="Times New Roman" w:eastAsia="宋体" w:cs="Times New Roman"/>
                      <w:spacing w:val="0"/>
                      <w:kern w:val="2"/>
                      <w:sz w:val="21"/>
                      <w:szCs w:val="21"/>
                      <w:lang w:val="en-US" w:eastAsia="zh-CN" w:bidi="ar-SA"/>
                    </w:rPr>
                  </w:pPr>
                  <w:r>
                    <w:rPr>
                      <w:rFonts w:hint="default" w:ascii="Times New Roman" w:hAnsi="Times New Roman" w:eastAsia="宋体" w:cs="Times New Roman"/>
                      <w:spacing w:val="0"/>
                      <w:kern w:val="2"/>
                      <w:sz w:val="21"/>
                      <w:szCs w:val="21"/>
                      <w:lang w:val="en-US" w:eastAsia="zh-CN" w:bidi="ar-SA"/>
                    </w:rPr>
                    <w:t>检修维护</w:t>
                  </w:r>
                </w:p>
              </w:tc>
              <w:tc>
                <w:tcPr>
                  <w:tcW w:w="651" w:type="dxa"/>
                  <w:noWrap w:val="0"/>
                  <w:vAlign w:val="center"/>
                </w:tcPr>
                <w:p>
                  <w:pPr>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val="en-US" w:eastAsia="zh-CN"/>
                    </w:rPr>
                    <w:t>液</w:t>
                  </w:r>
                  <w:r>
                    <w:rPr>
                      <w:rFonts w:hint="default" w:ascii="Times New Roman" w:hAnsi="Times New Roman" w:cs="Times New Roman"/>
                      <w:spacing w:val="0"/>
                      <w:sz w:val="21"/>
                      <w:szCs w:val="21"/>
                      <w:lang w:eastAsia="en-US"/>
                    </w:rPr>
                    <w:t>态</w:t>
                  </w:r>
                </w:p>
              </w:tc>
              <w:tc>
                <w:tcPr>
                  <w:tcW w:w="1584"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val="en-US" w:eastAsia="zh-CN"/>
                    </w:rPr>
                  </w:pPr>
                  <w:r>
                    <w:rPr>
                      <w:rFonts w:hint="default" w:ascii="Times New Roman" w:hAnsi="Times New Roman" w:cs="Times New Roman"/>
                      <w:spacing w:val="0"/>
                      <w:sz w:val="21"/>
                      <w:szCs w:val="21"/>
                      <w:lang w:val="en-US" w:eastAsia="zh-CN"/>
                    </w:rPr>
                    <w:t>危险固废暂存场所</w:t>
                  </w:r>
                </w:p>
              </w:tc>
              <w:tc>
                <w:tcPr>
                  <w:tcW w:w="1133" w:type="dxa"/>
                  <w:noWrap w:val="0"/>
                  <w:vAlign w:val="center"/>
                </w:tcPr>
                <w:p>
                  <w:pPr>
                    <w:spacing w:line="240" w:lineRule="atLeast"/>
                    <w:ind w:firstLine="0" w:firstLineChars="0"/>
                    <w:jc w:val="center"/>
                    <w:rPr>
                      <w:rFonts w:hint="default" w:ascii="Times New Roman" w:hAnsi="Times New Roman" w:eastAsia="宋体" w:cs="Times New Roman"/>
                      <w:spacing w:val="0"/>
                      <w:sz w:val="21"/>
                      <w:szCs w:val="21"/>
                      <w:lang w:val="en-US" w:eastAsia="zh-CN"/>
                    </w:rPr>
                  </w:pPr>
                  <w:r>
                    <w:rPr>
                      <w:rFonts w:hint="eastAsia" w:ascii="Times New Roman" w:hAnsi="Times New Roman" w:cs="Times New Roman"/>
                      <w:spacing w:val="0"/>
                      <w:sz w:val="21"/>
                      <w:szCs w:val="21"/>
                      <w:lang w:val="en-US" w:eastAsia="zh-CN"/>
                    </w:rPr>
                    <w:t>0.04</w:t>
                  </w:r>
                </w:p>
              </w:tc>
              <w:tc>
                <w:tcPr>
                  <w:tcW w:w="1200" w:type="dxa"/>
                  <w:noWrap w:val="0"/>
                  <w:vAlign w:val="center"/>
                </w:tcPr>
                <w:p>
                  <w:pPr>
                    <w:pStyle w:val="105"/>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val="en-US" w:eastAsia="zh-CN"/>
                    </w:rPr>
                    <w:t>委托有资质单位处置</w:t>
                  </w:r>
                </w:p>
              </w:tc>
              <w:tc>
                <w:tcPr>
                  <w:tcW w:w="549" w:type="dxa"/>
                  <w:noWrap w:val="0"/>
                  <w:vAlign w:val="center"/>
                </w:tcPr>
                <w:p>
                  <w:pPr>
                    <w:spacing w:line="240" w:lineRule="atLeast"/>
                    <w:ind w:firstLine="0" w:firstLineChars="0"/>
                    <w:jc w:val="center"/>
                    <w:rPr>
                      <w:rFonts w:hint="default" w:ascii="Times New Roman" w:hAnsi="Times New Roman" w:cs="Times New Roman"/>
                      <w:spacing w:val="0"/>
                      <w:sz w:val="21"/>
                      <w:szCs w:val="21"/>
                      <w:lang w:eastAsia="en-US"/>
                    </w:rPr>
                  </w:pPr>
                  <w:r>
                    <w:rPr>
                      <w:rFonts w:hint="default" w:ascii="Times New Roman" w:hAnsi="Times New Roman" w:cs="Times New Roman"/>
                      <w:spacing w:val="0"/>
                      <w:sz w:val="21"/>
                      <w:szCs w:val="21"/>
                      <w:lang w:eastAsia="en-US"/>
                    </w:rPr>
                    <w:t>0</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kern w:val="2"/>
                <w:sz w:val="24"/>
                <w:szCs w:val="24"/>
                <w:u w:val="none"/>
                <w:lang w:val="en-US" w:eastAsia="zh-CN" w:bidi="ar-SA"/>
              </w:rPr>
            </w:pPr>
          </w:p>
          <w:p>
            <w:pPr>
              <w:pStyle w:val="41"/>
              <w:rPr>
                <w:rFonts w:hint="eastAsia"/>
              </w:rPr>
            </w:pPr>
          </w:p>
          <w:p>
            <w:pPr>
              <w:pStyle w:val="13"/>
              <w:rPr>
                <w:rFonts w:cs="Times New Roman"/>
              </w:rPr>
            </w:pPr>
          </w:p>
          <w:p>
            <w:pPr>
              <w:pStyle w:val="13"/>
              <w:rPr>
                <w:rFonts w:cs="Times New Roman"/>
              </w:rPr>
            </w:pPr>
          </w:p>
          <w:p>
            <w:pPr>
              <w:pStyle w:val="13"/>
              <w:rPr>
                <w:rFonts w:cs="Times New Roman"/>
              </w:rPr>
            </w:pPr>
          </w:p>
          <w:p>
            <w:pPr>
              <w:pStyle w:val="5"/>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eastAsia="宋体" w:cs="Times New Roman"/>
                <w:b/>
                <w:bCs/>
                <w:sz w:val="24"/>
                <w:szCs w:val="24"/>
              </w:rPr>
            </w:pPr>
          </w:p>
          <w:p>
            <w:pPr>
              <w:pStyle w:val="5"/>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eastAsia="宋体" w:cs="Times New Roman"/>
                <w:b/>
                <w:bCs/>
                <w:sz w:val="24"/>
                <w:szCs w:val="24"/>
              </w:rPr>
            </w:pPr>
          </w:p>
          <w:p>
            <w:pPr>
              <w:pStyle w:val="5"/>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ascii="Times New Roman" w:hAnsi="Times New Roman" w:eastAsia="宋体" w:cs="Times New Roman"/>
                <w:b/>
                <w:bCs/>
                <w:sz w:val="24"/>
                <w:szCs w:val="24"/>
                <w:lang w:val="en-US" w:eastAsia="zh-CN"/>
              </w:rPr>
              <w:t>5-6</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营运过程中产生的危险废物特性表</w:t>
            </w:r>
          </w:p>
          <w:tbl>
            <w:tblPr>
              <w:tblStyle w:val="32"/>
              <w:tblW w:w="88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9"/>
              <w:gridCol w:w="504"/>
              <w:gridCol w:w="1446"/>
              <w:gridCol w:w="1120"/>
              <w:gridCol w:w="822"/>
              <w:gridCol w:w="523"/>
              <w:gridCol w:w="485"/>
              <w:gridCol w:w="776"/>
              <w:gridCol w:w="720"/>
              <w:gridCol w:w="620"/>
              <w:gridCol w:w="540"/>
              <w:gridCol w:w="8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41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序号</w:t>
                  </w:r>
                </w:p>
              </w:tc>
              <w:tc>
                <w:tcPr>
                  <w:tcW w:w="486"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危险废物名称</w:t>
                  </w:r>
                </w:p>
              </w:tc>
              <w:tc>
                <w:tcPr>
                  <w:tcW w:w="139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危险废物类别</w:t>
                  </w:r>
                </w:p>
              </w:tc>
              <w:tc>
                <w:tcPr>
                  <w:tcW w:w="1080"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危险废物代码</w:t>
                  </w:r>
                </w:p>
              </w:tc>
              <w:tc>
                <w:tcPr>
                  <w:tcW w:w="793"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产生量（吨/年）</w:t>
                  </w:r>
                </w:p>
              </w:tc>
              <w:tc>
                <w:tcPr>
                  <w:tcW w:w="50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产生工序及装置</w:t>
                  </w:r>
                </w:p>
              </w:tc>
              <w:tc>
                <w:tcPr>
                  <w:tcW w:w="46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形态</w:t>
                  </w:r>
                </w:p>
              </w:tc>
              <w:tc>
                <w:tcPr>
                  <w:tcW w:w="74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主要成分</w:t>
                  </w:r>
                </w:p>
              </w:tc>
              <w:tc>
                <w:tcPr>
                  <w:tcW w:w="69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有害成分</w:t>
                  </w:r>
                </w:p>
              </w:tc>
              <w:tc>
                <w:tcPr>
                  <w:tcW w:w="59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产废周期</w:t>
                  </w:r>
                </w:p>
              </w:tc>
              <w:tc>
                <w:tcPr>
                  <w:tcW w:w="521" w:type="dxa"/>
                  <w:tcBorders>
                    <w:bottom w:val="single" w:color="auto" w:sz="4" w:space="0"/>
                  </w:tcBorders>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危险</w:t>
                  </w:r>
                </w:p>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特性</w:t>
                  </w:r>
                </w:p>
              </w:tc>
              <w:tc>
                <w:tcPr>
                  <w:tcW w:w="828" w:type="dxa"/>
                  <w:tcBorders>
                    <w:bottom w:val="single" w:color="auto" w:sz="4" w:space="0"/>
                  </w:tcBorders>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污染防治措施*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14" w:type="dxa"/>
                  <w:vAlign w:val="center"/>
                </w:tcPr>
                <w:p>
                  <w:pPr>
                    <w:pStyle w:val="105"/>
                    <w:spacing w:line="240" w:lineRule="atLeast"/>
                    <w:ind w:firstLine="0" w:firstLineChars="0"/>
                    <w:jc w:val="center"/>
                    <w:rPr>
                      <w:rFonts w:hint="eastAsia" w:ascii="Times New Roman" w:hAnsi="Times New Roman" w:eastAsia="宋体" w:cs="Times New Roman"/>
                      <w:spacing w:val="0"/>
                      <w:sz w:val="21"/>
                      <w:szCs w:val="21"/>
                      <w:lang w:eastAsia="zh-CN"/>
                    </w:rPr>
                  </w:pPr>
                  <w:r>
                    <w:rPr>
                      <w:rFonts w:hint="eastAsia" w:ascii="Times New Roman" w:hAnsi="Times New Roman" w:eastAsia="宋体" w:cs="Times New Roman"/>
                      <w:spacing w:val="0"/>
                      <w:sz w:val="21"/>
                      <w:szCs w:val="21"/>
                      <w:lang w:val="en-US" w:eastAsia="zh-CN"/>
                    </w:rPr>
                    <w:t>1</w:t>
                  </w:r>
                </w:p>
              </w:tc>
              <w:tc>
                <w:tcPr>
                  <w:tcW w:w="486"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eastAsia" w:ascii="Times New Roman" w:hAnsi="Times New Roman" w:eastAsia="宋体" w:cs="Times New Roman"/>
                      <w:spacing w:val="0"/>
                      <w:sz w:val="21"/>
                      <w:szCs w:val="21"/>
                      <w:lang w:eastAsia="en-US"/>
                    </w:rPr>
                    <w:t>排污池</w:t>
                  </w:r>
                  <w:r>
                    <w:rPr>
                      <w:rFonts w:hint="default" w:ascii="Times New Roman" w:hAnsi="Times New Roman" w:eastAsia="宋体" w:cs="Times New Roman"/>
                      <w:spacing w:val="0"/>
                      <w:sz w:val="21"/>
                      <w:szCs w:val="21"/>
                      <w:lang w:eastAsia="en-US"/>
                    </w:rPr>
                    <w:t>沉渣</w:t>
                  </w:r>
                </w:p>
              </w:tc>
              <w:tc>
                <w:tcPr>
                  <w:tcW w:w="139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HW08清洗矿物油储存、输送设施过程中产生的油/</w:t>
                  </w:r>
                </w:p>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水和烃/水混合物</w:t>
                  </w:r>
                </w:p>
              </w:tc>
              <w:tc>
                <w:tcPr>
                  <w:tcW w:w="1080"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kern w:val="2"/>
                      <w:sz w:val="21"/>
                      <w:szCs w:val="21"/>
                      <w:lang w:val="en-US" w:eastAsia="en-US" w:bidi="ar-SA"/>
                    </w:rPr>
                    <w:t>251-001-08</w:t>
                  </w:r>
                </w:p>
              </w:tc>
              <w:tc>
                <w:tcPr>
                  <w:tcW w:w="793"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eastAsia" w:ascii="Times New Roman" w:hAnsi="Times New Roman" w:eastAsia="宋体" w:cs="Times New Roman"/>
                      <w:spacing w:val="0"/>
                      <w:sz w:val="21"/>
                      <w:szCs w:val="21"/>
                      <w:lang w:eastAsia="en-US"/>
                    </w:rPr>
                    <w:t>0.04</w:t>
                  </w:r>
                </w:p>
              </w:tc>
              <w:tc>
                <w:tcPr>
                  <w:tcW w:w="50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eastAsia" w:ascii="Times New Roman" w:hAnsi="Times New Roman" w:eastAsia="宋体" w:cs="Times New Roman"/>
                      <w:spacing w:val="0"/>
                      <w:sz w:val="21"/>
                      <w:szCs w:val="21"/>
                      <w:lang w:eastAsia="en-US"/>
                    </w:rPr>
                    <w:t>排污池</w:t>
                  </w:r>
                </w:p>
              </w:tc>
              <w:tc>
                <w:tcPr>
                  <w:tcW w:w="46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固液混合物</w:t>
                  </w:r>
                </w:p>
              </w:tc>
              <w:tc>
                <w:tcPr>
                  <w:tcW w:w="74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油/水、烃/水混合物</w:t>
                  </w:r>
                </w:p>
              </w:tc>
              <w:tc>
                <w:tcPr>
                  <w:tcW w:w="694"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油/水、烃/水混合物</w:t>
                  </w:r>
                </w:p>
              </w:tc>
              <w:tc>
                <w:tcPr>
                  <w:tcW w:w="59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1次/1~2年</w:t>
                  </w:r>
                </w:p>
              </w:tc>
              <w:tc>
                <w:tcPr>
                  <w:tcW w:w="521"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T</w:t>
                  </w:r>
                </w:p>
              </w:tc>
              <w:tc>
                <w:tcPr>
                  <w:tcW w:w="828" w:type="dxa"/>
                  <w:vAlign w:val="center"/>
                </w:tcPr>
                <w:p>
                  <w:pPr>
                    <w:pStyle w:val="105"/>
                    <w:spacing w:line="240" w:lineRule="atLeast"/>
                    <w:ind w:firstLine="0" w:firstLineChars="0"/>
                    <w:jc w:val="center"/>
                    <w:rPr>
                      <w:rFonts w:hint="default" w:ascii="Times New Roman" w:hAnsi="Times New Roman" w:eastAsia="宋体" w:cs="Times New Roman"/>
                      <w:spacing w:val="0"/>
                      <w:sz w:val="21"/>
                      <w:szCs w:val="21"/>
                      <w:lang w:eastAsia="en-US"/>
                    </w:rPr>
                  </w:pPr>
                  <w:r>
                    <w:rPr>
                      <w:rFonts w:hint="default" w:ascii="Times New Roman" w:hAnsi="Times New Roman" w:eastAsia="宋体" w:cs="Times New Roman"/>
                      <w:spacing w:val="0"/>
                      <w:sz w:val="21"/>
                      <w:szCs w:val="21"/>
                      <w:lang w:eastAsia="en-US"/>
                    </w:rPr>
                    <w:t>暂存</w:t>
                  </w:r>
                  <w:r>
                    <w:rPr>
                      <w:rFonts w:hint="eastAsia" w:ascii="Times New Roman" w:hAnsi="Times New Roman" w:eastAsia="宋体" w:cs="Times New Roman"/>
                      <w:spacing w:val="0"/>
                      <w:sz w:val="21"/>
                      <w:szCs w:val="21"/>
                      <w:lang w:eastAsia="en-US"/>
                    </w:rPr>
                    <w:t>排污池</w:t>
                  </w:r>
                  <w:r>
                    <w:rPr>
                      <w:rFonts w:hint="default" w:ascii="Times New Roman" w:hAnsi="Times New Roman" w:eastAsia="宋体" w:cs="Times New Roman"/>
                      <w:spacing w:val="0"/>
                      <w:sz w:val="21"/>
                      <w:szCs w:val="21"/>
                      <w:lang w:eastAsia="en-US"/>
                    </w:rPr>
                    <w:t>，交由有资质单位处理</w:t>
                  </w:r>
                </w:p>
              </w:tc>
            </w:tr>
          </w:tbl>
          <w:p>
            <w:pPr>
              <w:widowControl/>
              <w:spacing w:line="360" w:lineRule="auto"/>
              <w:rPr>
                <w:rFonts w:hint="eastAsia" w:ascii="Times New Roman" w:hAnsi="Times New Roman"/>
                <w:color w:val="000000"/>
                <w:sz w:val="24"/>
              </w:rPr>
            </w:pPr>
          </w:p>
          <w:p>
            <w:pPr>
              <w:widowControl/>
              <w:spacing w:line="360" w:lineRule="auto"/>
              <w:ind w:firstLine="480" w:firstLineChars="200"/>
              <w:rPr>
                <w:rFonts w:ascii="Times New Roman" w:hAnsi="Times New Roman"/>
                <w:color w:val="000000"/>
                <w:sz w:val="24"/>
              </w:rPr>
            </w:pPr>
          </w:p>
          <w:p>
            <w:pPr>
              <w:widowControl/>
              <w:spacing w:line="360" w:lineRule="auto"/>
              <w:ind w:firstLine="480" w:firstLineChars="200"/>
              <w:rPr>
                <w:rFonts w:ascii="Times New Roman" w:hAnsi="Times New Roman"/>
                <w:color w:val="000000"/>
                <w:sz w:val="24"/>
              </w:rPr>
            </w:pPr>
            <w:r>
              <w:rPr>
                <w:rFonts w:hint="eastAsia" w:ascii="Times New Roman" w:hAnsi="Times New Roman"/>
                <w:color w:val="000000"/>
                <w:sz w:val="24"/>
              </w:rPr>
              <w:t xml:space="preserve"> </w:t>
            </w:r>
          </w:p>
          <w:p>
            <w:pPr>
              <w:widowControl/>
              <w:spacing w:line="360" w:lineRule="auto"/>
              <w:rPr>
                <w:color w:val="000000"/>
                <w:sz w:val="24"/>
                <w:szCs w:val="24"/>
              </w:rPr>
            </w:pPr>
          </w:p>
        </w:tc>
      </w:tr>
    </w:tbl>
    <w:p>
      <w:pPr>
        <w:pStyle w:val="2"/>
        <w:keepNext w:val="0"/>
        <w:keepLines w:val="0"/>
        <w:ind w:left="-358" w:leftChars="-256" w:hanging="180" w:hangingChars="64"/>
        <w:rPr>
          <w:rFonts w:ascii="Times New Roman" w:hAnsi="Times New Roman"/>
          <w:color w:val="000000"/>
        </w:rPr>
      </w:pPr>
      <w:r>
        <w:rPr>
          <w:color w:val="000000"/>
          <w:sz w:val="28"/>
          <w:highlight w:val="yellow"/>
        </w:rPr>
        <w:br w:type="page"/>
      </w:r>
      <w:r>
        <w:rPr>
          <w:color w:val="000000"/>
        </w:rPr>
        <w:t>项</w:t>
      </w:r>
      <w:r>
        <w:rPr>
          <w:rFonts w:ascii="Times New Roman" w:hAnsi="Times New Roman"/>
          <w:color w:val="000000"/>
        </w:rPr>
        <w:t>目主要污染物产生及预计排放情况</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3"/>
        <w:gridCol w:w="1276"/>
        <w:gridCol w:w="1706"/>
        <w:gridCol w:w="2403"/>
        <w:gridCol w:w="25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63" w:type="dxa"/>
            <w:tcBorders>
              <w:top w:val="single" w:color="auto" w:sz="4" w:space="0"/>
              <w:left w:val="single" w:color="auto" w:sz="4" w:space="0"/>
              <w:tl2br w:val="single" w:color="auto" w:sz="6" w:space="0"/>
            </w:tcBorders>
          </w:tcPr>
          <w:p>
            <w:pPr>
              <w:spacing w:line="360" w:lineRule="auto"/>
              <w:jc w:val="right"/>
              <w:rPr>
                <w:rFonts w:ascii="Times New Roman" w:hAnsi="Times New Roman"/>
                <w:color w:val="000000"/>
                <w:szCs w:val="21"/>
              </w:rPr>
            </w:pPr>
            <w:r>
              <w:rPr>
                <w:rFonts w:ascii="Times New Roman" w:hAnsi="Times New Roman"/>
                <w:color w:val="000000"/>
                <w:szCs w:val="21"/>
              </w:rPr>
              <w:t>内容</w:t>
            </w:r>
          </w:p>
          <w:p>
            <w:pPr>
              <w:spacing w:line="360" w:lineRule="auto"/>
              <w:rPr>
                <w:rFonts w:ascii="Times New Roman" w:hAnsi="Times New Roman"/>
                <w:color w:val="000000"/>
                <w:szCs w:val="21"/>
              </w:rPr>
            </w:pPr>
            <w:r>
              <w:rPr>
                <w:rFonts w:ascii="Times New Roman" w:hAnsi="Times New Roman"/>
                <w:color w:val="000000"/>
                <w:szCs w:val="21"/>
              </w:rPr>
              <w:t>类型</w:t>
            </w:r>
          </w:p>
        </w:tc>
        <w:tc>
          <w:tcPr>
            <w:tcW w:w="1276" w:type="dxa"/>
            <w:tcBorders>
              <w:top w:val="single" w:color="auto" w:sz="4" w:space="0"/>
            </w:tcBorders>
            <w:vAlign w:val="center"/>
          </w:tcPr>
          <w:p>
            <w:pPr>
              <w:spacing w:line="360" w:lineRule="auto"/>
              <w:jc w:val="center"/>
              <w:rPr>
                <w:rFonts w:ascii="Times New Roman" w:hAnsi="Times New Roman"/>
                <w:color w:val="000000"/>
                <w:szCs w:val="21"/>
              </w:rPr>
            </w:pPr>
            <w:r>
              <w:rPr>
                <w:rFonts w:ascii="Times New Roman" w:hAnsi="Times New Roman"/>
                <w:color w:val="000000"/>
                <w:szCs w:val="21"/>
              </w:rPr>
              <w:t>排放源</w:t>
            </w:r>
          </w:p>
          <w:p>
            <w:pPr>
              <w:spacing w:line="360" w:lineRule="auto"/>
              <w:jc w:val="center"/>
              <w:rPr>
                <w:rFonts w:ascii="Times New Roman" w:hAnsi="Times New Roman"/>
                <w:color w:val="000000"/>
                <w:szCs w:val="21"/>
              </w:rPr>
            </w:pPr>
            <w:r>
              <w:rPr>
                <w:rFonts w:ascii="Times New Roman" w:hAnsi="Times New Roman"/>
                <w:color w:val="000000"/>
                <w:szCs w:val="21"/>
              </w:rPr>
              <w:t>（编号）</w:t>
            </w:r>
          </w:p>
        </w:tc>
        <w:tc>
          <w:tcPr>
            <w:tcW w:w="1706" w:type="dxa"/>
            <w:tcBorders>
              <w:top w:val="single" w:color="auto" w:sz="4" w:space="0"/>
            </w:tcBorders>
            <w:vAlign w:val="center"/>
          </w:tcPr>
          <w:p>
            <w:pPr>
              <w:spacing w:line="360" w:lineRule="auto"/>
              <w:jc w:val="center"/>
              <w:rPr>
                <w:rFonts w:ascii="Times New Roman" w:hAnsi="Times New Roman"/>
                <w:color w:val="000000"/>
                <w:szCs w:val="21"/>
              </w:rPr>
            </w:pPr>
            <w:r>
              <w:rPr>
                <w:rFonts w:ascii="Times New Roman" w:hAnsi="Times New Roman"/>
                <w:color w:val="000000"/>
                <w:szCs w:val="21"/>
              </w:rPr>
              <w:t>污染物名称</w:t>
            </w:r>
          </w:p>
        </w:tc>
        <w:tc>
          <w:tcPr>
            <w:tcW w:w="2403" w:type="dxa"/>
            <w:tcBorders>
              <w:top w:val="single" w:color="auto" w:sz="4" w:space="0"/>
            </w:tcBorders>
            <w:vAlign w:val="center"/>
          </w:tcPr>
          <w:p>
            <w:pPr>
              <w:spacing w:line="240" w:lineRule="atLeast"/>
              <w:ind w:left="-105" w:leftChars="-50"/>
              <w:jc w:val="center"/>
              <w:rPr>
                <w:rFonts w:ascii="Times New Roman" w:hAnsi="Times New Roman"/>
                <w:color w:val="000000"/>
                <w:szCs w:val="21"/>
              </w:rPr>
            </w:pPr>
            <w:r>
              <w:rPr>
                <w:rFonts w:ascii="Times New Roman" w:hAnsi="Times New Roman"/>
                <w:color w:val="000000"/>
                <w:szCs w:val="21"/>
              </w:rPr>
              <w:t>处理前产生浓度及产生量</w:t>
            </w:r>
          </w:p>
          <w:p>
            <w:pPr>
              <w:spacing w:line="240" w:lineRule="atLeast"/>
              <w:jc w:val="center"/>
              <w:rPr>
                <w:rFonts w:ascii="Times New Roman" w:hAnsi="Times New Roman"/>
                <w:color w:val="000000"/>
                <w:szCs w:val="21"/>
              </w:rPr>
            </w:pPr>
            <w:r>
              <w:rPr>
                <w:rFonts w:ascii="Times New Roman" w:hAnsi="Times New Roman"/>
                <w:color w:val="000000"/>
                <w:szCs w:val="21"/>
              </w:rPr>
              <w:t>（单位）</w:t>
            </w:r>
          </w:p>
        </w:tc>
        <w:tc>
          <w:tcPr>
            <w:tcW w:w="2596" w:type="dxa"/>
            <w:tcBorders>
              <w:top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排放浓度及排放量</w:t>
            </w:r>
          </w:p>
          <w:p>
            <w:pPr>
              <w:spacing w:line="240" w:lineRule="atLeast"/>
              <w:jc w:val="center"/>
              <w:rPr>
                <w:rFonts w:ascii="Times New Roman" w:hAnsi="Times New Roman"/>
                <w:color w:val="000000"/>
                <w:szCs w:val="21"/>
              </w:rPr>
            </w:pPr>
            <w:r>
              <w:rPr>
                <w:rFonts w:ascii="Times New Roman" w:hAnsi="Times New Roman"/>
                <w:color w:val="000000"/>
                <w:szCs w:val="21"/>
              </w:rPr>
              <w:t>（单位）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restart"/>
            <w:tcBorders>
              <w:left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大气污染物</w:t>
            </w:r>
          </w:p>
        </w:tc>
        <w:tc>
          <w:tcPr>
            <w:tcW w:w="1276" w:type="dxa"/>
            <w:tcBorders>
              <w:right w:val="single" w:color="auto" w:sz="4" w:space="0"/>
            </w:tcBorders>
            <w:vAlign w:val="center"/>
          </w:tcPr>
          <w:p>
            <w:pPr>
              <w:adjustRightInd w:val="0"/>
              <w:snapToGrid w:val="0"/>
              <w:jc w:val="center"/>
              <w:rPr>
                <w:rFonts w:ascii="Times New Roman" w:hAnsi="Times New Roman"/>
                <w:color w:val="000000"/>
                <w:szCs w:val="21"/>
              </w:rPr>
            </w:pPr>
            <w:r>
              <w:rPr>
                <w:rFonts w:hint="eastAsia" w:ascii="Times New Roman" w:hAnsi="Times New Roman"/>
                <w:szCs w:val="21"/>
              </w:rPr>
              <w:t>清管作业废气</w:t>
            </w:r>
          </w:p>
        </w:tc>
        <w:tc>
          <w:tcPr>
            <w:tcW w:w="1706" w:type="dxa"/>
            <w:tcBorders>
              <w:left w:val="single" w:color="auto" w:sz="4" w:space="0"/>
            </w:tcBorders>
            <w:vAlign w:val="center"/>
          </w:tcPr>
          <w:p>
            <w:pPr>
              <w:adjustRightInd w:val="0"/>
              <w:snapToGrid w:val="0"/>
              <w:jc w:val="center"/>
              <w:rPr>
                <w:rFonts w:hint="default" w:ascii="Times New Roman" w:hAnsi="Times New Roman" w:eastAsia="宋体"/>
                <w:color w:val="000000"/>
                <w:szCs w:val="21"/>
                <w:lang w:val="en-US" w:eastAsia="zh-CN"/>
              </w:rPr>
            </w:pPr>
            <w:r>
              <w:rPr>
                <w:rFonts w:hint="eastAsia" w:ascii="Times New Roman" w:hAnsi="Times New Roman"/>
                <w:szCs w:val="21"/>
                <w:lang w:val="en-US" w:eastAsia="zh-CN"/>
              </w:rPr>
              <w:t>非甲烷总烃</w:t>
            </w:r>
          </w:p>
        </w:tc>
        <w:tc>
          <w:tcPr>
            <w:tcW w:w="2403" w:type="dxa"/>
            <w:tcBorders>
              <w:bottom w:val="single" w:color="auto" w:sz="6" w:space="0"/>
            </w:tcBorders>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0.098t/a，0.011kg/h</w:t>
            </w:r>
          </w:p>
        </w:tc>
        <w:tc>
          <w:tcPr>
            <w:tcW w:w="2596" w:type="dxa"/>
            <w:tcBorders>
              <w:bottom w:val="single" w:color="auto" w:sz="6"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0.098t/a，0.011kg/h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tcBorders>
              <w:right w:val="single" w:color="auto" w:sz="4" w:space="0"/>
            </w:tcBorders>
            <w:vAlign w:val="center"/>
          </w:tcPr>
          <w:p>
            <w:pPr>
              <w:adjustRightInd w:val="0"/>
              <w:snapToGrid w:val="0"/>
              <w:jc w:val="center"/>
              <w:rPr>
                <w:rFonts w:hint="eastAsia" w:ascii="Times New Roman" w:hAnsi="Times New Roman" w:eastAsia="宋体"/>
                <w:color w:val="000000"/>
                <w:szCs w:val="21"/>
                <w:lang w:val="en-US" w:eastAsia="zh-CN"/>
              </w:rPr>
            </w:pPr>
            <w:r>
              <w:rPr>
                <w:rFonts w:hint="eastAsia" w:ascii="Times New Roman" w:hAnsi="Times New Roman"/>
                <w:color w:val="000000"/>
                <w:szCs w:val="21"/>
              </w:rPr>
              <w:t>分离器检修</w:t>
            </w:r>
            <w:r>
              <w:rPr>
                <w:rFonts w:hint="eastAsia" w:ascii="Times New Roman" w:hAnsi="Times New Roman"/>
                <w:color w:val="000000"/>
                <w:szCs w:val="21"/>
                <w:lang w:val="en-US" w:eastAsia="zh-CN"/>
              </w:rPr>
              <w:t>废气</w:t>
            </w:r>
          </w:p>
        </w:tc>
        <w:tc>
          <w:tcPr>
            <w:tcW w:w="1706" w:type="dxa"/>
            <w:tcBorders>
              <w:left w:val="single" w:color="auto" w:sz="4" w:space="0"/>
            </w:tcBorders>
            <w:vAlign w:val="center"/>
          </w:tcPr>
          <w:p>
            <w:pPr>
              <w:adjustRightInd w:val="0"/>
              <w:snapToGrid w:val="0"/>
              <w:jc w:val="center"/>
              <w:rPr>
                <w:rFonts w:ascii="Times New Roman" w:hAnsi="Times New Roman"/>
                <w:color w:val="000000"/>
                <w:szCs w:val="21"/>
              </w:rPr>
            </w:pPr>
            <w:r>
              <w:rPr>
                <w:rFonts w:hint="eastAsia" w:ascii="Times New Roman" w:hAnsi="Times New Roman"/>
                <w:szCs w:val="21"/>
                <w:lang w:val="en-US" w:eastAsia="zh-CN"/>
              </w:rPr>
              <w:t>非甲烷总烃</w:t>
            </w:r>
          </w:p>
        </w:tc>
        <w:tc>
          <w:tcPr>
            <w:tcW w:w="2403" w:type="dxa"/>
            <w:tcBorders>
              <w:bottom w:val="single" w:color="auto" w:sz="6" w:space="0"/>
            </w:tcBorders>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0.038t/a，0.004kg/h</w:t>
            </w:r>
          </w:p>
        </w:tc>
        <w:tc>
          <w:tcPr>
            <w:tcW w:w="2596" w:type="dxa"/>
            <w:tcBorders>
              <w:bottom w:val="single" w:color="auto" w:sz="6"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0.038t/a，0.004kg/h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bottom w:val="single" w:color="auto" w:sz="4" w:space="0"/>
            </w:tcBorders>
            <w:vAlign w:val="center"/>
          </w:tcPr>
          <w:p>
            <w:pPr>
              <w:spacing w:line="240" w:lineRule="atLeast"/>
              <w:jc w:val="center"/>
              <w:rPr>
                <w:rFonts w:ascii="Times New Roman" w:hAnsi="Times New Roman"/>
                <w:color w:val="000000"/>
                <w:szCs w:val="21"/>
              </w:rPr>
            </w:pPr>
          </w:p>
        </w:tc>
        <w:tc>
          <w:tcPr>
            <w:tcW w:w="1276" w:type="dxa"/>
            <w:tcBorders>
              <w:bottom w:val="single" w:color="auto" w:sz="4" w:space="0"/>
              <w:right w:val="single" w:color="auto" w:sz="4" w:space="0"/>
            </w:tcBorders>
            <w:vAlign w:val="center"/>
          </w:tcPr>
          <w:p>
            <w:pPr>
              <w:adjustRightInd w:val="0"/>
              <w:snapToGrid w:val="0"/>
              <w:jc w:val="center"/>
              <w:rPr>
                <w:rFonts w:hint="default" w:ascii="Times New Roman" w:hAnsi="Times New Roman" w:eastAsia="宋体"/>
                <w:szCs w:val="21"/>
                <w:lang w:val="en-US" w:eastAsia="zh-CN"/>
              </w:rPr>
            </w:pPr>
            <w:r>
              <w:rPr>
                <w:rFonts w:hint="eastAsia" w:ascii="Times New Roman" w:hAnsi="Times New Roman"/>
                <w:szCs w:val="21"/>
                <w:lang w:val="en-US" w:eastAsia="zh-CN"/>
              </w:rPr>
              <w:t>运行泄漏废气</w:t>
            </w:r>
          </w:p>
        </w:tc>
        <w:tc>
          <w:tcPr>
            <w:tcW w:w="1706" w:type="dxa"/>
            <w:tcBorders>
              <w:left w:val="single" w:color="auto" w:sz="4" w:space="0"/>
            </w:tcBorders>
            <w:vAlign w:val="center"/>
          </w:tcPr>
          <w:p>
            <w:pPr>
              <w:adjustRightInd w:val="0"/>
              <w:snapToGrid w:val="0"/>
              <w:jc w:val="center"/>
              <w:rPr>
                <w:rFonts w:ascii="Times New Roman" w:hAnsi="Times New Roman"/>
                <w:szCs w:val="21"/>
              </w:rPr>
            </w:pPr>
            <w:r>
              <w:rPr>
                <w:rFonts w:hint="eastAsia" w:ascii="Times New Roman" w:hAnsi="Times New Roman"/>
                <w:szCs w:val="21"/>
                <w:lang w:val="en-US" w:eastAsia="zh-CN"/>
              </w:rPr>
              <w:t>非甲烷总烃</w:t>
            </w:r>
          </w:p>
        </w:tc>
        <w:tc>
          <w:tcPr>
            <w:tcW w:w="2403" w:type="dxa"/>
            <w:tcBorders>
              <w:bottom w:val="single" w:color="auto" w:sz="6" w:space="0"/>
            </w:tcBorders>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0.001kg/h</w:t>
            </w:r>
          </w:p>
        </w:tc>
        <w:tc>
          <w:tcPr>
            <w:tcW w:w="2596" w:type="dxa"/>
            <w:tcBorders>
              <w:bottom w:val="single" w:color="auto" w:sz="6" w:space="0"/>
              <w:right w:val="single" w:color="auto" w:sz="4" w:space="0"/>
            </w:tcBorders>
            <w:vAlign w:val="center"/>
          </w:tcPr>
          <w:p>
            <w:pPr>
              <w:spacing w:line="240" w:lineRule="atLeast"/>
              <w:jc w:val="center"/>
              <w:rPr>
                <w:rFonts w:hint="eastAsia" w:ascii="Times New Roman" w:hAnsi="Times New Roman"/>
                <w:color w:val="000000"/>
                <w:szCs w:val="21"/>
              </w:rPr>
            </w:pPr>
            <w:r>
              <w:rPr>
                <w:rFonts w:hint="eastAsia" w:ascii="Times New Roman" w:hAnsi="Times New Roman"/>
                <w:color w:val="000000"/>
                <w:szCs w:val="21"/>
                <w:lang w:val="en-US" w:eastAsia="zh-CN"/>
              </w:rPr>
              <w:t>0.001kg/h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restart"/>
            <w:tcBorders>
              <w:top w:val="single" w:color="auto" w:sz="4" w:space="0"/>
              <w:left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水污染物</w:t>
            </w:r>
          </w:p>
        </w:tc>
        <w:tc>
          <w:tcPr>
            <w:tcW w:w="1276" w:type="dxa"/>
            <w:vMerge w:val="restart"/>
            <w:tcBorders>
              <w:top w:val="single" w:color="auto" w:sz="4" w:space="0"/>
              <w:bottom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运营维护生活污水</w:t>
            </w:r>
          </w:p>
        </w:tc>
        <w:tc>
          <w:tcPr>
            <w:tcW w:w="1706" w:type="dxa"/>
            <w:tcBorders>
              <w:bottom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废水量</w:t>
            </w:r>
          </w:p>
        </w:tc>
        <w:tc>
          <w:tcPr>
            <w:tcW w:w="4999" w:type="dxa"/>
            <w:gridSpan w:val="2"/>
            <w:tcBorders>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288m</w:t>
            </w:r>
            <w:r>
              <w:rPr>
                <w:rFonts w:hint="eastAsia" w:ascii="Times New Roman" w:hAnsi="Times New Roman"/>
                <w:color w:val="000000"/>
                <w:szCs w:val="21"/>
                <w:vertAlign w:val="superscript"/>
              </w:rPr>
              <w:t>3</w:t>
            </w:r>
            <w:r>
              <w:rPr>
                <w:rFonts w:ascii="Times New Roman" w:hAnsi="Times New Roman"/>
                <w:color w:val="000000"/>
                <w:szCs w:val="21"/>
              </w:rPr>
              <w:t>/</w:t>
            </w:r>
            <w:r>
              <w:rPr>
                <w:rFonts w:hint="eastAsia" w:ascii="Times New Roman" w:hAnsi="Times New Roman"/>
                <w:color w:val="000000"/>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tcBorders>
              <w:top w:val="single" w:color="auto" w:sz="4" w:space="0"/>
              <w:bottom w:val="single" w:color="auto" w:sz="4" w:space="0"/>
            </w:tcBorders>
            <w:vAlign w:val="center"/>
          </w:tcPr>
          <w:p>
            <w:pPr>
              <w:spacing w:line="240" w:lineRule="atLeast"/>
              <w:jc w:val="center"/>
              <w:rPr>
                <w:rFonts w:ascii="Times New Roman" w:hAnsi="Times New Roman"/>
                <w:color w:val="000000"/>
                <w:szCs w:val="21"/>
              </w:rPr>
            </w:pPr>
          </w:p>
        </w:tc>
        <w:tc>
          <w:tcPr>
            <w:tcW w:w="1706" w:type="dxa"/>
            <w:tcBorders>
              <w:bottom w:val="single" w:color="auto" w:sz="4" w:space="0"/>
            </w:tcBorders>
            <w:vAlign w:val="center"/>
          </w:tcPr>
          <w:p>
            <w:pPr>
              <w:pStyle w:val="100"/>
              <w:spacing w:before="53" w:line="240" w:lineRule="atLeast"/>
              <w:jc w:val="center"/>
              <w:rPr>
                <w:rFonts w:ascii="Times New Roman" w:hAnsi="Times New Roman"/>
                <w:color w:val="000000"/>
                <w:sz w:val="21"/>
                <w:szCs w:val="21"/>
              </w:rPr>
            </w:pPr>
            <w:r>
              <w:rPr>
                <w:rFonts w:ascii="Times New Roman" w:hAnsi="Times New Roman"/>
                <w:color w:val="000000"/>
                <w:sz w:val="21"/>
                <w:szCs w:val="21"/>
              </w:rPr>
              <w:t>COD</w:t>
            </w:r>
          </w:p>
        </w:tc>
        <w:tc>
          <w:tcPr>
            <w:tcW w:w="2403" w:type="dxa"/>
            <w:tcBorders>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30</w:t>
            </w:r>
            <w:r>
              <w:rPr>
                <w:rFonts w:ascii="Times New Roman" w:hAnsi="Times New Roman"/>
                <w:color w:val="000000"/>
                <w:szCs w:val="21"/>
              </w:rPr>
              <w:t>0mg/L，</w:t>
            </w:r>
            <w:r>
              <w:rPr>
                <w:rFonts w:hint="eastAsia" w:ascii="Times New Roman" w:hAnsi="Times New Roman"/>
                <w:color w:val="000000"/>
                <w:szCs w:val="21"/>
              </w:rPr>
              <w:t>0.0864</w:t>
            </w:r>
            <w:r>
              <w:rPr>
                <w:rFonts w:ascii="Times New Roman" w:hAnsi="Times New Roman"/>
                <w:color w:val="000000"/>
                <w:szCs w:val="21"/>
              </w:rPr>
              <w:t>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27</w:t>
            </w:r>
            <w:r>
              <w:rPr>
                <w:rFonts w:ascii="Times New Roman" w:hAnsi="Times New Roman"/>
                <w:color w:val="000000"/>
                <w:szCs w:val="21"/>
              </w:rPr>
              <w:t>0mg/L，</w:t>
            </w:r>
            <w:r>
              <w:rPr>
                <w:rFonts w:hint="eastAsia" w:ascii="Times New Roman" w:hAnsi="Times New Roman"/>
                <w:color w:val="000000"/>
                <w:szCs w:val="21"/>
              </w:rPr>
              <w:t>0.0778</w:t>
            </w:r>
            <w:r>
              <w:rPr>
                <w:rFonts w:ascii="Times New Roman" w:hAnsi="Times New Roman"/>
                <w:color w:val="000000"/>
                <w:szCs w:val="21"/>
              </w:rPr>
              <w:t>t/</w:t>
            </w:r>
            <w:r>
              <w:rPr>
                <w:rFonts w:hint="eastAsia" w:ascii="Times New Roman" w:hAnsi="Times New Roman"/>
                <w:color w:val="000000"/>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tcBorders>
              <w:top w:val="single" w:color="auto" w:sz="4" w:space="0"/>
              <w:bottom w:val="single" w:color="auto" w:sz="4" w:space="0"/>
            </w:tcBorders>
            <w:vAlign w:val="center"/>
          </w:tcPr>
          <w:p>
            <w:pPr>
              <w:spacing w:line="240" w:lineRule="atLeast"/>
              <w:jc w:val="center"/>
              <w:rPr>
                <w:rFonts w:ascii="Times New Roman" w:hAnsi="Times New Roman"/>
                <w:color w:val="000000"/>
                <w:szCs w:val="21"/>
              </w:rPr>
            </w:pPr>
          </w:p>
        </w:tc>
        <w:tc>
          <w:tcPr>
            <w:tcW w:w="1706" w:type="dxa"/>
            <w:tcBorders>
              <w:bottom w:val="single" w:color="auto" w:sz="4" w:space="0"/>
            </w:tcBorders>
            <w:vAlign w:val="center"/>
          </w:tcPr>
          <w:p>
            <w:pPr>
              <w:pStyle w:val="100"/>
              <w:spacing w:before="53" w:line="240" w:lineRule="atLeast"/>
              <w:jc w:val="center"/>
              <w:rPr>
                <w:rFonts w:ascii="Times New Roman" w:hAnsi="Times New Roman"/>
                <w:color w:val="000000"/>
                <w:sz w:val="21"/>
                <w:szCs w:val="21"/>
              </w:rPr>
            </w:pPr>
            <w:r>
              <w:rPr>
                <w:rFonts w:ascii="Times New Roman" w:hAnsi="Times New Roman"/>
                <w:color w:val="000000"/>
                <w:sz w:val="21"/>
                <w:szCs w:val="21"/>
              </w:rPr>
              <w:t>SS</w:t>
            </w:r>
          </w:p>
        </w:tc>
        <w:tc>
          <w:tcPr>
            <w:tcW w:w="2403" w:type="dxa"/>
            <w:tcBorders>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200mg/L，</w:t>
            </w:r>
            <w:r>
              <w:rPr>
                <w:rFonts w:hint="eastAsia" w:ascii="Times New Roman" w:hAnsi="Times New Roman"/>
                <w:color w:val="000000"/>
                <w:szCs w:val="21"/>
              </w:rPr>
              <w:t>0.0576t</w:t>
            </w:r>
            <w:r>
              <w:rPr>
                <w:rFonts w:ascii="Times New Roman" w:hAnsi="Times New Roman"/>
                <w:color w:val="000000"/>
                <w:szCs w:val="21"/>
              </w:rPr>
              <w: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160mg/L，</w:t>
            </w:r>
            <w:r>
              <w:rPr>
                <w:rFonts w:hint="eastAsia" w:ascii="Times New Roman" w:hAnsi="Times New Roman"/>
                <w:color w:val="000000"/>
                <w:szCs w:val="21"/>
              </w:rPr>
              <w:t>0.0461t</w:t>
            </w:r>
            <w:r>
              <w:rPr>
                <w:rFonts w:ascii="Times New Roman" w:hAnsi="Times New Roman"/>
                <w:color w:val="000000"/>
                <w:szCs w:val="21"/>
              </w:rPr>
              <w:t>/</w:t>
            </w:r>
            <w:r>
              <w:rPr>
                <w:rFonts w:hint="eastAsia" w:ascii="Times New Roman" w:hAnsi="Times New Roman"/>
                <w:color w:val="000000"/>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tcBorders>
              <w:top w:val="single" w:color="auto" w:sz="4" w:space="0"/>
              <w:bottom w:val="single" w:color="auto" w:sz="4" w:space="0"/>
            </w:tcBorders>
            <w:vAlign w:val="center"/>
          </w:tcPr>
          <w:p>
            <w:pPr>
              <w:spacing w:line="240" w:lineRule="atLeast"/>
              <w:jc w:val="center"/>
              <w:rPr>
                <w:rFonts w:ascii="Times New Roman" w:hAnsi="Times New Roman"/>
                <w:color w:val="000000"/>
                <w:szCs w:val="21"/>
              </w:rPr>
            </w:pPr>
          </w:p>
        </w:tc>
        <w:tc>
          <w:tcPr>
            <w:tcW w:w="1706" w:type="dxa"/>
            <w:tcBorders>
              <w:bottom w:val="single" w:color="auto" w:sz="4" w:space="0"/>
            </w:tcBorders>
            <w:vAlign w:val="center"/>
          </w:tcPr>
          <w:p>
            <w:pPr>
              <w:pStyle w:val="100"/>
              <w:spacing w:before="53" w:line="240" w:lineRule="atLeast"/>
              <w:jc w:val="center"/>
              <w:rPr>
                <w:rFonts w:ascii="Times New Roman" w:hAnsi="Times New Roman"/>
                <w:color w:val="000000"/>
                <w:sz w:val="21"/>
                <w:szCs w:val="21"/>
              </w:rPr>
            </w:pPr>
            <w:r>
              <w:rPr>
                <w:rFonts w:ascii="Times New Roman" w:hAnsi="Times New Roman"/>
                <w:color w:val="000000"/>
                <w:sz w:val="21"/>
                <w:szCs w:val="21"/>
              </w:rPr>
              <w:t>氨氮</w:t>
            </w:r>
          </w:p>
        </w:tc>
        <w:tc>
          <w:tcPr>
            <w:tcW w:w="2403" w:type="dxa"/>
            <w:tcBorders>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2</w:t>
            </w:r>
            <w:r>
              <w:rPr>
                <w:rFonts w:ascii="Times New Roman" w:hAnsi="Times New Roman"/>
                <w:color w:val="000000"/>
                <w:szCs w:val="21"/>
              </w:rPr>
              <w:t>5mg/L，0.</w:t>
            </w:r>
            <w:r>
              <w:rPr>
                <w:rFonts w:hint="eastAsia" w:ascii="Times New Roman" w:hAnsi="Times New Roman"/>
                <w:color w:val="000000"/>
                <w:szCs w:val="21"/>
              </w:rPr>
              <w:t>0072t</w:t>
            </w:r>
            <w:r>
              <w:rPr>
                <w:rFonts w:ascii="Times New Roman" w:hAnsi="Times New Roman"/>
                <w:color w:val="000000"/>
                <w:szCs w:val="21"/>
              </w:rPr>
              <w: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2</w:t>
            </w:r>
            <w:r>
              <w:rPr>
                <w:rFonts w:ascii="Times New Roman" w:hAnsi="Times New Roman"/>
                <w:color w:val="000000"/>
                <w:szCs w:val="21"/>
              </w:rPr>
              <w:t>5mg/L，0.</w:t>
            </w:r>
            <w:r>
              <w:rPr>
                <w:rFonts w:hint="eastAsia" w:ascii="Times New Roman" w:hAnsi="Times New Roman"/>
                <w:color w:val="000000"/>
                <w:szCs w:val="21"/>
              </w:rPr>
              <w:t>0072</w:t>
            </w:r>
            <w:r>
              <w:rPr>
                <w:rFonts w:ascii="Times New Roman" w:hAnsi="Times New Roman"/>
                <w:color w:val="000000"/>
                <w:szCs w:val="21"/>
              </w:rPr>
              <w:t>t/</w:t>
            </w:r>
            <w:r>
              <w:rPr>
                <w:rFonts w:hint="eastAsia" w:ascii="Times New Roman" w:hAnsi="Times New Roman"/>
                <w:color w:val="000000"/>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tcBorders>
              <w:top w:val="single" w:color="auto" w:sz="4" w:space="0"/>
              <w:bottom w:val="single" w:color="auto" w:sz="4" w:space="0"/>
            </w:tcBorders>
            <w:vAlign w:val="center"/>
          </w:tcPr>
          <w:p>
            <w:pPr>
              <w:spacing w:line="240" w:lineRule="atLeast"/>
              <w:jc w:val="center"/>
              <w:rPr>
                <w:rFonts w:ascii="Times New Roman" w:hAnsi="Times New Roman"/>
                <w:color w:val="000000"/>
                <w:szCs w:val="21"/>
              </w:rPr>
            </w:pPr>
          </w:p>
        </w:tc>
        <w:tc>
          <w:tcPr>
            <w:tcW w:w="1706" w:type="dxa"/>
            <w:tcBorders>
              <w:bottom w:val="single" w:color="auto" w:sz="4" w:space="0"/>
            </w:tcBorders>
            <w:vAlign w:val="center"/>
          </w:tcPr>
          <w:p>
            <w:pPr>
              <w:pStyle w:val="100"/>
              <w:spacing w:before="53" w:line="240" w:lineRule="atLeast"/>
              <w:jc w:val="center"/>
              <w:rPr>
                <w:rFonts w:ascii="Times New Roman" w:hAnsi="Times New Roman"/>
                <w:color w:val="000000"/>
                <w:sz w:val="21"/>
                <w:szCs w:val="21"/>
              </w:rPr>
            </w:pPr>
            <w:r>
              <w:rPr>
                <w:rFonts w:ascii="Times New Roman" w:hAnsi="Times New Roman"/>
                <w:color w:val="000000"/>
                <w:sz w:val="21"/>
                <w:szCs w:val="21"/>
              </w:rPr>
              <w:t>BOD</w:t>
            </w:r>
            <w:r>
              <w:rPr>
                <w:rFonts w:ascii="Times New Roman" w:hAnsi="Times New Roman"/>
                <w:color w:val="000000"/>
                <w:sz w:val="21"/>
                <w:szCs w:val="21"/>
                <w:vertAlign w:val="subscript"/>
              </w:rPr>
              <w:t>5</w:t>
            </w:r>
          </w:p>
        </w:tc>
        <w:tc>
          <w:tcPr>
            <w:tcW w:w="2403" w:type="dxa"/>
            <w:tcBorders>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w:t>
            </w:r>
            <w:r>
              <w:rPr>
                <w:rFonts w:ascii="Times New Roman" w:hAnsi="Times New Roman"/>
                <w:color w:val="000000"/>
                <w:szCs w:val="21"/>
              </w:rPr>
              <w:t>50mg/L，</w:t>
            </w:r>
            <w:r>
              <w:rPr>
                <w:rFonts w:hint="eastAsia" w:ascii="Times New Roman" w:hAnsi="Times New Roman"/>
                <w:color w:val="000000"/>
                <w:szCs w:val="21"/>
              </w:rPr>
              <w:t>0.0432</w:t>
            </w:r>
            <w:r>
              <w:rPr>
                <w:rFonts w:ascii="Times New Roman" w:hAnsi="Times New Roman"/>
                <w:color w:val="000000"/>
                <w:szCs w:val="21"/>
              </w:rPr>
              <w:t>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13</w:t>
            </w:r>
            <w:r>
              <w:rPr>
                <w:rFonts w:ascii="Times New Roman" w:hAnsi="Times New Roman"/>
                <w:color w:val="000000"/>
                <w:szCs w:val="21"/>
              </w:rPr>
              <w:t>5mg/L，</w:t>
            </w:r>
            <w:r>
              <w:rPr>
                <w:rFonts w:hint="eastAsia" w:ascii="Times New Roman" w:hAnsi="Times New Roman"/>
                <w:color w:val="000000"/>
                <w:szCs w:val="21"/>
              </w:rPr>
              <w:t>0.0389</w:t>
            </w:r>
            <w:r>
              <w:rPr>
                <w:rFonts w:ascii="Times New Roman" w:hAnsi="Times New Roman"/>
                <w:color w:val="000000"/>
                <w:szCs w:val="21"/>
              </w:rPr>
              <w:t>t/</w:t>
            </w:r>
            <w:r>
              <w:rPr>
                <w:rFonts w:hint="eastAsia" w:ascii="Times New Roman" w:hAnsi="Times New Roman"/>
                <w:color w:val="000000"/>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tcBorders>
              <w:top w:val="single" w:color="auto" w:sz="4" w:space="0"/>
              <w:bottom w:val="single" w:color="auto" w:sz="4" w:space="0"/>
            </w:tcBorders>
            <w:vAlign w:val="center"/>
          </w:tcPr>
          <w:p>
            <w:pPr>
              <w:spacing w:line="240" w:lineRule="atLeast"/>
              <w:jc w:val="center"/>
              <w:rPr>
                <w:rFonts w:ascii="Times New Roman" w:hAnsi="Times New Roman"/>
                <w:color w:val="000000"/>
                <w:szCs w:val="21"/>
              </w:rPr>
            </w:pPr>
          </w:p>
        </w:tc>
        <w:tc>
          <w:tcPr>
            <w:tcW w:w="1706" w:type="dxa"/>
            <w:tcBorders>
              <w:bottom w:val="single" w:color="auto" w:sz="4" w:space="0"/>
            </w:tcBorders>
            <w:vAlign w:val="center"/>
          </w:tcPr>
          <w:p>
            <w:pPr>
              <w:pStyle w:val="100"/>
              <w:spacing w:before="53" w:line="240" w:lineRule="atLeast"/>
              <w:jc w:val="center"/>
              <w:rPr>
                <w:rFonts w:ascii="Times New Roman" w:hAnsi="Times New Roman"/>
                <w:color w:val="000000"/>
                <w:sz w:val="21"/>
                <w:szCs w:val="21"/>
                <w:lang w:eastAsia="zh-CN"/>
              </w:rPr>
            </w:pPr>
            <w:r>
              <w:rPr>
                <w:rFonts w:hint="eastAsia" w:ascii="Times New Roman" w:hAnsi="Times New Roman"/>
                <w:color w:val="000000"/>
                <w:sz w:val="21"/>
                <w:szCs w:val="21"/>
                <w:lang w:eastAsia="zh-CN"/>
              </w:rPr>
              <w:t>动植物油</w:t>
            </w:r>
          </w:p>
        </w:tc>
        <w:tc>
          <w:tcPr>
            <w:tcW w:w="2403" w:type="dxa"/>
            <w:tcBorders>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12</w:t>
            </w:r>
            <w:r>
              <w:rPr>
                <w:rFonts w:ascii="Times New Roman" w:hAnsi="Times New Roman"/>
                <w:color w:val="000000"/>
                <w:szCs w:val="21"/>
              </w:rPr>
              <w:t>0mg/L，</w:t>
            </w:r>
            <w:r>
              <w:rPr>
                <w:rFonts w:hint="eastAsia" w:ascii="Times New Roman" w:hAnsi="Times New Roman"/>
                <w:color w:val="000000"/>
                <w:szCs w:val="21"/>
              </w:rPr>
              <w:t>0.03456</w:t>
            </w:r>
            <w:r>
              <w:rPr>
                <w:rFonts w:ascii="Times New Roman" w:hAnsi="Times New Roman"/>
                <w:color w:val="000000"/>
                <w:szCs w:val="21"/>
              </w:rPr>
              <w:t>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80</w:t>
            </w:r>
            <w:r>
              <w:rPr>
                <w:rFonts w:ascii="Times New Roman" w:hAnsi="Times New Roman"/>
                <w:color w:val="000000"/>
                <w:szCs w:val="21"/>
              </w:rPr>
              <w:t>mg/L，</w:t>
            </w:r>
            <w:r>
              <w:rPr>
                <w:rFonts w:hint="eastAsia" w:ascii="Times New Roman" w:hAnsi="Times New Roman"/>
                <w:color w:val="000000"/>
                <w:szCs w:val="21"/>
              </w:rPr>
              <w:t>0.023</w:t>
            </w:r>
            <w:r>
              <w:rPr>
                <w:rFonts w:ascii="Times New Roman" w:hAnsi="Times New Roman"/>
                <w:color w:val="000000"/>
                <w:szCs w:val="21"/>
              </w:rPr>
              <w:t>t/</w:t>
            </w:r>
            <w:r>
              <w:rPr>
                <w:rFonts w:hint="eastAsia" w:ascii="Times New Roman" w:hAnsi="Times New Roman"/>
                <w:color w:val="000000"/>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restart"/>
            <w:tcBorders>
              <w:top w:val="single" w:color="auto" w:sz="4" w:space="0"/>
            </w:tcBorders>
            <w:vAlign w:val="center"/>
          </w:tcPr>
          <w:p>
            <w:pPr>
              <w:spacing w:line="240" w:lineRule="atLeast"/>
              <w:jc w:val="center"/>
              <w:rPr>
                <w:rFonts w:hint="eastAsia" w:ascii="Times New Roman" w:hAnsi="Times New Roman" w:eastAsia="宋体" w:cs="Times New Roman"/>
                <w:color w:val="000000"/>
                <w:szCs w:val="21"/>
              </w:rPr>
            </w:pPr>
            <w:r>
              <w:rPr>
                <w:rFonts w:hint="eastAsia" w:ascii="Times New Roman" w:hAnsi="Times New Roman" w:eastAsia="宋体" w:cs="Times New Roman"/>
                <w:color w:val="000000"/>
                <w:szCs w:val="21"/>
              </w:rPr>
              <w:t>清管作业和分离器检修废水</w:t>
            </w:r>
          </w:p>
        </w:tc>
        <w:tc>
          <w:tcPr>
            <w:tcW w:w="1706" w:type="dxa"/>
            <w:tcBorders>
              <w:bottom w:val="single" w:color="auto" w:sz="4" w:space="0"/>
            </w:tcBorders>
            <w:vAlign w:val="center"/>
          </w:tcPr>
          <w:p>
            <w:pPr>
              <w:spacing w:line="240" w:lineRule="atLeast"/>
              <w:jc w:val="center"/>
              <w:rPr>
                <w:rFonts w:hint="eastAsia" w:ascii="Times New Roman" w:hAnsi="Times New Roman" w:eastAsia="宋体" w:cs="Times New Roman"/>
                <w:color w:val="000000"/>
                <w:szCs w:val="21"/>
              </w:rPr>
            </w:pPr>
            <w:r>
              <w:rPr>
                <w:rFonts w:hint="eastAsia" w:ascii="Times New Roman" w:hAnsi="Times New Roman" w:eastAsia="宋体" w:cs="Times New Roman"/>
                <w:color w:val="000000"/>
                <w:szCs w:val="21"/>
                <w:lang w:eastAsia="zh-CN"/>
              </w:rPr>
              <w:t>废水量</w:t>
            </w:r>
          </w:p>
        </w:tc>
        <w:tc>
          <w:tcPr>
            <w:tcW w:w="2403" w:type="dxa"/>
            <w:tcBorders>
              <w:bottom w:val="single" w:color="auto" w:sz="4" w:space="0"/>
              <w:right w:val="single" w:color="auto" w:sz="4" w:space="0"/>
            </w:tcBorders>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12</w:t>
            </w:r>
            <w:r>
              <w:rPr>
                <w:rFonts w:hint="eastAsia" w:ascii="Times New Roman" w:hAnsi="Times New Roman"/>
                <w:color w:val="000000"/>
                <w:szCs w:val="21"/>
              </w:rPr>
              <w:t>m</w:t>
            </w:r>
            <w:r>
              <w:rPr>
                <w:rFonts w:hint="eastAsia" w:ascii="Times New Roman" w:hAnsi="Times New Roman"/>
                <w:color w:val="000000"/>
                <w:szCs w:val="21"/>
                <w:vertAlign w:val="superscript"/>
              </w:rPr>
              <w:t>3</w:t>
            </w:r>
            <w:r>
              <w:rPr>
                <w:rFonts w:ascii="Times New Roman" w:hAnsi="Times New Roman"/>
                <w:color w:val="000000"/>
                <w:szCs w:val="21"/>
              </w:rPr>
              <w: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vAlign w:val="center"/>
          </w:tcPr>
          <w:p>
            <w:pPr>
              <w:spacing w:line="240" w:lineRule="atLeast"/>
              <w:jc w:val="center"/>
              <w:rPr>
                <w:rFonts w:hint="eastAsia" w:ascii="Times New Roman" w:hAnsi="Times New Roman" w:eastAsia="宋体" w:cs="Times New Roman"/>
                <w:color w:val="000000"/>
                <w:szCs w:val="21"/>
              </w:rPr>
            </w:pPr>
          </w:p>
        </w:tc>
        <w:tc>
          <w:tcPr>
            <w:tcW w:w="1706" w:type="dxa"/>
            <w:tcBorders>
              <w:bottom w:val="single" w:color="auto" w:sz="4" w:space="0"/>
            </w:tcBorders>
            <w:vAlign w:val="center"/>
          </w:tcPr>
          <w:p>
            <w:pPr>
              <w:pStyle w:val="100"/>
              <w:spacing w:before="53" w:line="240" w:lineRule="atLeast"/>
              <w:jc w:val="center"/>
              <w:rPr>
                <w:rFonts w:hint="eastAsia" w:ascii="Times New Roman" w:hAnsi="Times New Roman" w:eastAsia="宋体" w:cs="Times New Roman"/>
                <w:color w:val="000000"/>
                <w:szCs w:val="21"/>
                <w:lang w:eastAsia="zh-CN"/>
              </w:rPr>
            </w:pPr>
            <w:r>
              <w:rPr>
                <w:rFonts w:ascii="Times New Roman" w:hAnsi="Times New Roman"/>
                <w:color w:val="000000"/>
                <w:sz w:val="21"/>
                <w:szCs w:val="21"/>
              </w:rPr>
              <w:t>SS</w:t>
            </w:r>
          </w:p>
        </w:tc>
        <w:tc>
          <w:tcPr>
            <w:tcW w:w="2403" w:type="dxa"/>
            <w:tcBorders>
              <w:bottom w:val="single" w:color="auto" w:sz="4" w:space="0"/>
              <w:right w:val="single" w:color="auto" w:sz="4" w:space="0"/>
            </w:tcBorders>
            <w:vAlign w:val="center"/>
          </w:tcPr>
          <w:p>
            <w:pPr>
              <w:spacing w:line="240" w:lineRule="atLeast"/>
              <w:jc w:val="center"/>
              <w:rPr>
                <w:rFonts w:hint="eastAsia" w:ascii="Times New Roman" w:hAnsi="Times New Roman"/>
                <w:color w:val="000000"/>
                <w:szCs w:val="21"/>
                <w:lang w:val="en-US" w:eastAsia="zh-CN"/>
              </w:rPr>
            </w:pPr>
            <w:r>
              <w:rPr>
                <w:rFonts w:hint="eastAsia" w:ascii="Times New Roman" w:hAnsi="Times New Roman"/>
                <w:color w:val="000000"/>
                <w:szCs w:val="21"/>
                <w:lang w:val="en-US" w:eastAsia="zh-CN"/>
              </w:rPr>
              <w:t>4</w:t>
            </w:r>
            <w:r>
              <w:rPr>
                <w:rFonts w:ascii="Times New Roman" w:hAnsi="Times New Roman"/>
                <w:color w:val="000000"/>
                <w:szCs w:val="21"/>
              </w:rPr>
              <w:t>00mg/L，</w:t>
            </w:r>
            <w:r>
              <w:rPr>
                <w:rFonts w:hint="eastAsia" w:ascii="Times New Roman" w:hAnsi="Times New Roman"/>
                <w:color w:val="000000"/>
                <w:szCs w:val="21"/>
              </w:rPr>
              <w:t>0.0</w:t>
            </w:r>
            <w:r>
              <w:rPr>
                <w:rFonts w:hint="eastAsia" w:ascii="Times New Roman" w:hAnsi="Times New Roman"/>
                <w:color w:val="000000"/>
                <w:szCs w:val="21"/>
                <w:lang w:val="en-US" w:eastAsia="zh-CN"/>
              </w:rPr>
              <w:t>048</w:t>
            </w:r>
            <w:r>
              <w:rPr>
                <w:rFonts w:hint="eastAsia" w:ascii="Times New Roman" w:hAnsi="Times New Roman"/>
                <w:color w:val="000000"/>
                <w:szCs w:val="21"/>
              </w:rPr>
              <w:t>t</w:t>
            </w:r>
            <w:r>
              <w:rPr>
                <w:rFonts w:ascii="Times New Roman" w:hAnsi="Times New Roman"/>
                <w:color w:val="000000"/>
                <w:szCs w:val="21"/>
              </w:rPr>
              <w:t>/</w:t>
            </w:r>
            <w:r>
              <w:rPr>
                <w:rFonts w:hint="eastAsia" w:ascii="Times New Roman" w:hAnsi="Times New Roman"/>
                <w:color w:val="000000"/>
                <w:szCs w:val="21"/>
              </w:rPr>
              <w:t>a</w:t>
            </w:r>
          </w:p>
        </w:tc>
        <w:tc>
          <w:tcPr>
            <w:tcW w:w="2596" w:type="dxa"/>
            <w:tcBorders>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restart"/>
            <w:tcBorders>
              <w:top w:val="single" w:color="auto" w:sz="4" w:space="0"/>
              <w:left w:val="single" w:color="auto" w:sz="4" w:space="0"/>
            </w:tcBorders>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固体废物</w:t>
            </w:r>
          </w:p>
        </w:tc>
        <w:tc>
          <w:tcPr>
            <w:tcW w:w="1276" w:type="dxa"/>
            <w:tcBorders>
              <w:top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员工</w:t>
            </w:r>
          </w:p>
        </w:tc>
        <w:tc>
          <w:tcPr>
            <w:tcW w:w="1706" w:type="dxa"/>
            <w:tcBorders>
              <w:top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生活垃圾</w:t>
            </w:r>
          </w:p>
        </w:tc>
        <w:tc>
          <w:tcPr>
            <w:tcW w:w="2403" w:type="dxa"/>
            <w:tcBorders>
              <w:top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1.46t/a</w:t>
            </w:r>
          </w:p>
        </w:tc>
        <w:tc>
          <w:tcPr>
            <w:tcW w:w="2596" w:type="dxa"/>
            <w:vMerge w:val="restart"/>
            <w:tcBorders>
              <w:right w:val="single" w:color="auto" w:sz="4" w:space="0"/>
            </w:tcBorders>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rPr>
              <w:t>0</w:t>
            </w:r>
            <w:r>
              <w:rPr>
                <w:rFonts w:hint="eastAsia" w:ascii="Times New Roman" w:hAnsi="Times New Roman"/>
                <w:color w:val="000000"/>
                <w:szCs w:val="21"/>
                <w:lang w:val="en-US" w:eastAsia="zh-CN"/>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restart"/>
            <w:tcBorders>
              <w:top w:val="single" w:color="auto" w:sz="4" w:space="0"/>
            </w:tcBorders>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检修维护</w:t>
            </w:r>
          </w:p>
        </w:tc>
        <w:tc>
          <w:tcPr>
            <w:tcW w:w="1706" w:type="dxa"/>
            <w:tcBorders>
              <w:top w:val="single" w:color="auto" w:sz="4" w:space="0"/>
            </w:tcBorders>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s="Times New Roman"/>
                <w:spacing w:val="0"/>
                <w:sz w:val="21"/>
                <w:szCs w:val="21"/>
                <w:lang w:val="en-US" w:eastAsia="zh-CN"/>
              </w:rPr>
              <w:t>废滤芯</w:t>
            </w:r>
          </w:p>
        </w:tc>
        <w:tc>
          <w:tcPr>
            <w:tcW w:w="2403" w:type="dxa"/>
            <w:tcBorders>
              <w:top w:val="single" w:color="auto" w:sz="4" w:space="0"/>
            </w:tcBorders>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lang w:val="en-US" w:eastAsia="zh-CN"/>
              </w:rPr>
              <w:t>0.052t/a</w:t>
            </w:r>
          </w:p>
        </w:tc>
        <w:tc>
          <w:tcPr>
            <w:tcW w:w="2596" w:type="dxa"/>
            <w:vMerge w:val="continue"/>
            <w:tcBorders>
              <w:right w:val="single" w:color="auto" w:sz="4" w:space="0"/>
            </w:tcBorders>
            <w:vAlign w:val="center"/>
          </w:tcPr>
          <w:p>
            <w:pPr>
              <w:spacing w:line="240" w:lineRule="atLeast"/>
              <w:jc w:val="center"/>
              <w:rPr>
                <w:rFonts w:ascii="Times New Roman" w:hAnsi="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vAlign w:val="center"/>
          </w:tcPr>
          <w:p>
            <w:pPr>
              <w:spacing w:line="240" w:lineRule="atLeast"/>
              <w:jc w:val="center"/>
              <w:rPr>
                <w:rFonts w:hint="eastAsia" w:ascii="Times New Roman" w:hAnsi="Times New Roman"/>
                <w:color w:val="000000"/>
                <w:szCs w:val="21"/>
              </w:rPr>
            </w:pPr>
          </w:p>
        </w:tc>
        <w:tc>
          <w:tcPr>
            <w:tcW w:w="1706" w:type="dxa"/>
            <w:tcBorders>
              <w:top w:val="single" w:color="auto" w:sz="4" w:space="0"/>
            </w:tcBorders>
            <w:vAlign w:val="center"/>
          </w:tcPr>
          <w:p>
            <w:pPr>
              <w:pStyle w:val="105"/>
              <w:spacing w:line="240" w:lineRule="atLeast"/>
              <w:ind w:firstLine="0" w:firstLineChars="0"/>
              <w:jc w:val="center"/>
              <w:rPr>
                <w:rFonts w:hint="eastAsia" w:ascii="Times New Roman" w:hAnsi="Times New Roman"/>
                <w:color w:val="000000"/>
                <w:szCs w:val="21"/>
              </w:rPr>
            </w:pPr>
            <w:r>
              <w:rPr>
                <w:rFonts w:hint="eastAsia" w:ascii="Times New Roman" w:hAnsi="Times New Roman" w:cs="Times New Roman"/>
                <w:lang w:val="en-US" w:eastAsia="zh-CN"/>
              </w:rPr>
              <w:t>清管废渣</w:t>
            </w:r>
          </w:p>
        </w:tc>
        <w:tc>
          <w:tcPr>
            <w:tcW w:w="2403" w:type="dxa"/>
            <w:tcBorders>
              <w:top w:val="single" w:color="auto" w:sz="4" w:space="0"/>
            </w:tcBorders>
            <w:vAlign w:val="center"/>
          </w:tcPr>
          <w:p>
            <w:pPr>
              <w:pStyle w:val="105"/>
              <w:spacing w:line="240" w:lineRule="atLeast"/>
              <w:ind w:firstLine="0" w:firstLineChars="0"/>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0.06t/a</w:t>
            </w:r>
          </w:p>
        </w:tc>
        <w:tc>
          <w:tcPr>
            <w:tcW w:w="2596" w:type="dxa"/>
            <w:vMerge w:val="continue"/>
            <w:tcBorders>
              <w:right w:val="single" w:color="auto" w:sz="4" w:space="0"/>
            </w:tcBorders>
            <w:vAlign w:val="center"/>
          </w:tcPr>
          <w:p>
            <w:pPr>
              <w:spacing w:line="240" w:lineRule="atLeast"/>
              <w:jc w:val="center"/>
              <w:rPr>
                <w:rFonts w:ascii="Times New Roman" w:hAnsi="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863" w:type="dxa"/>
            <w:vMerge w:val="continue"/>
            <w:tcBorders>
              <w:left w:val="single" w:color="auto" w:sz="4" w:space="0"/>
            </w:tcBorders>
            <w:vAlign w:val="center"/>
          </w:tcPr>
          <w:p>
            <w:pPr>
              <w:spacing w:line="240" w:lineRule="atLeast"/>
              <w:jc w:val="center"/>
              <w:rPr>
                <w:rFonts w:ascii="Times New Roman" w:hAnsi="Times New Roman"/>
                <w:color w:val="000000"/>
                <w:szCs w:val="21"/>
              </w:rPr>
            </w:pPr>
          </w:p>
        </w:tc>
        <w:tc>
          <w:tcPr>
            <w:tcW w:w="1276" w:type="dxa"/>
            <w:vMerge w:val="continue"/>
            <w:vAlign w:val="center"/>
          </w:tcPr>
          <w:p>
            <w:pPr>
              <w:spacing w:line="240" w:lineRule="atLeast"/>
              <w:jc w:val="center"/>
              <w:rPr>
                <w:rFonts w:hint="eastAsia" w:ascii="Times New Roman" w:hAnsi="Times New Roman"/>
                <w:color w:val="000000"/>
                <w:szCs w:val="21"/>
              </w:rPr>
            </w:pPr>
          </w:p>
        </w:tc>
        <w:tc>
          <w:tcPr>
            <w:tcW w:w="1706" w:type="dxa"/>
            <w:tcBorders>
              <w:top w:val="single" w:color="auto" w:sz="4" w:space="0"/>
            </w:tcBorders>
            <w:vAlign w:val="center"/>
          </w:tcPr>
          <w:p>
            <w:pPr>
              <w:pStyle w:val="105"/>
              <w:spacing w:line="240" w:lineRule="atLeast"/>
              <w:ind w:firstLine="0" w:firstLineChars="0"/>
              <w:jc w:val="center"/>
              <w:rPr>
                <w:rFonts w:hint="eastAsia" w:ascii="Times New Roman" w:hAnsi="Times New Roman"/>
                <w:color w:val="000000"/>
                <w:szCs w:val="21"/>
              </w:rPr>
            </w:pPr>
            <w:r>
              <w:rPr>
                <w:rFonts w:hint="eastAsia" w:ascii="Times New Roman" w:hAnsi="Times New Roman" w:cs="Times New Roman"/>
                <w:spacing w:val="0"/>
                <w:sz w:val="21"/>
                <w:szCs w:val="21"/>
                <w:lang w:val="en-US" w:eastAsia="zh-CN"/>
              </w:rPr>
              <w:t>清管废水残夜</w:t>
            </w:r>
          </w:p>
        </w:tc>
        <w:tc>
          <w:tcPr>
            <w:tcW w:w="2403" w:type="dxa"/>
            <w:tcBorders>
              <w:top w:val="single" w:color="auto" w:sz="4" w:space="0"/>
            </w:tcBorders>
            <w:vAlign w:val="center"/>
          </w:tcPr>
          <w:p>
            <w:pPr>
              <w:pStyle w:val="105"/>
              <w:spacing w:line="240" w:lineRule="atLeast"/>
              <w:ind w:firstLine="0" w:firstLineChars="0"/>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0.04t/a</w:t>
            </w:r>
          </w:p>
        </w:tc>
        <w:tc>
          <w:tcPr>
            <w:tcW w:w="2596" w:type="dxa"/>
            <w:vMerge w:val="continue"/>
            <w:tcBorders>
              <w:right w:val="single" w:color="auto" w:sz="4" w:space="0"/>
            </w:tcBorders>
            <w:vAlign w:val="center"/>
          </w:tcPr>
          <w:p>
            <w:pPr>
              <w:spacing w:line="240" w:lineRule="atLeast"/>
              <w:jc w:val="center"/>
              <w:rPr>
                <w:rFonts w:ascii="Times New Roman" w:hAnsi="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863" w:type="dxa"/>
            <w:tcBorders>
              <w:top w:val="single" w:color="auto" w:sz="4" w:space="0"/>
              <w:left w:val="single" w:color="auto" w:sz="4" w:space="0"/>
              <w:bottom w:val="single" w:color="auto" w:sz="4" w:space="0"/>
            </w:tcBorders>
            <w:vAlign w:val="center"/>
          </w:tcPr>
          <w:p>
            <w:pPr>
              <w:spacing w:line="360" w:lineRule="auto"/>
              <w:jc w:val="center"/>
              <w:rPr>
                <w:rFonts w:ascii="Times New Roman" w:hAnsi="Times New Roman"/>
                <w:color w:val="000000"/>
                <w:szCs w:val="21"/>
              </w:rPr>
            </w:pPr>
            <w:r>
              <w:rPr>
                <w:rFonts w:ascii="Times New Roman" w:hAnsi="Times New Roman"/>
                <w:color w:val="000000"/>
                <w:szCs w:val="21"/>
              </w:rPr>
              <w:t>噪</w:t>
            </w:r>
          </w:p>
          <w:p>
            <w:pPr>
              <w:spacing w:line="360" w:lineRule="auto"/>
              <w:jc w:val="center"/>
              <w:rPr>
                <w:rFonts w:ascii="Times New Roman" w:hAnsi="Times New Roman"/>
                <w:color w:val="000000"/>
                <w:szCs w:val="21"/>
              </w:rPr>
            </w:pPr>
            <w:r>
              <w:rPr>
                <w:rFonts w:ascii="Times New Roman" w:hAnsi="Times New Roman"/>
                <w:color w:val="000000"/>
                <w:szCs w:val="21"/>
              </w:rPr>
              <w:t>声</w:t>
            </w:r>
          </w:p>
        </w:tc>
        <w:tc>
          <w:tcPr>
            <w:tcW w:w="7981" w:type="dxa"/>
            <w:gridSpan w:val="4"/>
            <w:tcBorders>
              <w:top w:val="single" w:color="auto" w:sz="4" w:space="0"/>
              <w:bottom w:val="single" w:color="auto" w:sz="4" w:space="0"/>
              <w:right w:val="single" w:color="auto" w:sz="4" w:space="0"/>
            </w:tcBorders>
            <w:vAlign w:val="center"/>
          </w:tcPr>
          <w:p>
            <w:pPr>
              <w:spacing w:line="240" w:lineRule="atLeast"/>
              <w:ind w:firstLine="420" w:firstLineChars="200"/>
              <w:rPr>
                <w:rFonts w:ascii="Times New Roman" w:hAnsi="Times New Roman"/>
                <w:color w:val="000000"/>
                <w:szCs w:val="21"/>
              </w:rPr>
            </w:pPr>
            <w:r>
              <w:rPr>
                <w:rFonts w:ascii="Times New Roman" w:hAnsi="Times New Roman"/>
                <w:color w:val="000000"/>
                <w:szCs w:val="21"/>
              </w:rPr>
              <w:t>本项目产生的噪声主要来自于</w:t>
            </w:r>
            <w:r>
              <w:rPr>
                <w:rFonts w:hint="eastAsia" w:ascii="Times New Roman" w:hAnsi="Times New Roman"/>
                <w:color w:val="000000"/>
                <w:szCs w:val="21"/>
              </w:rPr>
              <w:t>一些运营设备噪声</w:t>
            </w:r>
            <w:r>
              <w:rPr>
                <w:rFonts w:ascii="Times New Roman" w:hAnsi="Times New Roman"/>
                <w:color w:val="000000"/>
                <w:szCs w:val="21"/>
              </w:rPr>
              <w:t>，据同类型的设备调研，声级值为</w:t>
            </w:r>
            <w:r>
              <w:rPr>
                <w:rFonts w:hint="eastAsia" w:ascii="Times New Roman" w:hAnsi="Times New Roman"/>
                <w:color w:val="000000"/>
                <w:szCs w:val="21"/>
              </w:rPr>
              <w:t>80</w:t>
            </w:r>
            <w:r>
              <w:rPr>
                <w:rFonts w:ascii="Times New Roman" w:hAnsi="Times New Roman"/>
                <w:color w:val="000000"/>
                <w:szCs w:val="21"/>
              </w:rPr>
              <w:t>dB(A)～</w:t>
            </w:r>
            <w:r>
              <w:rPr>
                <w:rFonts w:hint="eastAsia" w:ascii="Times New Roman" w:hAnsi="Times New Roman"/>
                <w:color w:val="000000"/>
                <w:szCs w:val="21"/>
              </w:rPr>
              <w:t>105</w:t>
            </w:r>
            <w:r>
              <w:rPr>
                <w:rFonts w:ascii="Times New Roman" w:hAnsi="Times New Roman"/>
                <w:color w:val="000000"/>
                <w:szCs w:val="21"/>
              </w:rPr>
              <w:t>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6" w:hRule="atLeast"/>
          <w:jc w:val="center"/>
        </w:trPr>
        <w:tc>
          <w:tcPr>
            <w:tcW w:w="8844"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rPr>
                <w:b/>
                <w:bCs/>
              </w:rPr>
            </w:pPr>
            <w:r>
              <w:rPr>
                <w:b/>
                <w:bCs/>
              </w:rPr>
              <w:t>主要生态影响（不够时可附另页）：</w:t>
            </w:r>
          </w:p>
          <w:p>
            <w:pPr>
              <w:spacing w:line="360" w:lineRule="auto"/>
              <w:ind w:firstLine="420" w:firstLineChars="200"/>
              <w:rPr>
                <w:rFonts w:ascii="Times New Roman" w:hAnsi="Times New Roman"/>
              </w:rPr>
            </w:pPr>
            <w:r>
              <w:rPr>
                <w:rFonts w:ascii="Times New Roman" w:hAnsi="Times New Roman"/>
              </w:rPr>
              <w:t>本工程对生态环境的影响主要来自施工期，影响程度会随着工程的结束，地表植被的恢复进行，项目建设完成对区域生态系统基本不产生影响。</w:t>
            </w:r>
          </w:p>
          <w:p>
            <w:pPr>
              <w:ind w:firstLine="420" w:firstLineChars="200"/>
            </w:pPr>
          </w:p>
          <w:p>
            <w:pPr>
              <w:pStyle w:val="41"/>
              <w:jc w:val="left"/>
            </w:pPr>
          </w:p>
          <w:p>
            <w:pPr>
              <w:pStyle w:val="41"/>
              <w:jc w:val="left"/>
            </w:pPr>
          </w:p>
          <w:p>
            <w:pPr>
              <w:pStyle w:val="41"/>
              <w:jc w:val="left"/>
            </w:pPr>
          </w:p>
          <w:p>
            <w:pPr>
              <w:pStyle w:val="41"/>
              <w:jc w:val="left"/>
            </w:pPr>
          </w:p>
          <w:p>
            <w:pPr>
              <w:pStyle w:val="41"/>
              <w:jc w:val="left"/>
            </w:pPr>
          </w:p>
          <w:p>
            <w:pPr>
              <w:pStyle w:val="41"/>
              <w:jc w:val="left"/>
            </w:pPr>
          </w:p>
          <w:p>
            <w:pPr>
              <w:jc w:val="left"/>
            </w:pPr>
          </w:p>
          <w:p>
            <w:pPr>
              <w:pStyle w:val="41"/>
              <w:jc w:val="left"/>
            </w:pPr>
          </w:p>
          <w:p>
            <w:pPr>
              <w:pStyle w:val="41"/>
              <w:jc w:val="left"/>
            </w:pPr>
          </w:p>
          <w:p/>
        </w:tc>
      </w:tr>
    </w:tbl>
    <w:p>
      <w:pPr>
        <w:pStyle w:val="2"/>
        <w:keepNext w:val="0"/>
        <w:keepLines w:val="0"/>
        <w:ind w:left="-345" w:leftChars="-256" w:hanging="193" w:hangingChars="64"/>
        <w:rPr>
          <w:rFonts w:ascii="Times New Roman" w:hAnsi="Times New Roman"/>
          <w:color w:val="000000"/>
        </w:rPr>
      </w:pPr>
      <w:r>
        <w:rPr>
          <w:rFonts w:ascii="Times New Roman" w:hAnsi="Times New Roman"/>
          <w:color w:val="000000"/>
        </w:rPr>
        <w:t>环境影响分析</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70" w:hRule="atLeast"/>
          <w:jc w:val="center"/>
        </w:trPr>
        <w:tc>
          <w:tcPr>
            <w:tcW w:w="9296" w:type="dxa"/>
            <w:tcBorders>
              <w:top w:val="single" w:color="auto" w:sz="4" w:space="0"/>
              <w:left w:val="single" w:color="auto" w:sz="4" w:space="0"/>
              <w:bottom w:val="single" w:color="auto" w:sz="4" w:space="0"/>
              <w:right w:val="single" w:color="auto" w:sz="4" w:space="0"/>
            </w:tcBorders>
          </w:tcPr>
          <w:p>
            <w:pPr>
              <w:numPr>
                <w:ilvl w:val="0"/>
                <w:numId w:val="0"/>
              </w:numPr>
              <w:autoSpaceDE w:val="0"/>
              <w:autoSpaceDN w:val="0"/>
              <w:adjustRightInd w:val="0"/>
              <w:spacing w:line="360" w:lineRule="auto"/>
              <w:rPr>
                <w:rFonts w:hint="eastAsia" w:ascii="Times New Roman" w:hAnsi="Times New Roman" w:eastAsia="宋体"/>
                <w:b/>
                <w:bCs w:val="0"/>
                <w:color w:val="000000"/>
                <w:sz w:val="28"/>
                <w:szCs w:val="28"/>
                <w:lang w:eastAsia="zh-CN"/>
              </w:rPr>
            </w:pPr>
            <w:r>
              <w:rPr>
                <w:rFonts w:hint="eastAsia" w:ascii="Times New Roman" w:hAnsi="Times New Roman"/>
                <w:b/>
                <w:bCs w:val="0"/>
                <w:color w:val="000000"/>
                <w:sz w:val="28"/>
                <w:szCs w:val="28"/>
              </w:rPr>
              <w:t>施工期环境影响分析</w:t>
            </w:r>
            <w:r>
              <w:rPr>
                <w:rFonts w:hint="eastAsia" w:ascii="Times New Roman" w:hAnsi="Times New Roman"/>
                <w:b/>
                <w:bCs w:val="0"/>
                <w:color w:val="000000"/>
                <w:sz w:val="28"/>
                <w:szCs w:val="28"/>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1、施工期地表水环境影响分析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施工期废水主要包括以下几个部分：站场和管线工程定向钻施工产生泥浆水、管线穿越水渠处开挖围堰废水、管道清管废水。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（1）站场施工废水影响分析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站场施工废水主要来源于施工作业过程中会产生少量施工废水和材料堆场产生的初期雨水，主要污染物为SS。要求在站场四周设置简易沉淀池，沉淀后用于场地周边灌溉及洒水抑尘，不能利用的借助已有沟渠排放，根据同类工程施工经验，达标排放的废水对地表水环境影响也较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（2）管线工程施工废水影响分析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①顶管施工废水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本管线等级公路穿越处采用顶管施工。与其他开挖工艺相比，顶管具有穿越精度高，易于调整敷设方向和埋深，没有水上、水下作业，施工不受季节限制，施工效率高、劳动强度低、成功率高、施工安全可靠，施工工期短，不会破坏环境及河流原貌，对周围的环境影响小，能够保证管道的埋深，有利于管道运行安全管理等有点。</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cs="Times New Roman"/>
                <w:bCs/>
                <w:color w:val="000000"/>
                <w:sz w:val="24"/>
                <w:szCs w:val="22"/>
                <w:lang w:val="en-US" w:eastAsia="zh-CN"/>
              </w:rPr>
            </w:pPr>
            <w:r>
              <w:rPr>
                <w:rFonts w:hint="eastAsia" w:ascii="Times New Roman" w:hAnsi="Times New Roman"/>
                <w:bCs/>
                <w:color w:val="000000"/>
                <w:sz w:val="24"/>
                <w:lang w:val="en-US" w:eastAsia="zh-CN"/>
              </w:rPr>
              <w:t>但顶管施工排泥将产生泥浆水，若泥浆水不处理直接排入河道或沟渠，将引起水体悬浮物增加或堵塞沟渠，局部水域的浑浊度提高，严重影响河流或沟渠水质。根据同类工程的类比资料，泥浆水排入河道，排放口下游2km内均呈黄色。因此，环评对穿越公路的入土场和出土场，加强泥浆水的污染防治，在入土场地和出土场地设置泥浆池，做好防渗工程，保证泥浆不渗入水体，严格禁止泥浆水直接排入长江、小江或附近沟渠；同时在项目施工区周边设置截排水沟，收集施工期雨水，并设置蓄水池收集泥浆池上清液及初期雨水，作为施工道路洒水回用。施工产生的泥浆采用泥浆池干化处理后，因其产生</w:t>
            </w:r>
            <w:r>
              <w:rPr>
                <w:rFonts w:hint="eastAsia" w:ascii="Times New Roman" w:hAnsi="Times New Roman" w:cs="Times New Roman"/>
                <w:bCs/>
                <w:color w:val="000000"/>
                <w:sz w:val="24"/>
                <w:szCs w:val="22"/>
                <w:lang w:val="en-US" w:eastAsia="zh-CN"/>
              </w:rPr>
              <w:t>量小，可将其用于洼地回填或沟坎砌筑，做好水土保持工作，不会对环境产生二次污染。</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cs="Times New Roman"/>
                <w:bCs/>
                <w:color w:val="000000"/>
                <w:sz w:val="24"/>
                <w:szCs w:val="22"/>
                <w:lang w:val="en-US" w:eastAsia="zh-CN"/>
              </w:rPr>
            </w:pPr>
            <w:r>
              <w:rPr>
                <w:rFonts w:hint="eastAsia" w:ascii="Times New Roman" w:hAnsi="Times New Roman" w:cs="Times New Roman"/>
                <w:bCs/>
                <w:color w:val="000000"/>
                <w:sz w:val="24"/>
                <w:szCs w:val="22"/>
                <w:lang w:val="en-US" w:eastAsia="zh-CN"/>
              </w:rPr>
              <w:t>泥浆池典型断面图见下图。</w:t>
            </w:r>
          </w:p>
          <w:p>
            <w:pPr>
              <w:jc w:val="center"/>
              <w:rPr>
                <w:rFonts w:ascii="Times New Roman" w:hAnsi="Times New Roman" w:cs="Times New Roman"/>
              </w:rPr>
            </w:pPr>
            <w:r>
              <w:rPr>
                <w:rFonts w:ascii="Times New Roman" w:hAnsi="Times New Roman" w:cs="Times New Roman"/>
              </w:rPr>
              <w:drawing>
                <wp:inline distT="0" distB="0" distL="0" distR="0">
                  <wp:extent cx="4305935" cy="1945640"/>
                  <wp:effectExtent l="0" t="0" r="18415" b="16510"/>
                  <wp:docPr id="140" name="图片 136" descr="QQ图片2014102011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36" descr="QQ图片201410201101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305935" cy="19456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center"/>
              <w:textAlignment w:val="auto"/>
              <w:rPr>
                <w:rFonts w:hint="eastAsia" w:ascii="Times New Roman" w:hAnsi="Times New Roman" w:cs="Times New Roman"/>
                <w:b/>
                <w:bCs w:val="0"/>
                <w:color w:val="000000"/>
                <w:sz w:val="24"/>
                <w:szCs w:val="22"/>
                <w:lang w:val="en-US" w:eastAsia="zh-CN"/>
              </w:rPr>
            </w:pPr>
            <w:r>
              <w:rPr>
                <w:rFonts w:hint="eastAsia" w:ascii="Times New Roman" w:hAnsi="Times New Roman" w:cs="Times New Roman"/>
                <w:b/>
                <w:bCs w:val="0"/>
                <w:color w:val="000000"/>
                <w:sz w:val="24"/>
                <w:szCs w:val="22"/>
                <w:lang w:val="en-US" w:eastAsia="zh-CN"/>
              </w:rPr>
              <w:t>图7-1   泥浆池典型断面设计图（单位：cm）</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②施工围堰废水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本管道沿线沟渠较少，水渠穿越2处，沿线鱼（水）塘穿越较少，共3处，采用开挖方式穿越，总穿越长度84m。河流穿越开挖围堰将产生基坑废水，基坑排水分初期排水与经常性排水。初期排水就是在围堰闭气后，排除基坑积水、堰体及堰基渗水等的过程。基坑经常性排水由基坑渗水、降雨汇水及施工弃水等组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1）大开挖施工方式介绍</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在河水较浅、水流量较小的小型河流以及一般性农渠或排涝沟采用大开挖施工方式，大开挖施工作业一般选在枯水期进行。</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对于沟渠的开挖，一般在非汛期进行。施工过程中一般先采用素土草袋围堰，截流两端水源，然后再进行大开挖，并在管线通过后恢复河床原貌。</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施工作业的河流水量较大时采用围堰导流开挖管沟法，即先挖导流沟，用围堰对河流进行导流截流至导流沟，然后再用机械或人工在河道开挖管沟。施工时，在河床内挖沟铺设施工时，对河床有暂时性破坏，施工完成后，经覆盖复原，对河流河床和面貌不产生影响。</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2）大开挖施工水环境的影响</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在开挖穿越施工中，对河流水质会产生短期影响。主要表现为：</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 xml:space="preserve">①对河流的影响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 xml:space="preserve">开挖穿越在施工期将对河流水质产生短期影响，主要是使河水中泥沙含量显著增加。但这种影响是局部的，在河水流过一段距离后，由于泥沙的重新沉积会使河水的水质恢复到原有状况，施工过后，原有河床形态得到恢复，不会对水体功能和水质产生明显影响。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 xml:space="preserve">对于水量较大的沟渠，采用围堰导流开挖方式。施工时，在河床内挖沟铺设施工时，对河床有暂时性破坏，施工完成后，经覆盖复原，对河流河床和面貌不产生影响；开挖河道穿越在施工期将对河流水质产生短期影响，在围堰导流过程中可能使河水中泥沙等悬浮物含量增加，设置导流沟，破坏了部分汇水区的植被，造成流入河道的泥沙增加，但这种影响是局部的，在河水流过一段距离后，由于泥沙的重新沉积会使河水的水质恢复到原有状况，施工过后，原有河床形态得到恢复，不会对水体功能和水质产生明显影响；在围堰导流开挖过程中，会产生一定量的泥沙和泥土，回填一部分，多余部分应及时处理，不要裸露于地表，影响地貌，可用于修筑堤坝等。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 xml:space="preserve">3）对水生生物和下游农业用水的影响分析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施工过程中的开挖活动可能阻隔、影响水域的固有水文规律，开挖将使地下水向管沟方向侧渗，可能沿管沟形成水流，造成周围局部高出地段地下水位下降或使管沟两侧地下潜流受阻，河流的开挖作业一般选在枯水期，一般水量较小，有些河流基本干涸，开挖施工对水生生物和下游农业用水量影响较小，若施工期赶在灌溉季节，施工将采用围堰导流的方式，分段施工，不会对水进行截流，另外，沟渠穿越的施工较短，一般为3～5天，影响是短期的和局部的。</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4）大开挖对重金属扩散的影响</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根据收集资料和现场踏勘，本项目穿越的小型河流均位于乡村（农业区），主要功能为农业灌溉，穿越处未涉及重金属排放企业。因此，本项目施工期大开挖穿越小河对重金属扩散无明显影响。</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（3）清管、试压废水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施工期管线清管、试压分段进行。管道工程清管、试压一般采用无腐蚀性的清洁水进行分段试压，为节约用水，避免水资源的浪费，部分试压用水排入沉淀池中，过滤后可重复使用，重复利用率约为50%。剩余废水用于施工期洒水抑尘，不外排。</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本项目管道工程清管试压水最大用水量为182m</w:t>
            </w:r>
            <w:r>
              <w:rPr>
                <w:rFonts w:hint="eastAsia" w:ascii="Times New Roman" w:hAnsi="Times New Roman"/>
                <w:bCs/>
                <w:color w:val="000000"/>
                <w:sz w:val="24"/>
                <w:vertAlign w:val="superscript"/>
                <w:lang w:val="en-US" w:eastAsia="zh-CN"/>
              </w:rPr>
              <w:t>3</w:t>
            </w:r>
            <w:r>
              <w:rPr>
                <w:rFonts w:hint="eastAsia" w:ascii="Times New Roman" w:hAnsi="Times New Roman"/>
                <w:bCs/>
                <w:color w:val="000000"/>
                <w:sz w:val="24"/>
                <w:lang w:val="en-US" w:eastAsia="zh-CN"/>
              </w:rPr>
              <w:t>，该部分水源为地表水，根据国内其它管线建设经验，这部分废水经沉淀后可重复利用。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上述这些影响都是短暂的，施工结束后影响即消失，且施工段无饮用水源保护区和集中取水口，因此总体分析管线工程施工对水环境影响很小。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2、施工期大气环境影响分析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bCs/>
                <w:color w:val="000000"/>
                <w:sz w:val="24"/>
                <w:lang w:val="en-US" w:eastAsia="zh-CN"/>
              </w:rPr>
            </w:pPr>
            <w:r>
              <w:rPr>
                <w:rFonts w:hint="eastAsia" w:ascii="Times New Roman" w:hAnsi="Times New Roman"/>
                <w:bCs/>
                <w:color w:val="000000"/>
                <w:sz w:val="24"/>
                <w:lang w:val="en-US" w:eastAsia="zh-CN"/>
              </w:rPr>
              <w:t>（1）站场施工废气</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站场施工废气来源于土地平整、厂房施工产生的扬尘、施工机械排放的废气。</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①施工扬尘影响分析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站场土地平整将产生施工扬尘，主要污染因子为TSP。施工区施工粉尘污染属面源污染，对于施工产生的粉尘由于其颗粒径较大，在空气中易于沉降，根据同类工程类比可知其影响范围主要限于污染源附近，在100m~200m之内，受风向与风速的影响较大；在采取洒水抑尘措施后，受影响范围更小，基本集中在施工场地40m范围内。</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②焊接废气、施工运输车辆行驶产生的尾气影响分析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焊接废气、施工运输车辆行驶产生的尾气对站场周边的环境空气造成一定程度的污染，但这种污染是短期的，工程结束后，将不复存在，同类工程施工表明，焊接废气、施工运输车辆行驶产生的尾气影响是较小的，在周边居民的可接受范围内。</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（2）管线工程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①管线施工扬尘</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本项目施工扬尘主要产生在以下环节：管沟开挖时产生的扬尘；开挖产生的临时土石方堆放时产生的扬尘。本项目输气管线管沟开挖主要为机械开挖，所挖出的土石方作为管沟回填土就地回填，基本无弃方。管沟开挖过程中，仅在土石方临时堆放期间产生扬尘，由于本项目采用机械化作业，分段施工，每个施工段的时间均较短，在采用洒水降尘措施及加强施工管理后，临时堆放土石方产生的扬尘量甚微。</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②施工便道扬尘</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由于本项目所在地区乡村道路等级不高，施工便道多为土路和碎石路，路面含尘量较高，尤其遇到干旱少雨的季节，道路扬尘较为严重，施工便道路面积尘数量与湿度、运输车辆速度、风速等有关，此外风速和风向还直接影响道路扬尘的污染范围。根据有关资料介绍，扬尘属于粒径较小的降尘（10～20m），在泥土路面，粒径分布小于5m的粉尘占8%，5～10m的占24%，大于30m的占68%，因此，运输道路极易起尘。为减少起尘量，建议在人口稠密集中的地区采取经常洒水降尘措施。据相关资料，通过洒水可有效减少起尘量达70%，影响范围控制在30m内。施工车辆尾气具有流动性和短暂性，且施工区域位于室外开阔地带，施工车辆尾气仅对局部地点产生影响，且这种影响非常短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③施工机械废气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lang w:val="en-US" w:eastAsia="zh-CN"/>
              </w:rPr>
            </w:pPr>
            <w:r>
              <w:rPr>
                <w:rFonts w:hint="eastAsia" w:ascii="Times New Roman" w:hAnsi="Times New Roman"/>
                <w:color w:val="000000"/>
                <w:sz w:val="24"/>
                <w:szCs w:val="22"/>
                <w:highlight w:val="none"/>
                <w:lang w:val="en-US" w:eastAsia="zh-CN"/>
              </w:rPr>
              <w:t>施工机械废气产生量较小，在本工程挖掘机等人型机械施工中，由于使用柴油等设备，将产生SO</w:t>
            </w:r>
            <w:r>
              <w:rPr>
                <w:rFonts w:hint="eastAsia" w:ascii="Times New Roman" w:hAnsi="Times New Roman"/>
                <w:color w:val="000000"/>
                <w:sz w:val="24"/>
                <w:szCs w:val="22"/>
                <w:highlight w:val="none"/>
                <w:vertAlign w:val="subscript"/>
                <w:lang w:val="en-US" w:eastAsia="zh-CN"/>
              </w:rPr>
              <w:t>2</w:t>
            </w:r>
            <w:r>
              <w:rPr>
                <w:rFonts w:hint="eastAsia" w:ascii="Times New Roman" w:hAnsi="Times New Roman"/>
                <w:color w:val="000000"/>
                <w:sz w:val="24"/>
                <w:szCs w:val="22"/>
                <w:highlight w:val="none"/>
                <w:lang w:val="en-US" w:eastAsia="zh-CN"/>
              </w:rPr>
              <w:t>、NO</w:t>
            </w:r>
            <w:r>
              <w:rPr>
                <w:rFonts w:hint="eastAsia" w:ascii="Times New Roman" w:hAnsi="Times New Roman"/>
                <w:color w:val="000000"/>
                <w:sz w:val="24"/>
                <w:szCs w:val="22"/>
                <w:highlight w:val="none"/>
                <w:vertAlign w:val="subscript"/>
                <w:lang w:val="en-US" w:eastAsia="zh-CN"/>
              </w:rPr>
              <w:t>2</w:t>
            </w:r>
            <w:r>
              <w:rPr>
                <w:rFonts w:hint="eastAsia" w:ascii="Times New Roman" w:hAnsi="Times New Roman"/>
                <w:color w:val="000000"/>
                <w:sz w:val="24"/>
                <w:szCs w:val="22"/>
                <w:highlight w:val="none"/>
                <w:lang w:val="en-US" w:eastAsia="zh-CN"/>
              </w:rPr>
              <w:t>等污染物。由干废气量较小，且施工均在城郊，有利于空气的扩散，同时废气污染源具有间歇性和流动性，因此对施工区域的环境空气质量的影响较小。</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（3）施工期大气环境保护措施</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①施工前先修筑场界围墙或简易围屏，如用瓦楞板或聚丙烯布等在施工区四周建高2.5~3.0m的围挡，减少扬尘的逸散。运输车辆必须经由“过水路段”冲洗干净后方能离场上路。使用商品混凝土，不进行现场搅拌砂浆、混凝土。</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②建设过程中使用的建筑材料，在装卸、堆放、拌合过程中将会产生大量的粉尘外逸，施工单位必须加强施工区的规划管理。建筑材料（主要是砂子、石子）的堆场置于较为空旷的位置，要采取相应的防尘抑尘措施，如在大风天气，对散料堆场采用加盖蓬布防尘。</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③施工车辆运输沙石等物料等易起尘的物料要加盖蓬布、控制车速，防止物料洒落和产生扬尘；卸车时应尽量减小落差，减少扬尘；进出施工现场车辆将导致地面扬尘，对陆域施工现场及运输道路应定期清扫洒水，保持车辆出入口路面清洁、润湿，以减少施工车辆引起的地面扬尘污染，并尽量要求运输车辆减缓行车速度，以减少运输车辆轮胎带泥上路和造成二次扬尘。</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④加强对施工机械、车辆的维修保养，禁止以柴油为燃料的施工机械超负荷工作，减少尾气排放。</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⑤对施工场地及时清扫并酒水，防止货物转运过程中的二次起尘。</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⑥疏导好场内交通，减少机械、车辆的怠速行驶时间，以减少污染物的排放。同时使用合格的汽、柴油。</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⑦本项目施工期施工单位必须加强施工区的规划管理。汽车运输砂土、水泥、碎石等要加盖蓬布、控制车速；卸车时应尽量减小落差；保持车辆出入口路面清洁、润湿，并尽量要求运输车辆减缓行车速度。</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⑧根据《大气污染防治行动计划》（大气十条）、《安徽省大气污染防治条例》、《安徽省大气污染防治行动计划实施方案》、《安徽省打赢蓝天保卫战三年行动计划实施方案》、《芜湖市人民政府办公室关于印发芜湖市打赢蓝天保卫战三年行动计划实施方案的通知》、《关于印发&lt;安徽省建筑工程施工和预拌混凝土生产扬尘污染防治标准（试行）&gt;的通知》等要求，拟建项目建设单位应采取以下污染防治措施：</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1）施工现场扬尘污染防治应做到“六个百分之百”：施工工地周边100%围挡、物料堆放100%覆盖、施工现场地面100%硬化、土方开挖100%湿法作业、出入车辆100%清洗、渣土车辆100%密闭运输。</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2）合理规划施工场地，适当向挖土区、填土区、储土区及作业面、地面洒水抑尘，以减少扬尘量；开挖的泥土、石等应及时运走，避免堆积过高和堆积时间过长。</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3）进出车辆冲洗，冲洗水循环利用不外排；装载不易过满，采取遮盖、密闭措施，减少其沿途抛洒，并及时清扫散落在路面的泥土和灰尘。</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4）为防止材料运输中产生道路扬尘，定时对道路洒水抑尘。施工运输车辆行驶速度限制在20km/h以下，既可减少扬尘量，又可降低车辆噪声，同时有利于施工现场安全。卸料时，尽量降低高度，对散状物如沙子、石子堆场采取洒水抑尘措施。</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5）为防止物料堆场扬尘的污染，对站场施工现场应进行科学管理，砂石料统一堆放，散状建材设置简易材料棚，尽量减少搬运环节。在天气干燥、风速较大时，易扬尘物料及堆土场应采用帆布或物料布覆盖。</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6）合理优化临时施工道路，尽可能远离村庄，以免影响居住环境。对临时施工道路进行硬化处理，经常洒水，减少运输车辆行驶中尘土飞扬。</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7）建议工程建设使用商品混凝土，减少施工现场搅拌作用对周边环境的影响。③对施工和生产过程各方责任主体扬尘污染防治工作不到位的不良信息应纳入建筑市场信用管理体系。</w:t>
            </w:r>
          </w:p>
          <w:p>
            <w:pPr>
              <w:spacing w:line="360" w:lineRule="auto"/>
              <w:ind w:firstLine="480" w:firstLineChars="200"/>
              <w:rPr>
                <w:rFonts w:hint="eastAsia" w:ascii="Times New Roman" w:hAnsi="Times New Roman"/>
                <w:bCs/>
                <w:color w:val="000000"/>
                <w:sz w:val="24"/>
                <w:lang w:val="en-US" w:eastAsia="zh-CN"/>
              </w:rPr>
            </w:pPr>
            <w:r>
              <w:rPr>
                <w:rFonts w:hint="eastAsia" w:ascii="Times New Roman" w:hAnsi="Times New Roman"/>
                <w:bCs/>
                <w:color w:val="000000"/>
                <w:sz w:val="24"/>
                <w:lang w:val="en-US" w:eastAsia="zh-CN"/>
              </w:rPr>
              <w:t>8）按照重污染天气黄色、橙色和红色三个预警响应级别，针对扬尘污染防治特点，应采取洒水降尘、局部停工、全面停工等应急响应措施。</w:t>
            </w:r>
          </w:p>
          <w:p>
            <w:pPr>
              <w:spacing w:line="360" w:lineRule="auto"/>
              <w:ind w:firstLine="480" w:firstLineChars="200"/>
              <w:rPr>
                <w:rFonts w:ascii="Times New Roman" w:hAnsi="Times New Roman"/>
                <w:color w:val="000000"/>
                <w:sz w:val="24"/>
                <w:highlight w:val="none"/>
              </w:rPr>
            </w:pPr>
            <w:r>
              <w:rPr>
                <w:rFonts w:hint="eastAsia" w:ascii="Times New Roman" w:hAnsi="Times New Roman"/>
                <w:bCs/>
                <w:color w:val="000000"/>
                <w:sz w:val="24"/>
                <w:lang w:val="en-US" w:eastAsia="zh-CN"/>
              </w:rPr>
              <w:t>3、</w:t>
            </w:r>
            <w:r>
              <w:rPr>
                <w:rFonts w:hint="eastAsia" w:ascii="Times New Roman" w:hAnsi="Times New Roman"/>
                <w:color w:val="000000"/>
                <w:sz w:val="24"/>
                <w:highlight w:val="none"/>
                <w:lang w:val="en-US" w:eastAsia="zh-CN"/>
              </w:rPr>
              <w:t>施工期</w:t>
            </w:r>
            <w:r>
              <w:rPr>
                <w:rFonts w:ascii="Times New Roman" w:hAnsi="Times New Roman"/>
                <w:color w:val="000000"/>
                <w:sz w:val="24"/>
                <w:highlight w:val="none"/>
              </w:rPr>
              <w:t>噪声</w:t>
            </w:r>
            <w:r>
              <w:rPr>
                <w:rFonts w:hint="eastAsia" w:ascii="Times New Roman" w:hAnsi="Times New Roman"/>
                <w:color w:val="000000"/>
                <w:sz w:val="24"/>
                <w:highlight w:val="none"/>
                <w:lang w:val="en-US" w:eastAsia="zh-CN"/>
              </w:rPr>
              <w:t>影响</w:t>
            </w:r>
            <w:r>
              <w:rPr>
                <w:rFonts w:ascii="Times New Roman" w:hAnsi="Times New Roman"/>
                <w:color w:val="000000"/>
                <w:sz w:val="24"/>
                <w:highlight w:val="none"/>
              </w:rPr>
              <w:t>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color w:val="000000"/>
                <w:kern w:val="2"/>
                <w:sz w:val="24"/>
                <w:szCs w:val="24"/>
                <w:lang w:val="en-US" w:eastAsia="zh-CN" w:bidi="ar-SA"/>
              </w:rPr>
            </w:pPr>
            <w:r>
              <w:rPr>
                <w:rFonts w:hint="eastAsia" w:ascii="Times New Roman" w:hAnsi="Times New Roman" w:cs="Times New Roman"/>
                <w:color w:val="000000"/>
                <w:kern w:val="2"/>
                <w:sz w:val="24"/>
                <w:szCs w:val="24"/>
                <w:lang w:val="en-US" w:eastAsia="zh-CN" w:bidi="ar-SA"/>
              </w:rPr>
              <w:t>①噪声源强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000000"/>
                <w:kern w:val="2"/>
                <w:sz w:val="24"/>
                <w:szCs w:val="24"/>
                <w:lang w:val="en-US" w:eastAsia="zh-CN" w:bidi="ar-SA"/>
              </w:rPr>
            </w:pPr>
            <w:r>
              <w:rPr>
                <w:rFonts w:hint="eastAsia" w:ascii="Times New Roman" w:hAnsi="Times New Roman" w:cs="Times New Roman"/>
                <w:color w:val="000000"/>
                <w:kern w:val="2"/>
                <w:sz w:val="24"/>
                <w:szCs w:val="24"/>
                <w:lang w:val="en-US" w:eastAsia="zh-CN" w:bidi="ar-SA"/>
              </w:rPr>
              <w:t>施工</w:t>
            </w:r>
            <w:r>
              <w:rPr>
                <w:rFonts w:hint="default" w:ascii="Times New Roman" w:hAnsi="Times New Roman" w:cs="Times New Roman"/>
                <w:color w:val="000000"/>
                <w:kern w:val="2"/>
                <w:sz w:val="24"/>
                <w:szCs w:val="24"/>
                <w:lang w:val="en-US" w:eastAsia="zh-CN" w:bidi="ar-SA"/>
              </w:rPr>
              <w:t>期的噪声主要来源于现场的各类机械设备和运输的交通噪声。施工场地噪声主要是施工机械设备噪声，</w:t>
            </w:r>
            <w:r>
              <w:rPr>
                <w:rFonts w:hint="eastAsia" w:ascii="Times New Roman" w:hAnsi="Times New Roman" w:cs="Times New Roman"/>
                <w:color w:val="000000"/>
                <w:kern w:val="2"/>
                <w:sz w:val="24"/>
                <w:szCs w:val="24"/>
                <w:lang w:val="en-US" w:eastAsia="zh-CN" w:bidi="ar-SA"/>
              </w:rPr>
              <w:t>物料</w:t>
            </w:r>
            <w:r>
              <w:rPr>
                <w:rFonts w:hint="default" w:ascii="Times New Roman" w:hAnsi="Times New Roman" w:cs="Times New Roman"/>
                <w:color w:val="000000"/>
                <w:kern w:val="2"/>
                <w:sz w:val="24"/>
                <w:szCs w:val="24"/>
                <w:lang w:val="en-US" w:eastAsia="zh-CN" w:bidi="ar-SA"/>
              </w:rPr>
              <w:t>装卸碰撞噪声及施工人员的活动噪声，各施工阶段的主要噪声源及其声级见下表：</w:t>
            </w:r>
          </w:p>
          <w:p>
            <w:pPr>
              <w:pStyle w:val="108"/>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p>
          <w:p>
            <w:pPr>
              <w:pStyle w:val="108"/>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p>
          <w:p>
            <w:pPr>
              <w:pStyle w:val="108"/>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p>
          <w:p>
            <w:pPr>
              <w:pStyle w:val="108"/>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p>
          <w:p>
            <w:pPr>
              <w:pStyle w:val="108"/>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7</w:t>
            </w:r>
            <w:r>
              <w:rPr>
                <w:rFonts w:hint="default" w:ascii="Times New Roman" w:hAnsi="Times New Roman" w:cs="Times New Roman"/>
                <w:b/>
                <w:color w:val="auto"/>
                <w:sz w:val="24"/>
                <w:szCs w:val="24"/>
              </w:rPr>
              <w:t>-</w:t>
            </w:r>
            <w:r>
              <w:rPr>
                <w:rFonts w:hint="eastAsia" w:ascii="Times New Roman" w:hAnsi="Times New Roman" w:cs="Times New Roman"/>
                <w:b/>
                <w:color w:val="auto"/>
                <w:sz w:val="24"/>
                <w:szCs w:val="24"/>
                <w:lang w:val="en-US" w:eastAsia="zh-CN"/>
              </w:rPr>
              <w:t>1</w:t>
            </w:r>
            <w:r>
              <w:rPr>
                <w:rFonts w:hint="default" w:ascii="Times New Roman" w:hAnsi="Times New Roman" w:cs="Times New Roman"/>
                <w:b/>
                <w:color w:val="auto"/>
                <w:sz w:val="24"/>
                <w:szCs w:val="24"/>
              </w:rPr>
              <w:tab/>
            </w:r>
            <w:r>
              <w:rPr>
                <w:rFonts w:hint="eastAsia" w:ascii="Times New Roman" w:hAnsi="Times New Roman" w:cs="Times New Roman"/>
                <w:b/>
                <w:color w:val="auto"/>
                <w:sz w:val="24"/>
                <w:szCs w:val="24"/>
                <w:lang w:val="en-US" w:eastAsia="zh-CN"/>
              </w:rPr>
              <w:t>施工设备</w:t>
            </w:r>
            <w:r>
              <w:rPr>
                <w:rFonts w:hint="default" w:ascii="Times New Roman" w:hAnsi="Times New Roman" w:cs="Times New Roman"/>
                <w:b/>
                <w:color w:val="auto"/>
                <w:sz w:val="24"/>
                <w:szCs w:val="24"/>
              </w:rPr>
              <w:t>主要噪声源及其声级</w:t>
            </w:r>
            <w:r>
              <w:rPr>
                <w:rFonts w:hint="eastAsia" w:ascii="Times New Roman" w:hAnsi="Times New Roman" w:cs="Times New Roman"/>
                <w:b/>
                <w:color w:val="auto"/>
                <w:sz w:val="24"/>
                <w:szCs w:val="24"/>
                <w:lang w:val="en-US" w:eastAsia="zh-CN"/>
              </w:rPr>
              <w:t xml:space="preserve">   </w:t>
            </w:r>
            <w:r>
              <w:rPr>
                <w:rFonts w:hint="default" w:ascii="Times New Roman" w:hAnsi="Times New Roman" w:cs="Times New Roman"/>
                <w:b/>
                <w:color w:val="auto"/>
                <w:sz w:val="24"/>
                <w:szCs w:val="24"/>
              </w:rPr>
              <w:t>（单位：dB（A））</w:t>
            </w:r>
          </w:p>
          <w:tbl>
            <w:tblPr>
              <w:tblStyle w:val="32"/>
              <w:tblW w:w="0" w:type="auto"/>
              <w:jc w:val="center"/>
              <w:tblLayout w:type="fixed"/>
              <w:tblCellMar>
                <w:top w:w="0" w:type="dxa"/>
                <w:left w:w="108" w:type="dxa"/>
                <w:bottom w:w="0" w:type="dxa"/>
                <w:right w:w="108" w:type="dxa"/>
              </w:tblCellMar>
            </w:tblPr>
            <w:tblGrid>
              <w:gridCol w:w="2469"/>
              <w:gridCol w:w="1953"/>
              <w:gridCol w:w="2470"/>
              <w:gridCol w:w="1953"/>
            </w:tblGrid>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液压挖掘机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推土机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电动挖掘机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轮式装载机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移动式发电机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102</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电锤</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定向钻</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电焊机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100"/>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r>
          </w:tbl>
          <w:p>
            <w:pPr>
              <w:pStyle w:val="17"/>
              <w:kinsoku w:val="0"/>
              <w:overflowPunct w:val="0"/>
              <w:spacing w:line="257" w:lineRule="exact"/>
              <w:ind w:right="232"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注：以上数值取自《环境噪声与振动控制工程技术导则》（</w:t>
            </w:r>
            <w:r>
              <w:rPr>
                <w:rFonts w:hint="default" w:ascii="Times New Roman" w:hAnsi="Times New Roman" w:eastAsia="Times New Roman" w:cs="Times New Roman"/>
                <w:color w:val="auto"/>
                <w:sz w:val="21"/>
                <w:szCs w:val="21"/>
              </w:rPr>
              <w:t>HJ2034-2013</w:t>
            </w:r>
            <w:r>
              <w:rPr>
                <w:rFonts w:hint="default" w:ascii="Times New Roman" w:hAnsi="Times New Roman" w:cs="Times New Roman"/>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outlineLvl w:val="9"/>
              <w:rPr>
                <w:rFonts w:hint="default" w:ascii="Times New Roman" w:hAnsi="Times New Roman" w:eastAsia="宋体" w:cs="Times New Roman"/>
                <w:b/>
                <w:bCs/>
                <w:color w:val="000000"/>
                <w:kern w:val="2"/>
                <w:sz w:val="24"/>
                <w:szCs w:val="24"/>
                <w:lang w:val="en-US" w:eastAsia="zh-CN" w:bidi="ar-SA"/>
              </w:rPr>
            </w:pPr>
            <w:r>
              <w:rPr>
                <w:rFonts w:hint="default" w:ascii="Times New Roman" w:hAnsi="Times New Roman" w:eastAsia="宋体" w:cs="Times New Roman"/>
                <w:b/>
                <w:bCs/>
                <w:color w:val="000000"/>
                <w:kern w:val="2"/>
                <w:sz w:val="24"/>
                <w:szCs w:val="24"/>
                <w:lang w:val="en-US" w:eastAsia="zh-CN" w:bidi="ar-SA"/>
              </w:rPr>
              <w:t>表7-</w:t>
            </w:r>
            <w:r>
              <w:rPr>
                <w:rFonts w:hint="eastAsia" w:ascii="Times New Roman" w:hAnsi="Times New Roman" w:cs="Times New Roman"/>
                <w:b/>
                <w:bCs/>
                <w:color w:val="000000"/>
                <w:kern w:val="2"/>
                <w:sz w:val="24"/>
                <w:szCs w:val="24"/>
                <w:lang w:val="en-US" w:eastAsia="zh-CN" w:bidi="ar-SA"/>
              </w:rPr>
              <w:t>2</w:t>
            </w:r>
            <w:r>
              <w:rPr>
                <w:rFonts w:hint="default" w:ascii="Times New Roman" w:hAnsi="Times New Roman" w:eastAsia="宋体" w:cs="Times New Roman"/>
                <w:b/>
                <w:bCs/>
                <w:color w:val="000000"/>
                <w:kern w:val="2"/>
                <w:sz w:val="24"/>
                <w:szCs w:val="24"/>
                <w:lang w:val="en-US" w:eastAsia="zh-CN" w:bidi="ar-SA"/>
              </w:rPr>
              <w:t xml:space="preserve">    施工设备噪声随距离衰减预测结果一览表   (单位：dB（A）)</w:t>
            </w:r>
          </w:p>
          <w:tbl>
            <w:tblPr>
              <w:tblStyle w:val="32"/>
              <w:tblW w:w="8277" w:type="dxa"/>
              <w:jc w:val="center"/>
              <w:tblLayout w:type="fixed"/>
              <w:tblCellMar>
                <w:top w:w="0" w:type="dxa"/>
                <w:left w:w="0" w:type="dxa"/>
                <w:bottom w:w="0" w:type="dxa"/>
                <w:right w:w="0" w:type="dxa"/>
              </w:tblCellMar>
            </w:tblPr>
            <w:tblGrid>
              <w:gridCol w:w="1654"/>
              <w:gridCol w:w="693"/>
              <w:gridCol w:w="697"/>
              <w:gridCol w:w="693"/>
              <w:gridCol w:w="697"/>
              <w:gridCol w:w="694"/>
              <w:gridCol w:w="695"/>
              <w:gridCol w:w="702"/>
              <w:gridCol w:w="596"/>
              <w:gridCol w:w="605"/>
              <w:gridCol w:w="551"/>
            </w:tblGrid>
            <w:tr>
              <w:tblPrEx>
                <w:tblCellMar>
                  <w:top w:w="0" w:type="dxa"/>
                  <w:left w:w="0" w:type="dxa"/>
                  <w:bottom w:w="0" w:type="dxa"/>
                  <w:right w:w="0" w:type="dxa"/>
                </w:tblCellMar>
              </w:tblPrEx>
              <w:trPr>
                <w:trHeight w:val="567" w:hRule="atLeast"/>
                <w:jc w:val="center"/>
              </w:trPr>
              <w:tc>
                <w:tcPr>
                  <w:tcW w:w="1654" w:type="dxa"/>
                  <w:tcBorders>
                    <w:top w:val="single" w:color="auto" w:sz="6" w:space="0"/>
                    <w:left w:val="single" w:color="auto" w:sz="6" w:space="0"/>
                    <w:bottom w:val="single" w:color="auto" w:sz="6" w:space="0"/>
                    <w:right w:val="single" w:color="auto" w:sz="6" w:space="0"/>
                    <w:tl2br w:val="single" w:color="auto" w:sz="4" w:space="0"/>
                  </w:tcBorders>
                  <w:noWrap w:val="0"/>
                  <w:vAlign w:val="center"/>
                </w:tcPr>
                <w:p>
                  <w:pPr>
                    <w:jc w:val="right"/>
                    <w:rPr>
                      <w:rFonts w:hint="default" w:ascii="Times New Roman" w:hAnsi="Times New Roman" w:cs="Times New Roman"/>
                      <w:color w:val="auto"/>
                    </w:rPr>
                  </w:pPr>
                  <w:r>
                    <w:rPr>
                      <w:rFonts w:hint="default" w:ascii="Times New Roman" w:hAnsi="Times New Roman" w:cs="Times New Roman"/>
                      <w:color w:val="auto"/>
                    </w:rPr>
                    <w:t>距离（m）</w:t>
                  </w:r>
                </w:p>
                <w:p>
                  <w:pPr>
                    <w:jc w:val="center"/>
                    <w:rPr>
                      <w:rFonts w:hint="default" w:ascii="Times New Roman" w:hAnsi="Times New Roman" w:cs="Times New Roman"/>
                      <w:color w:val="auto"/>
                    </w:rPr>
                  </w:pPr>
                </w:p>
                <w:p>
                  <w:pPr>
                    <w:ind w:left="86" w:leftChars="41"/>
                    <w:rPr>
                      <w:rFonts w:hint="default" w:ascii="Times New Roman" w:hAnsi="Times New Roman" w:cs="Times New Roman"/>
                      <w:color w:val="auto"/>
                    </w:rPr>
                  </w:pPr>
                  <w:r>
                    <w:rPr>
                      <w:rFonts w:hint="default" w:ascii="Times New Roman" w:hAnsi="Times New Roman" w:cs="Times New Roman"/>
                      <w:color w:val="auto"/>
                    </w:rPr>
                    <w:t>施工设备</w:t>
                  </w:r>
                </w:p>
              </w:tc>
              <w:tc>
                <w:tcPr>
                  <w:tcW w:w="693"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97"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30</w:t>
                  </w:r>
                </w:p>
              </w:tc>
              <w:tc>
                <w:tcPr>
                  <w:tcW w:w="697"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40</w:t>
                  </w:r>
                </w:p>
              </w:tc>
              <w:tc>
                <w:tcPr>
                  <w:tcW w:w="694"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60</w:t>
                  </w:r>
                </w:p>
              </w:tc>
              <w:tc>
                <w:tcPr>
                  <w:tcW w:w="695"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80</w:t>
                  </w:r>
                </w:p>
              </w:tc>
              <w:tc>
                <w:tcPr>
                  <w:tcW w:w="702"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596"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150</w:t>
                  </w:r>
                </w:p>
              </w:tc>
              <w:tc>
                <w:tcPr>
                  <w:tcW w:w="605"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200</w:t>
                  </w:r>
                </w:p>
              </w:tc>
              <w:tc>
                <w:tcPr>
                  <w:tcW w:w="551"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250</w:t>
                  </w: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液压挖掘机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72</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66</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61</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51</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电动挖掘机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eastAsia="zh-CN"/>
                    </w:rPr>
                  </w:pPr>
                  <w:r>
                    <w:rPr>
                      <w:rFonts w:hint="default" w:ascii="Times New Roman" w:hAnsi="Times New Roman" w:cs="Times New Roman"/>
                      <w:color w:val="auto"/>
                    </w:rPr>
                    <w:t>8</w:t>
                  </w:r>
                  <w:r>
                    <w:rPr>
                      <w:rFonts w:hint="eastAsia" w:ascii="Times New Roman" w:hAnsi="Times New Roman" w:cs="Times New Roman"/>
                      <w:color w:val="auto"/>
                      <w:lang w:val="en-US" w:eastAsia="zh-CN"/>
                    </w:rPr>
                    <w:t>2</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79</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73</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68</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63</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59</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轮胎式装载机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90</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84</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72</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68</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62</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53</w:t>
                  </w: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运输车辆</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79</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72</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64</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60</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eastAsia" w:ascii="Times New Roman" w:hAnsi="Times New Roman" w:cs="Times New Roman"/>
                      <w:color w:val="auto"/>
                      <w:sz w:val="21"/>
                      <w:szCs w:val="21"/>
                      <w:lang w:val="en-US" w:eastAsia="zh-CN"/>
                    </w:rPr>
                    <w:t>推土机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85</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82</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79</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73</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eastAsia="zh-CN"/>
                    </w:rPr>
                  </w:pPr>
                  <w:r>
                    <w:rPr>
                      <w:rFonts w:hint="default" w:ascii="Times New Roman" w:hAnsi="Times New Roman" w:cs="Times New Roman"/>
                      <w:color w:val="auto"/>
                    </w:rPr>
                    <w:t>6</w:t>
                  </w:r>
                  <w:r>
                    <w:rPr>
                      <w:rFonts w:hint="eastAsia" w:ascii="Times New Roman" w:hAnsi="Times New Roman" w:cs="Times New Roman"/>
                      <w:color w:val="auto"/>
                      <w:lang w:val="en-US" w:eastAsia="zh-CN"/>
                    </w:rPr>
                    <w:t>5</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60</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58</w:t>
                  </w: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53</w:t>
                  </w: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sz w:val="21"/>
                      <w:szCs w:val="21"/>
                      <w:lang w:val="en-US" w:eastAsia="zh-CN"/>
                    </w:rPr>
                    <w:t>定向钻</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86</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70</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71</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eastAsia="zh-CN"/>
                    </w:rPr>
                  </w:pPr>
                  <w:r>
                    <w:rPr>
                      <w:rFonts w:hint="default" w:ascii="Times New Roman" w:hAnsi="Times New Roman" w:cs="Times New Roman"/>
                      <w:color w:val="auto"/>
                    </w:rPr>
                    <w:t>6</w:t>
                  </w:r>
                  <w:r>
                    <w:rPr>
                      <w:rFonts w:hint="eastAsia" w:ascii="Times New Roman" w:hAnsi="Times New Roman" w:cs="Times New Roman"/>
                      <w:color w:val="auto"/>
                      <w:lang w:val="en-US" w:eastAsia="zh-CN"/>
                    </w:rPr>
                    <w:t>5</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60</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58</w:t>
                  </w: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53</w:t>
                  </w: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eastAsia" w:ascii="Times New Roman" w:hAnsi="Times New Roman" w:cs="Times New Roman"/>
                      <w:color w:val="auto"/>
                      <w:sz w:val="21"/>
                      <w:szCs w:val="21"/>
                      <w:lang w:val="en-US" w:eastAsia="zh-CN"/>
                    </w:rPr>
                    <w:t>电焊机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76</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61</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51</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bl>
          <w:p>
            <w:pPr>
              <w:spacing w:line="360" w:lineRule="auto"/>
              <w:ind w:firstLine="480" w:firstLineChars="200"/>
              <w:rPr>
                <w:rFonts w:ascii="Times New Roman" w:hAnsi="Times New Roman"/>
                <w:color w:val="000000"/>
                <w:sz w:val="24"/>
                <w:highlight w:val="none"/>
              </w:rPr>
            </w:pP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根据上表，各施工机械单独连续作业时，距声源40m处噪声可满足施工场界昼间75dB（A）标准要求；夜间施工机械在100m以外满足</w:t>
            </w:r>
            <w:r>
              <w:rPr>
                <w:rFonts w:hint="eastAsia" w:ascii="Times New Roman" w:hAnsi="Times New Roman" w:cs="Times New Roman"/>
                <w:bCs/>
                <w:color w:val="auto"/>
                <w:sz w:val="24"/>
                <w:lang w:val="en-US" w:eastAsia="zh-CN"/>
              </w:rPr>
              <w:t xml:space="preserve"> </w:t>
            </w:r>
            <w:r>
              <w:rPr>
                <w:rFonts w:hint="default" w:ascii="Times New Roman" w:hAnsi="Times New Roman" w:cs="Times New Roman"/>
                <w:bCs/>
                <w:color w:val="auto"/>
                <w:sz w:val="24"/>
              </w:rPr>
              <w:t>夜间60dB（A）标准要求，所有施工机械在200m外可满足夜间55dB（A）标准要求。</w:t>
            </w:r>
          </w:p>
          <w:p>
            <w:pPr>
              <w:snapToGrid w:val="0"/>
              <w:spacing w:line="360" w:lineRule="auto"/>
              <w:ind w:firstLine="480" w:firstLineChars="200"/>
              <w:rPr>
                <w:rFonts w:hint="eastAsia" w:ascii="Times New Roman" w:hAnsi="Times New Roman" w:cs="Times New Roman"/>
                <w:bCs/>
                <w:color w:val="auto"/>
                <w:sz w:val="24"/>
                <w:lang w:val="en-US" w:eastAsia="zh-CN"/>
              </w:rPr>
            </w:pPr>
            <w:r>
              <w:rPr>
                <w:rFonts w:hint="default" w:ascii="Times New Roman" w:hAnsi="Times New Roman" w:cs="Times New Roman"/>
                <w:bCs/>
                <w:color w:val="auto"/>
                <w:sz w:val="24"/>
              </w:rPr>
              <w:t>②</w:t>
            </w:r>
            <w:r>
              <w:rPr>
                <w:rFonts w:hint="eastAsia" w:ascii="Times New Roman" w:hAnsi="Times New Roman" w:cs="Times New Roman"/>
                <w:bCs/>
                <w:color w:val="auto"/>
                <w:sz w:val="24"/>
                <w:lang w:val="en-US" w:eastAsia="zh-CN"/>
              </w:rPr>
              <w:t>预测公式</w:t>
            </w: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根据《环境影响评价技术导则声环境》（HJ2.4-2009）8.4.5施工场地、调车场、停车场等噪声预测中规定的预测模型，选取附录A中A.1.2单个室外的点声源在预测点产生的声级计算基本公式和A.1.5噪声贡献值计算。</w:t>
            </w: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如已知声源的倍频带声功率级（从63Hz到8KHz标称频带中心频率的8个倍频带），预测点位置的倍频带声压级Lp(r)可按公式（A.1）计算：</w:t>
            </w:r>
          </w:p>
          <w:p>
            <w:pPr>
              <w:snapToGrid w:val="0"/>
              <w:ind w:firstLine="200" w:firstLineChars="200"/>
              <w:rPr>
                <w:rFonts w:hint="default" w:ascii="Times New Roman" w:hAnsi="Times New Roman" w:cs="Times New Roman"/>
                <w:bCs/>
                <w:color w:val="auto"/>
                <w:sz w:val="10"/>
                <w:szCs w:val="10"/>
              </w:rPr>
            </w:pPr>
          </w:p>
          <w:p>
            <w:pPr>
              <w:snapToGrid w:val="0"/>
              <w:spacing w:line="360" w:lineRule="auto"/>
              <w:ind w:firstLine="1440" w:firstLineChars="600"/>
              <w:rPr>
                <w:rFonts w:hint="default" w:ascii="Times New Roman" w:hAnsi="Times New Roman" w:cs="Times New Roman"/>
                <w:bCs/>
                <w:color w:val="auto"/>
                <w:sz w:val="24"/>
              </w:rPr>
            </w:pPr>
            <w:r>
              <w:rPr>
                <w:rFonts w:hint="default" w:ascii="Times New Roman" w:hAnsi="Times New Roman" w:cs="Times New Roman"/>
                <w:bCs/>
                <w:color w:val="auto"/>
                <w:sz w:val="24"/>
              </w:rPr>
              <w:t>Lp(r)＝L</w:t>
            </w:r>
            <w:r>
              <w:rPr>
                <w:rFonts w:hint="default" w:ascii="Times New Roman" w:hAnsi="Times New Roman" w:cs="Times New Roman"/>
                <w:bCs/>
                <w:color w:val="auto"/>
                <w:sz w:val="24"/>
                <w:vertAlign w:val="subscript"/>
              </w:rPr>
              <w:t>w</w:t>
            </w:r>
            <w:r>
              <w:rPr>
                <w:rFonts w:hint="default" w:ascii="Times New Roman" w:hAnsi="Times New Roman" w:cs="Times New Roman"/>
                <w:bCs/>
                <w:color w:val="auto"/>
                <w:sz w:val="24"/>
              </w:rPr>
              <w:t>＋D</w:t>
            </w:r>
            <w:r>
              <w:rPr>
                <w:rFonts w:hint="default" w:ascii="Times New Roman" w:hAnsi="Times New Roman" w:cs="Times New Roman"/>
                <w:bCs/>
                <w:color w:val="auto"/>
                <w:sz w:val="24"/>
                <w:vertAlign w:val="subscript"/>
              </w:rPr>
              <w:t>c</w:t>
            </w:r>
            <w:r>
              <w:rPr>
                <w:rFonts w:hint="default" w:ascii="Times New Roman" w:hAnsi="Times New Roman" w:cs="Times New Roman"/>
                <w:bCs/>
                <w:color w:val="auto"/>
                <w:sz w:val="24"/>
              </w:rPr>
              <w:t>－A（A.1）</w:t>
            </w:r>
          </w:p>
          <w:p>
            <w:pPr>
              <w:snapToGrid w:val="0"/>
              <w:spacing w:line="360" w:lineRule="auto"/>
              <w:ind w:firstLine="1440" w:firstLineChars="600"/>
              <w:rPr>
                <w:rFonts w:hint="default" w:ascii="Times New Roman" w:hAnsi="Times New Roman" w:cs="Times New Roman"/>
                <w:bCs/>
                <w:color w:val="auto"/>
                <w:sz w:val="24"/>
              </w:rPr>
            </w:pPr>
            <w:r>
              <w:rPr>
                <w:rFonts w:hint="default" w:ascii="Times New Roman" w:hAnsi="Times New Roman" w:cs="Times New Roman"/>
                <w:bCs/>
                <w:color w:val="auto"/>
                <w:sz w:val="24"/>
              </w:rPr>
              <w:t>A＝A</w:t>
            </w:r>
            <w:r>
              <w:rPr>
                <w:rFonts w:hint="default" w:ascii="Times New Roman" w:hAnsi="Times New Roman" w:cs="Times New Roman"/>
                <w:bCs/>
                <w:color w:val="auto"/>
                <w:sz w:val="24"/>
                <w:vertAlign w:val="subscript"/>
              </w:rPr>
              <w:t>div</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atm</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gr</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bar</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misc</w:t>
            </w:r>
          </w:p>
          <w:p>
            <w:pPr>
              <w:snapToGrid w:val="0"/>
              <w:ind w:firstLine="200" w:firstLineChars="200"/>
              <w:rPr>
                <w:rFonts w:hint="default" w:ascii="Times New Roman" w:hAnsi="Times New Roman" w:cs="Times New Roman"/>
                <w:bCs/>
                <w:color w:val="auto"/>
                <w:sz w:val="10"/>
                <w:szCs w:val="10"/>
              </w:rPr>
            </w:pP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式中：</w:t>
            </w:r>
          </w:p>
          <w:p>
            <w:pPr>
              <w:snapToGrid w:val="0"/>
              <w:spacing w:line="360" w:lineRule="auto"/>
              <w:ind w:firstLine="840" w:firstLineChars="350"/>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w</w:t>
            </w:r>
            <w:r>
              <w:rPr>
                <w:rFonts w:hint="default" w:ascii="Times New Roman" w:hAnsi="Times New Roman" w:cs="Times New Roman"/>
                <w:bCs/>
                <w:color w:val="auto"/>
                <w:sz w:val="24"/>
              </w:rPr>
              <w:t>——倍频带声功率级，dB；</w:t>
            </w:r>
          </w:p>
          <w:p>
            <w:pPr>
              <w:spacing w:line="360" w:lineRule="auto"/>
              <w:ind w:firstLine="840" w:firstLineChars="350"/>
              <w:rPr>
                <w:rFonts w:hint="default" w:ascii="Times New Roman" w:hAnsi="Times New Roman" w:cs="Times New Roman"/>
                <w:bCs/>
                <w:color w:val="auto"/>
                <w:sz w:val="24"/>
              </w:rPr>
            </w:pPr>
            <w:r>
              <w:rPr>
                <w:rFonts w:hint="default" w:ascii="Times New Roman" w:hAnsi="Times New Roman" w:cs="Times New Roman"/>
                <w:bCs/>
                <w:color w:val="auto"/>
                <w:sz w:val="24"/>
              </w:rPr>
              <w:t>D</w:t>
            </w:r>
            <w:r>
              <w:rPr>
                <w:rFonts w:hint="default" w:ascii="Times New Roman" w:hAnsi="Times New Roman" w:cs="Times New Roman"/>
                <w:bCs/>
                <w:color w:val="auto"/>
                <w:sz w:val="24"/>
                <w:vertAlign w:val="subscript"/>
              </w:rPr>
              <w:t>c</w:t>
            </w:r>
            <w:r>
              <w:rPr>
                <w:rFonts w:hint="default" w:ascii="Times New Roman" w:hAnsi="Times New Roman" w:cs="Times New Roman"/>
                <w:bCs/>
                <w:color w:val="auto"/>
                <w:sz w:val="24"/>
              </w:rPr>
              <w:t>——指向性校正，dB；它描述点声源的等效连续声压级与产生声功率级的全向点声源在规定方向的级的偏差程度。指向性校正等于点声源的指向性指数D</w:t>
            </w:r>
            <w:r>
              <w:rPr>
                <w:rFonts w:hint="default" w:ascii="Times New Roman" w:hAnsi="Times New Roman" w:cs="Times New Roman"/>
                <w:bCs/>
                <w:color w:val="auto"/>
                <w:sz w:val="24"/>
                <w:vertAlign w:val="subscript"/>
              </w:rPr>
              <w:t>Ⅰ</w:t>
            </w:r>
            <w:r>
              <w:rPr>
                <w:rFonts w:hint="default" w:ascii="Times New Roman" w:hAnsi="Times New Roman" w:cs="Times New Roman"/>
                <w:bCs/>
                <w:color w:val="auto"/>
                <w:sz w:val="24"/>
              </w:rPr>
              <w:t>加上计到小于4π球面度（sr）立体角内的声传播指数DΩ。对辐射到自由空间的全向点声源，D</w:t>
            </w:r>
            <w:r>
              <w:rPr>
                <w:rFonts w:hint="default" w:ascii="Times New Roman" w:hAnsi="Times New Roman" w:cs="Times New Roman"/>
                <w:bCs/>
                <w:color w:val="auto"/>
                <w:sz w:val="24"/>
                <w:vertAlign w:val="subscript"/>
              </w:rPr>
              <w:t>c</w:t>
            </w:r>
            <w:r>
              <w:rPr>
                <w:rFonts w:hint="default" w:ascii="Times New Roman" w:hAnsi="Times New Roman" w:cs="Times New Roman"/>
                <w:bCs/>
                <w:color w:val="auto"/>
                <w:sz w:val="24"/>
              </w:rPr>
              <w:t>=0dB。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div</w:t>
            </w:r>
            <w:r>
              <w:rPr>
                <w:rFonts w:hint="default" w:ascii="Times New Roman" w:hAnsi="Times New Roman" w:cs="Times New Roman"/>
                <w:bCs/>
                <w:color w:val="auto"/>
                <w:sz w:val="24"/>
              </w:rPr>
              <w:t>——几何发散引起的倍频带衰减，dB；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atm</w:t>
            </w:r>
            <w:r>
              <w:rPr>
                <w:rFonts w:hint="default" w:ascii="Times New Roman" w:hAnsi="Times New Roman" w:cs="Times New Roman"/>
                <w:bCs/>
                <w:color w:val="auto"/>
                <w:sz w:val="24"/>
              </w:rPr>
              <w:t>——大气吸收引起的倍频带衰减，dB；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gr</w:t>
            </w:r>
            <w:r>
              <w:rPr>
                <w:rFonts w:hint="default" w:ascii="Times New Roman" w:hAnsi="Times New Roman" w:cs="Times New Roman"/>
                <w:bCs/>
                <w:color w:val="auto"/>
                <w:sz w:val="24"/>
              </w:rPr>
              <w:t>——地面效应引起的倍频带衰减，dB；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bar</w:t>
            </w:r>
            <w:r>
              <w:rPr>
                <w:rFonts w:hint="default" w:ascii="Times New Roman" w:hAnsi="Times New Roman" w:cs="Times New Roman"/>
                <w:bCs/>
                <w:color w:val="auto"/>
                <w:sz w:val="24"/>
              </w:rPr>
              <w:t>——声屏障引起的倍频带衰减，dB；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misc</w:t>
            </w:r>
            <w:r>
              <w:rPr>
                <w:rFonts w:hint="default" w:ascii="Times New Roman" w:hAnsi="Times New Roman" w:cs="Times New Roman"/>
                <w:bCs/>
                <w:color w:val="auto"/>
                <w:sz w:val="24"/>
              </w:rPr>
              <w:t>——其他多方面效应引起的倍频带衰减，dB。</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bCs/>
                <w:color w:val="auto"/>
                <w:sz w:val="24"/>
              </w:rPr>
              <w:t>如已知靠近声源处某点的倍频带声压级时，相同方向预测点位置的倍频带声压级Lp(r)可按公式（A.2）计算：</w:t>
            </w:r>
          </w:p>
          <w:p>
            <w:pPr>
              <w:keepNext w:val="0"/>
              <w:keepLines w:val="0"/>
              <w:pageBreakBefore w:val="0"/>
              <w:widowControl w:val="0"/>
              <w:kinsoku/>
              <w:wordWrap/>
              <w:overflowPunct/>
              <w:topLinePunct w:val="0"/>
              <w:autoSpaceDE/>
              <w:autoSpaceDN/>
              <w:bidi w:val="0"/>
              <w:spacing w:line="360" w:lineRule="auto"/>
              <w:ind w:firstLine="1320" w:firstLineChars="55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bCs/>
                <w:color w:val="auto"/>
                <w:sz w:val="24"/>
              </w:rPr>
              <w:t>Lp(r)＝Lp(r</w:t>
            </w:r>
            <w:r>
              <w:rPr>
                <w:rFonts w:hint="default" w:ascii="Times New Roman" w:hAnsi="Times New Roman" w:cs="Times New Roman"/>
                <w:bCs/>
                <w:color w:val="auto"/>
                <w:sz w:val="24"/>
                <w:vertAlign w:val="subscript"/>
              </w:rPr>
              <w:t>0</w:t>
            </w:r>
            <w:r>
              <w:rPr>
                <w:rFonts w:hint="default" w:ascii="Times New Roman" w:hAnsi="Times New Roman" w:cs="Times New Roman"/>
                <w:bCs/>
                <w:color w:val="auto"/>
                <w:sz w:val="24"/>
              </w:rPr>
              <w:t>)－A（A.2）</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预测点的A声级L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(r)，可利用8个倍频带的声压级按公式（A.3）计算：</w:t>
            </w:r>
          </w:p>
          <w:p>
            <w:pPr>
              <w:keepNext w:val="0"/>
              <w:keepLines w:val="0"/>
              <w:pageBreakBefore w:val="0"/>
              <w:widowControl w:val="0"/>
              <w:kinsoku/>
              <w:wordWrap/>
              <w:overflowPunct/>
              <w:topLinePunct w:val="0"/>
              <w:autoSpaceDE/>
              <w:autoSpaceDN/>
              <w:bidi w:val="0"/>
              <w:spacing w:line="360" w:lineRule="auto"/>
              <w:ind w:firstLine="1320" w:firstLineChars="55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(r)＝10lg</w:t>
            </w:r>
            <w:r>
              <w:rPr>
                <w:rFonts w:hint="default" w:ascii="Times New Roman" w:hAnsi="Times New Roman" w:cs="Times New Roman"/>
                <w:bCs/>
                <w:color w:val="auto"/>
                <w:sz w:val="24"/>
              </w:rPr>
              <w:fldChar w:fldCharType="begin" w:fldLock="1"/>
            </w:r>
            <w:r>
              <w:rPr>
                <w:rFonts w:hint="default" w:ascii="Times New Roman" w:hAnsi="Times New Roman" w:cs="Times New Roman"/>
                <w:bCs/>
                <w:color w:val="auto"/>
                <w:sz w:val="24"/>
              </w:rPr>
              <w:instrText xml:space="preserve"> QUOTE </w:instrText>
            </w:r>
            <w:r>
              <w:rPr>
                <w:rFonts w:hint="default" w:ascii="Times New Roman" w:hAnsi="Times New Roman" w:cs="Times New Roman"/>
                <w:color w:val="auto"/>
                <w:position w:val="-23"/>
              </w:rPr>
              <w:pict>
                <v:shape id="_x0000_i1025" o:spt="75" type="#_x0000_t75" style="height:31.5pt;width:114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70A67&quot;/&gt;&lt;wsp:rsid wsp:val=&quot;00FB327E&quot;/&gt;&lt;/wsp:rsids&gt;&lt;/w:docPr&gt;&lt;w:body&gt;&lt;wx:sect&gt;&lt;w:p wsp:rsidR=&quot;00000000&quot; wsp:rsidRDefault=&quot;00F70A67&quot; wsp:rsidP=&quot;00F70A67&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0&lt;/m:t&gt;&lt;/m:r&gt;&lt;/m:sub&gt;&lt;m:sup&gt;&lt;m:r&gt;&lt;w:rPr&gt;&lt;w:rFonts w:ascii=&quot;Cambria Math&quot; w:fareast=&quot;宋体&quot; w:h-ansi=&quot;Cambria Math&quot;/&gt;&lt;wx:font wx:val=&quot;Cambria Math&quot;/&gt;&lt;w:b-cs/&gt;&lt;w:i/&gt;&lt;w:color w:val=&quot;000000&quot;/&gt;&lt;w:sz w:val=&quot;24&quot;/&gt;&lt;w:sz-cs w:val=&quot;24&quot;/&gt;&lt;/w:rPr&gt;&lt;m:t&gt;8&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10&lt;/m:t&gt;&lt;/m:r&gt;&lt;/m:e&gt;&lt;m:sup&gt;&lt;m:d&gt;&lt;m:dPr&gt;&lt;m:begChr m:val=&quot;[&quot;/&gt;&lt;m:endChr m:val=&quot;]&quot;/&gt;&lt;m:ctrlPr&gt;&lt;w:rPr&gt;&lt;w:rFonts w:ascii=&quot;Cambria Math&quot; w:fareast=&quot;宋体&quot; w:h-ansi=&quot;Cambria Math&quot;/&gt;&lt;wx:font wx:val=&quot;Cambria Math&quot;/&gt;&lt;w:b-cs/&gt;&lt;w:i/&gt;&lt;w:color w:val=&quot;000000&quot;/&gt;&lt;w:sz w:val=&quot;24&quot;/&gt;&lt;w:sz-cs w:val=&quot;24&quot;/&gt;&lt;/w:rPr&gt;&lt;/m:ctrlPr&gt;&lt;/m:dPr&gt;&lt;m:e&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pi&lt;/m:t&gt;&lt;/m:r&gt;&lt;m:d&gt;&lt;m:dPr&gt;&lt;m:ctrlPr&gt;&lt;w:rPr&gt;&lt;w:rFonts w:ascii=&quot;Cambria Math&quot; w:fareast=&quot;宋体&quot; w:h-ansi=&quot;Cambria Math&quot;/&gt;&lt;wx:font wx:val=&quot;Cambria Math&quot;/&gt;&lt;w:b-cs/&gt;&lt;w:color w:val=&quot;000000&quot;/&gt;&lt;w:sz w:val=&quot;24&quot;/&gt;&lt;w:sz-cs w:val=&quot;24&quot;/&gt;&lt;/w:rPr&gt;&lt;/m:ctrlPr&gt;&lt;/m:dPr&gt;&lt;m:e&gt;&lt;m:r&gt;&lt;m:rPr&gt;&lt;m:sty m:val=&quot;p&quot;/&gt;&lt;/m:rPr&gt;&lt;w:rPr&gt;&lt;w:rFonts w:ascii=&quot;Cambria Math&quot; w:fareast=&quot;宋体&quot; w:h-ansi=&quot;Cambria Math&quot;/&gt;&lt;wx:font wx:val=&quot;Cambria Math&quot;/&gt;&lt;w:b-cs/&gt;&lt;w:color w:val=&quot;000000&quot;/&gt;&lt;w:sz w:val=&quot;24&quot;/&gt;&lt;w:sz-cs w:val=&quot;24&quot;/&gt;&lt;/w:rPr&gt;&lt;m:t&gt;r&lt;/m:t&gt;&lt;/m:r&gt;&lt;/m:e&gt;&lt;/m:d&gt;&lt;m:r&gt;&lt;m:rPr&gt;&lt;m:sty m:val=&quot;p&quot;/&gt;&lt;/m:rPr&gt;&lt;w:rPr&gt;&lt;w:rFonts w:ascii=&quot;Cambria Math&quot; w:fareast=&quot;宋体&quot; w:h-ansi=&quot;Cambria Math&quot;/&gt;&lt;wx:font wx:val=&quot;Cambria Math&quot;/&gt;&lt;w:b-cs/&gt;&lt;w:color w:val=&quot;000000&quot;/&gt;&lt;w:sz w:val=&quot;24&quot;/&gt;&lt;w:sz-cs w:val=&quot;24&quot;/&gt;&lt;/w:rPr&gt;&lt;m:t&gt;-∆Li&lt;/m:t&gt;&lt;/m:r&gt;&lt;/m:e&gt;&lt;/m:d&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2" chromakey="#FFFFFF" o:title=""/>
                  <o:lock v:ext="edit" aspectratio="t"/>
                  <w10:wrap type="none"/>
                  <w10:anchorlock/>
                </v:shape>
              </w:pict>
            </w:r>
            <w:r>
              <w:rPr>
                <w:rFonts w:hint="default" w:ascii="Times New Roman" w:hAnsi="Times New Roman" w:cs="Times New Roman"/>
                <w:bCs/>
                <w:color w:val="auto"/>
                <w:sz w:val="24"/>
              </w:rPr>
              <w:instrText xml:space="preserve"> </w:instrText>
            </w:r>
            <w:r>
              <w:rPr>
                <w:rFonts w:hint="default" w:ascii="Times New Roman" w:hAnsi="Times New Roman" w:cs="Times New Roman"/>
                <w:bCs/>
                <w:color w:val="auto"/>
                <w:sz w:val="24"/>
              </w:rPr>
              <w:fldChar w:fldCharType="separate"/>
            </w:r>
            <w:r>
              <w:rPr>
                <w:rFonts w:hint="default" w:ascii="Times New Roman" w:hAnsi="Times New Roman" w:cs="Times New Roman"/>
                <w:color w:val="auto"/>
                <w:position w:val="-23"/>
              </w:rPr>
              <w:pict>
                <v:shape id="_x0000_i1026" o:spt="75" type="#_x0000_t75" style="height:31.5pt;width:114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70A67&quot;/&gt;&lt;wsp:rsid wsp:val=&quot;00FB327E&quot;/&gt;&lt;/wsp:rsids&gt;&lt;/w:docPr&gt;&lt;w:body&gt;&lt;wx:sect&gt;&lt;w:p wsp:rsidR=&quot;00000000&quot; wsp:rsidRDefault=&quot;00F70A67&quot; wsp:rsidP=&quot;00F70A67&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0&lt;/m:t&gt;&lt;/m:r&gt;&lt;/m:sub&gt;&lt;m:sup&gt;&lt;m:r&gt;&lt;w:rPr&gt;&lt;w:rFonts w:ascii=&quot;Cambria Math&quot; w:fareast=&quot;宋体&quot; w:h-ansi=&quot;Cambria Math&quot;/&gt;&lt;wx:font wx:val=&quot;Cambria Math&quot;/&gt;&lt;w:b-cs/&gt;&lt;w:i/&gt;&lt;w:color w:val=&quot;000000&quot;/&gt;&lt;w:sz w:val=&quot;24&quot;/&gt;&lt;w:sz-cs w:val=&quot;24&quot;/&gt;&lt;/w:rPr&gt;&lt;m:t&gt;8&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10&lt;/m:t&gt;&lt;/m:r&gt;&lt;/m:e&gt;&lt;m:sup&gt;&lt;m:d&gt;&lt;m:dPr&gt;&lt;m:begChr m:val=&quot;[&quot;/&gt;&lt;m:endChr m:val=&quot;]&quot;/&gt;&lt;m:ctrlPr&gt;&lt;w:rPr&gt;&lt;w:rFonts w:ascii=&quot;Cambria Math&quot; w:fareast=&quot;宋体&quot; w:h-ansi=&quot;Cambria Math&quot;/&gt;&lt;wx:font wx:val=&quot;Cambria Math&quot;/&gt;&lt;w:b-cs/&gt;&lt;w:i/&gt;&lt;w:color w:val=&quot;000000&quot;/&gt;&lt;w:sz w:val=&quot;24&quot;/&gt;&lt;w:sz-cs w:val=&quot;24&quot;/&gt;&lt;/w:rPr&gt;&lt;/m:ctrlPr&gt;&lt;/m:dPr&gt;&lt;m:e&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pi&lt;/m:t&gt;&lt;/m:r&gt;&lt;m:d&gt;&lt;m:dPr&gt;&lt;m:ctrlPr&gt;&lt;w:rPr&gt;&lt;w:rFonts w:ascii=&quot;Cambria Math&quot; w:fareast=&quot;宋体&quot; w:h-ansi=&quot;Cambria Math&quot;/&gt;&lt;wx:font wx:val=&quot;Cambria Math&quot;/&gt;&lt;w:b-cs/&gt;&lt;w:color w:val=&quot;000000&quot;/&gt;&lt;w:sz w:val=&quot;24&quot;/&gt;&lt;w:sz-cs w:val=&quot;24&quot;/&gt;&lt;/w:rPr&gt;&lt;/m:ctrlPr&gt;&lt;/m:dPr&gt;&lt;m:e&gt;&lt;m:r&gt;&lt;m:rPr&gt;&lt;m:sty m:val=&quot;p&quot;/&gt;&lt;/m:rPr&gt;&lt;w:rPr&gt;&lt;w:rFonts w:ascii=&quot;Cambria Math&quot; w:fareast=&quot;宋体&quot; w:h-ansi=&quot;Cambria Math&quot;/&gt;&lt;wx:font wx:val=&quot;Cambria Math&quot;/&gt;&lt;w:b-cs/&gt;&lt;w:color w:val=&quot;000000&quot;/&gt;&lt;w:sz w:val=&quot;24&quot;/&gt;&lt;w:sz-cs w:val=&quot;24&quot;/&gt;&lt;/w:rPr&gt;&lt;m:t&gt;r&lt;/m:t&gt;&lt;/m:r&gt;&lt;/m:e&gt;&lt;/m:d&gt;&lt;m:r&gt;&lt;m:rPr&gt;&lt;m:sty m:val=&quot;p&quot;/&gt;&lt;/m:rPr&gt;&lt;w:rPr&gt;&lt;w:rFonts w:ascii=&quot;Cambria Math&quot; w:fareast=&quot;宋体&quot; w:h-ansi=&quot;Cambria Math&quot;/&gt;&lt;wx:font wx:val=&quot;Cambria Math&quot;/&gt;&lt;w:b-cs/&gt;&lt;w:color w:val=&quot;000000&quot;/&gt;&lt;w:sz w:val=&quot;24&quot;/&gt;&lt;w:sz-cs w:val=&quot;24&quot;/&gt;&lt;/w:rPr&gt;&lt;m:t&gt;-∆Li&lt;/m:t&gt;&lt;/m:r&gt;&lt;/m:e&gt;&lt;/m:d&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2" chromakey="#FFFFFF" o:title=""/>
                  <o:lock v:ext="edit" aspectratio="t"/>
                  <w10:wrap type="none"/>
                  <w10:anchorlock/>
                </v:shape>
              </w:pict>
            </w:r>
            <w:r>
              <w:rPr>
                <w:rFonts w:hint="default" w:ascii="Times New Roman" w:hAnsi="Times New Roman" w:cs="Times New Roman"/>
                <w:bCs/>
                <w:color w:val="auto"/>
                <w:sz w:val="24"/>
              </w:rPr>
              <w:fldChar w:fldCharType="end"/>
            </w:r>
            <w:r>
              <w:rPr>
                <w:rFonts w:hint="default" w:ascii="Times New Roman" w:hAnsi="Times New Roman" w:cs="Times New Roman"/>
                <w:bCs/>
                <w:color w:val="auto"/>
                <w:sz w:val="24"/>
              </w:rPr>
              <w:t>（A.3）</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式中：</w:t>
            </w:r>
          </w:p>
          <w:p>
            <w:pPr>
              <w:keepNext w:val="0"/>
              <w:keepLines w:val="0"/>
              <w:pageBreakBefore w:val="0"/>
              <w:widowControl w:val="0"/>
              <w:kinsoku/>
              <w:wordWrap/>
              <w:overflowPunct/>
              <w:topLinePunct w:val="0"/>
              <w:autoSpaceDE/>
              <w:autoSpaceDN/>
              <w:bidi w:val="0"/>
              <w:spacing w:line="360" w:lineRule="auto"/>
              <w:ind w:firstLine="1200" w:firstLineChars="5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pi</w:t>
            </w:r>
            <w:r>
              <w:rPr>
                <w:rFonts w:hint="default" w:ascii="Times New Roman" w:hAnsi="Times New Roman" w:cs="Times New Roman"/>
                <w:bCs/>
                <w:color w:val="auto"/>
                <w:sz w:val="24"/>
              </w:rPr>
              <w:t>(r)——预测点（r）处，第Ⅰ倍频带声压级，dB；</w:t>
            </w:r>
          </w:p>
          <w:p>
            <w:pPr>
              <w:keepNext w:val="0"/>
              <w:keepLines w:val="0"/>
              <w:pageBreakBefore w:val="0"/>
              <w:widowControl w:val="0"/>
              <w:kinsoku/>
              <w:wordWrap/>
              <w:overflowPunct/>
              <w:topLinePunct w:val="0"/>
              <w:autoSpaceDE/>
              <w:autoSpaceDN/>
              <w:bidi w:val="0"/>
              <w:spacing w:line="360" w:lineRule="auto"/>
              <w:ind w:firstLine="1080" w:firstLineChars="45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ΔL</w:t>
            </w:r>
            <w:r>
              <w:rPr>
                <w:rFonts w:hint="default" w:ascii="Times New Roman" w:hAnsi="Times New Roman" w:cs="Times New Roman"/>
                <w:bCs/>
                <w:color w:val="auto"/>
                <w:sz w:val="24"/>
                <w:vertAlign w:val="subscript"/>
              </w:rPr>
              <w:t>i</w:t>
            </w:r>
            <w:r>
              <w:rPr>
                <w:rFonts w:hint="default" w:ascii="Times New Roman" w:hAnsi="Times New Roman" w:cs="Times New Roman"/>
                <w:bCs/>
                <w:color w:val="auto"/>
                <w:sz w:val="24"/>
              </w:rPr>
              <w:t>——i倍频带A计权网络修正值，dB（见附录B）。</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在不能取得声源倍频带声功率级或倍频带声压级，只能获得A声功率级或某点的A声级时，可按公式（A.4）和（A.5）作近似计算：</w:t>
            </w:r>
          </w:p>
          <w:p>
            <w:pPr>
              <w:adjustRightInd w:val="0"/>
              <w:snapToGrid w:val="0"/>
              <w:ind w:firstLine="200" w:firstLineChars="200"/>
              <w:rPr>
                <w:rFonts w:hint="default" w:ascii="Times New Roman" w:hAnsi="Times New Roman" w:cs="Times New Roman"/>
                <w:bCs/>
                <w:color w:val="auto"/>
                <w:sz w:val="10"/>
                <w:szCs w:val="10"/>
              </w:rPr>
            </w:pPr>
          </w:p>
          <w:p>
            <w:pPr>
              <w:keepNext w:val="0"/>
              <w:keepLines w:val="0"/>
              <w:pageBreakBefore w:val="0"/>
              <w:widowControl w:val="0"/>
              <w:kinsoku/>
              <w:wordWrap/>
              <w:overflowPunct/>
              <w:topLinePunct w:val="0"/>
              <w:autoSpaceDE/>
              <w:autoSpaceDN/>
              <w:bidi w:val="0"/>
              <w:spacing w:line="360" w:lineRule="auto"/>
              <w:ind w:firstLine="1440" w:firstLineChars="6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(r)＝L</w:t>
            </w:r>
            <w:r>
              <w:rPr>
                <w:rFonts w:hint="default" w:ascii="Times New Roman" w:hAnsi="Times New Roman" w:cs="Times New Roman"/>
                <w:bCs/>
                <w:color w:val="auto"/>
                <w:sz w:val="24"/>
                <w:vertAlign w:val="subscript"/>
              </w:rPr>
              <w:t>AW</w:t>
            </w:r>
            <w:r>
              <w:rPr>
                <w:rFonts w:hint="default" w:ascii="Times New Roman" w:hAnsi="Times New Roman" w:cs="Times New Roman"/>
                <w:bCs/>
                <w:color w:val="auto"/>
                <w:sz w:val="24"/>
              </w:rPr>
              <w:t>－Dc－A（A.4）</w:t>
            </w:r>
          </w:p>
          <w:p>
            <w:pPr>
              <w:keepNext w:val="0"/>
              <w:keepLines w:val="0"/>
              <w:pageBreakBefore w:val="0"/>
              <w:widowControl w:val="0"/>
              <w:kinsoku/>
              <w:wordWrap/>
              <w:overflowPunct/>
              <w:topLinePunct w:val="0"/>
              <w:autoSpaceDE/>
              <w:autoSpaceDN/>
              <w:bidi w:val="0"/>
              <w:spacing w:line="360" w:lineRule="auto"/>
              <w:ind w:firstLine="1080" w:firstLineChars="45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bCs/>
                <w:color w:val="auto"/>
                <w:sz w:val="24"/>
              </w:rPr>
              <w:t>或：L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w:t>
            </w:r>
            <w:r>
              <w:rPr>
                <w:rFonts w:hint="default" w:ascii="Times New Roman" w:hAnsi="Times New Roman" w:cs="Times New Roman"/>
                <w:bCs/>
                <w:color w:val="auto"/>
                <w:sz w:val="24"/>
                <w:vertAlign w:val="subscript"/>
              </w:rPr>
              <w:t>0</w:t>
            </w:r>
            <w:r>
              <w:rPr>
                <w:rFonts w:hint="default" w:ascii="Times New Roman" w:hAnsi="Times New Roman" w:cs="Times New Roman"/>
                <w:bCs/>
                <w:color w:val="auto"/>
                <w:sz w:val="24"/>
              </w:rPr>
              <w:t>)－A（A.5）</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A可选择对A声级影响最大的倍频带计算，一般可选中心频率为500H</w:t>
            </w:r>
            <w:r>
              <w:rPr>
                <w:rFonts w:hint="default" w:ascii="Times New Roman" w:hAnsi="Times New Roman" w:cs="Times New Roman"/>
                <w:bCs/>
                <w:color w:val="auto"/>
                <w:sz w:val="24"/>
                <w:vertAlign w:val="subscript"/>
              </w:rPr>
              <w:t>Z</w:t>
            </w:r>
            <w:r>
              <w:rPr>
                <w:rFonts w:hint="default" w:ascii="Times New Roman" w:hAnsi="Times New Roman" w:cs="Times New Roman"/>
                <w:bCs/>
                <w:color w:val="auto"/>
                <w:sz w:val="24"/>
              </w:rPr>
              <w:t>的倍频带作估算。</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color w:val="auto"/>
                <w:sz w:val="10"/>
                <w:szCs w:val="10"/>
              </w:rPr>
            </w:pPr>
            <w:r>
              <w:rPr>
                <w:rFonts w:hint="default" w:ascii="Times New Roman" w:hAnsi="Times New Roman" w:cs="Times New Roman"/>
                <w:color w:val="auto"/>
                <w:sz w:val="24"/>
              </w:rPr>
              <w:t>设第Ⅰ个室外声源在预测点产生的A声级为L</w:t>
            </w:r>
            <w:r>
              <w:rPr>
                <w:rFonts w:hint="default" w:ascii="Times New Roman" w:hAnsi="Times New Roman" w:cs="Times New Roman"/>
                <w:color w:val="auto"/>
                <w:sz w:val="24"/>
                <w:vertAlign w:val="subscript"/>
              </w:rPr>
              <w:t>Ai</w:t>
            </w:r>
            <w:r>
              <w:rPr>
                <w:rFonts w:hint="default" w:ascii="Times New Roman" w:hAnsi="Times New Roman" w:cs="Times New Roman"/>
                <w:color w:val="auto"/>
                <w:sz w:val="24"/>
              </w:rPr>
              <w:t>，在T时间内该声源工作时间为t</w:t>
            </w:r>
            <w:r>
              <w:rPr>
                <w:rFonts w:hint="default" w:ascii="Times New Roman" w:hAnsi="Times New Roman" w:cs="Times New Roman"/>
                <w:color w:val="auto"/>
                <w:sz w:val="24"/>
                <w:vertAlign w:val="subscript"/>
              </w:rPr>
              <w:t>i</w:t>
            </w:r>
            <w:r>
              <w:rPr>
                <w:rFonts w:hint="default" w:ascii="Times New Roman" w:hAnsi="Times New Roman" w:cs="Times New Roman"/>
                <w:color w:val="auto"/>
                <w:sz w:val="24"/>
              </w:rPr>
              <w:t>；第j个等效室外声源在预测点产生的A声级为L</w:t>
            </w:r>
            <w:r>
              <w:rPr>
                <w:rFonts w:hint="default" w:ascii="Times New Roman" w:hAnsi="Times New Roman" w:cs="Times New Roman"/>
                <w:color w:val="auto"/>
                <w:sz w:val="24"/>
                <w:vertAlign w:val="subscript"/>
              </w:rPr>
              <w:t>Ai</w:t>
            </w:r>
            <w:r>
              <w:rPr>
                <w:rFonts w:hint="default" w:ascii="Times New Roman" w:hAnsi="Times New Roman" w:cs="Times New Roman"/>
                <w:color w:val="auto"/>
                <w:sz w:val="24"/>
              </w:rPr>
              <w:t>，在T时间内该声源工作时间为t</w:t>
            </w:r>
            <w:r>
              <w:rPr>
                <w:rFonts w:hint="default" w:ascii="Times New Roman" w:hAnsi="Times New Roman" w:cs="Times New Roman"/>
                <w:color w:val="auto"/>
                <w:sz w:val="24"/>
                <w:vertAlign w:val="subscript"/>
              </w:rPr>
              <w:t>j</w:t>
            </w:r>
            <w:r>
              <w:rPr>
                <w:rFonts w:hint="default" w:ascii="Times New Roman" w:hAnsi="Times New Roman" w:cs="Times New Roman"/>
                <w:color w:val="auto"/>
                <w:sz w:val="24"/>
              </w:rPr>
              <w:t>，则新建工程声源对预测点产生的贡献值（Leqg）为：</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color w:val="auto"/>
                <w:sz w:val="24"/>
              </w:rPr>
              <w:t>Leqg＝10</w:t>
            </w:r>
            <w:r>
              <w:rPr>
                <w:rFonts w:hint="default" w:ascii="Times New Roman" w:hAnsi="Times New Roman" w:cs="Times New Roman"/>
                <w:bCs/>
                <w:color w:val="auto"/>
                <w:sz w:val="24"/>
              </w:rPr>
              <w:t>lg</w:t>
            </w:r>
            <w:r>
              <w:rPr>
                <w:rFonts w:hint="default" w:ascii="Times New Roman" w:hAnsi="Times New Roman" w:cs="Times New Roman"/>
                <w:bCs/>
                <w:color w:val="auto"/>
                <w:sz w:val="24"/>
              </w:rPr>
              <w:fldChar w:fldCharType="begin" w:fldLock="1"/>
            </w:r>
            <w:r>
              <w:rPr>
                <w:rFonts w:hint="default" w:ascii="Times New Roman" w:hAnsi="Times New Roman" w:cs="Times New Roman"/>
                <w:bCs/>
                <w:color w:val="auto"/>
                <w:sz w:val="24"/>
              </w:rPr>
              <w:instrText xml:space="preserve"> QUOTE </w:instrText>
            </w:r>
            <w:r>
              <w:rPr>
                <w:rFonts w:hint="default" w:ascii="Times New Roman" w:hAnsi="Times New Roman" w:cs="Times New Roman"/>
                <w:color w:val="auto"/>
                <w:position w:val="-24"/>
              </w:rPr>
              <w:pict>
                <v:shape id="_x0000_i1027" o:spt="75" type="#_x0000_t75" style="height:31.5pt;width:186.7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1836&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B327E&quot;/&gt;&lt;/wsp:rsids&gt;&lt;/w:docPr&gt;&lt;w:body&gt;&lt;wx:sect&gt;&lt;w:p wsp:rsidR=&quot;00000000&quot; wsp:rsidRDefault=&quot;005F1836&quot; wsp:rsidP=&quot;005F1836&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f&gt;&lt;m:fPr&gt;&lt;m:ctrlPr&gt;&lt;w:rPr&gt;&lt;w:rFonts w:ascii=&quot;Cambria Math&quot; w:fareast=&quot;宋体&quot; w:h-ansi=&quot;Cambria Math&quot;/&gt;&lt;wx:font wx:val=&quot;Cambria Math&quot;/&gt;&lt;w:b-cs/&gt;&lt;w:color w:val=&quot;000000&quot;/&gt;&lt;w:sz w:val=&quot;24&quot;/&gt;&lt;w:sz-cs w:val=&quot;24&quot;/&gt;&lt;/w:rPr&gt;&lt;/m:ctrlPr&gt;&lt;/m:fPr&gt;&lt;m:num&gt;&lt;m:r&gt;&lt;m:rPr&gt;&lt;m:sty m:val=&quot;p&quot;/&gt;&lt;/m:rPr&gt;&lt;w:rPr&gt;&lt;w:rFonts w:ascii=&quot;Cambria Math&quot; w:fareast=&quot;宋体&quot; w:h-ansi=&quot;Cambria Math&quot;/&gt;&lt;wx:font wx:val=&quot;Cambria Math&quot;/&gt;&lt;w:b-cs/&gt;&lt;w:color w:val=&quot;000000&quot;/&gt;&lt;w:sz w:val=&quot;24&quot;/&gt;&lt;w:sz-cs w:val=&quot;24&quot;/&gt;&lt;/w:rPr&gt;&lt;m:t&gt;1&lt;/m:t&gt;&lt;/m:r&gt;&lt;/m:num&gt;&lt;m:den&gt;&lt;m:r&gt;&lt;m:rPr&gt;&lt;m:sty m:val=&quot;p&quot;/&gt;&lt;/m:rPr&gt;&lt;w:rPr&gt;&lt;w:rFonts w:ascii=&quot;Cambria Math&quot; w:fareast=&quot;宋体&quot; w:h-ansi=&quot;Cambria Math&quot;/&gt;&lt;wx:font wx:val=&quot;Cambria Math&quot;/&gt;&lt;w:b-cs/&gt;&lt;w:color w:val=&quot;000000&quot;/&gt;&lt;w:sz w:val=&quot;24&quot;/&gt;&lt;w:sz-cs w:val=&quot;24&quot;/&gt;&lt;/w:rPr&gt;&lt;m:t&gt;T&lt;/m:t&gt;&lt;/m:r&gt;&lt;/m:den&gt;&lt;/m:f&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1&lt;/m:t&gt;&lt;/m:r&gt;&lt;/m:sub&gt;&lt;m:sup&gt;&lt;m:r&gt;&lt;w:rPr&gt;&lt;w:rFonts w:ascii=&quot;Cambria Math&quot; w:fareast=&quot;宋体&quot; w:h-ansi=&quot;Cambria Math&quot;/&gt;&lt;wx:font wx:val=&quot;Cambria Math&quot;/&gt;&lt;w:b-cs/&gt;&lt;w:i/&gt;&lt;w:color w:val=&quot;000000&quot;/&gt;&lt;w:sz w:val=&quot;24&quot;/&gt;&lt;w:sz-cs w:val=&quot;24&quot;/&gt;&lt;/w:rPr&gt;&lt;m:t&gt;N&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i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i&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j=1&lt;/m:t&gt;&lt;/m:r&gt;&lt;/m:sub&gt;&lt;m:sup&gt;&lt;m:r&gt;&lt;w:rPr&gt;&lt;w:rFonts w:ascii=&quot;Cambria Math&quot; w:fareast=&quot;宋体&quot; w:h-ansi=&quot;Cambria Math&quot;/&gt;&lt;wx:font wx:val=&quot;Cambria Math&quot;/&gt;&lt;w:b-cs/&gt;&lt;w:i/&gt;&lt;w:color w:val=&quot;000000&quot;/&gt;&lt;w:sz w:val=&quot;24&quot;/&gt;&lt;w:sz-cs w:val=&quot;24&quot;/&gt;&lt;/w:rPr&gt;&lt;m:t&gt;M&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j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j&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3" chromakey="#FFFFFF" o:title=""/>
                  <o:lock v:ext="edit" aspectratio="t"/>
                  <w10:wrap type="none"/>
                  <w10:anchorlock/>
                </v:shape>
              </w:pict>
            </w:r>
            <w:r>
              <w:rPr>
                <w:rFonts w:hint="default" w:ascii="Times New Roman" w:hAnsi="Times New Roman" w:cs="Times New Roman"/>
                <w:bCs/>
                <w:color w:val="auto"/>
                <w:sz w:val="24"/>
              </w:rPr>
              <w:instrText xml:space="preserve"> </w:instrText>
            </w:r>
            <w:r>
              <w:rPr>
                <w:rFonts w:hint="default" w:ascii="Times New Roman" w:hAnsi="Times New Roman" w:cs="Times New Roman"/>
                <w:bCs/>
                <w:color w:val="auto"/>
                <w:sz w:val="24"/>
              </w:rPr>
              <w:fldChar w:fldCharType="separate"/>
            </w:r>
            <w:r>
              <w:rPr>
                <w:rFonts w:hint="default" w:ascii="Times New Roman" w:hAnsi="Times New Roman" w:cs="Times New Roman"/>
                <w:color w:val="auto"/>
                <w:position w:val="-24"/>
              </w:rPr>
              <w:pict>
                <v:shape id="_x0000_i1028" o:spt="75" type="#_x0000_t75" style="height:31.5pt;width:186.7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1836&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B327E&quot;/&gt;&lt;/wsp:rsids&gt;&lt;/w:docPr&gt;&lt;w:body&gt;&lt;wx:sect&gt;&lt;w:p wsp:rsidR=&quot;00000000&quot; wsp:rsidRDefault=&quot;005F1836&quot; wsp:rsidP=&quot;005F1836&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f&gt;&lt;m:fPr&gt;&lt;m:ctrlPr&gt;&lt;w:rPr&gt;&lt;w:rFonts w:ascii=&quot;Cambria Math&quot; w:fareast=&quot;宋体&quot; w:h-ansi=&quot;Cambria Math&quot;/&gt;&lt;wx:font wx:val=&quot;Cambria Math&quot;/&gt;&lt;w:b-cs/&gt;&lt;w:color w:val=&quot;000000&quot;/&gt;&lt;w:sz w:val=&quot;24&quot;/&gt;&lt;w:sz-cs w:val=&quot;24&quot;/&gt;&lt;/w:rPr&gt;&lt;/m:ctrlPr&gt;&lt;/m:fPr&gt;&lt;m:num&gt;&lt;m:r&gt;&lt;m:rPr&gt;&lt;m:sty m:val=&quot;p&quot;/&gt;&lt;/m:rPr&gt;&lt;w:rPr&gt;&lt;w:rFonts w:ascii=&quot;Cambria Math&quot; w:fareast=&quot;宋体&quot; w:h-ansi=&quot;Cambria Math&quot;/&gt;&lt;wx:font wx:val=&quot;Cambria Math&quot;/&gt;&lt;w:b-cs/&gt;&lt;w:color w:val=&quot;000000&quot;/&gt;&lt;w:sz w:val=&quot;24&quot;/&gt;&lt;w:sz-cs w:val=&quot;24&quot;/&gt;&lt;/w:rPr&gt;&lt;m:t&gt;1&lt;/m:t&gt;&lt;/m:r&gt;&lt;/m:num&gt;&lt;m:den&gt;&lt;m:r&gt;&lt;m:rPr&gt;&lt;m:sty m:val=&quot;p&quot;/&gt;&lt;/m:rPr&gt;&lt;w:rPr&gt;&lt;w:rFonts w:ascii=&quot;Cambria Math&quot; w:fareast=&quot;宋体&quot; w:h-ansi=&quot;Cambria Math&quot;/&gt;&lt;wx:font wx:val=&quot;Cambria Math&quot;/&gt;&lt;w:b-cs/&gt;&lt;w:color w:val=&quot;000000&quot;/&gt;&lt;w:sz w:val=&quot;24&quot;/&gt;&lt;w:sz-cs w:val=&quot;24&quot;/&gt;&lt;/w:rPr&gt;&lt;m:t&gt;T&lt;/m:t&gt;&lt;/m:r&gt;&lt;/m:den&gt;&lt;/m:f&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1&lt;/m:t&gt;&lt;/m:r&gt;&lt;/m:sub&gt;&lt;m:sup&gt;&lt;m:r&gt;&lt;w:rPr&gt;&lt;w:rFonts w:ascii=&quot;Cambria Math&quot; w:fareast=&quot;宋体&quot; w:h-ansi=&quot;Cambria Math&quot;/&gt;&lt;wx:font wx:val=&quot;Cambria Math&quot;/&gt;&lt;w:b-cs/&gt;&lt;w:i/&gt;&lt;w:color w:val=&quot;000000&quot;/&gt;&lt;w:sz w:val=&quot;24&quot;/&gt;&lt;w:sz-cs w:val=&quot;24&quot;/&gt;&lt;/w:rPr&gt;&lt;m:t&gt;N&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i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i&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j=1&lt;/m:t&gt;&lt;/m:r&gt;&lt;/m:sub&gt;&lt;m:sup&gt;&lt;m:r&gt;&lt;w:rPr&gt;&lt;w:rFonts w:ascii=&quot;Cambria Math&quot; w:fareast=&quot;宋体&quot; w:h-ansi=&quot;Cambria Math&quot;/&gt;&lt;wx:font wx:val=&quot;Cambria Math&quot;/&gt;&lt;w:b-cs/&gt;&lt;w:i/&gt;&lt;w:color w:val=&quot;000000&quot;/&gt;&lt;w:sz w:val=&quot;24&quot;/&gt;&lt;w:sz-cs w:val=&quot;24&quot;/&gt;&lt;/w:rPr&gt;&lt;m:t&gt;M&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j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j&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3" chromakey="#FFFFFF" o:title=""/>
                  <o:lock v:ext="edit" aspectratio="t"/>
                  <w10:wrap type="none"/>
                  <w10:anchorlock/>
                </v:shape>
              </w:pict>
            </w:r>
            <w:r>
              <w:rPr>
                <w:rFonts w:hint="default" w:ascii="Times New Roman" w:hAnsi="Times New Roman" w:cs="Times New Roman"/>
                <w:bCs/>
                <w:color w:val="auto"/>
                <w:sz w:val="24"/>
              </w:rPr>
              <w:fldChar w:fldCharType="end"/>
            </w:r>
            <w:r>
              <w:rPr>
                <w:rFonts w:hint="default" w:ascii="Times New Roman" w:hAnsi="Times New Roman" w:cs="Times New Roman"/>
                <w:bCs/>
                <w:color w:val="auto"/>
                <w:sz w:val="24"/>
              </w:rPr>
              <w:t>（A.6）</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式中：</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bCs/>
                <w:color w:val="auto"/>
                <w:sz w:val="24"/>
              </w:rPr>
            </w:pPr>
            <w:r>
              <w:rPr>
                <w:rFonts w:hint="default" w:ascii="Times New Roman" w:hAnsi="Times New Roman" w:cs="Times New Roman"/>
                <w:color w:val="auto"/>
                <w:sz w:val="24"/>
              </w:rPr>
              <w:t>t</w:t>
            </w:r>
            <w:r>
              <w:rPr>
                <w:rFonts w:hint="default" w:ascii="Times New Roman" w:hAnsi="Times New Roman" w:cs="Times New Roman"/>
                <w:color w:val="auto"/>
                <w:sz w:val="24"/>
                <w:vertAlign w:val="subscript"/>
              </w:rPr>
              <w:t>j</w:t>
            </w:r>
            <w:r>
              <w:rPr>
                <w:rFonts w:hint="default" w:ascii="Times New Roman" w:hAnsi="Times New Roman" w:cs="Times New Roman"/>
                <w:color w:val="auto"/>
                <w:sz w:val="24"/>
              </w:rPr>
              <w:t>——在T时间内j声源工作时间，s；</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t</w:t>
            </w:r>
            <w:r>
              <w:rPr>
                <w:rFonts w:hint="default" w:ascii="Times New Roman" w:hAnsi="Times New Roman" w:cs="Times New Roman"/>
                <w:color w:val="auto"/>
                <w:sz w:val="24"/>
                <w:vertAlign w:val="subscript"/>
              </w:rPr>
              <w:t>i</w:t>
            </w:r>
            <w:r>
              <w:rPr>
                <w:rFonts w:hint="default" w:ascii="Times New Roman" w:hAnsi="Times New Roman" w:cs="Times New Roman"/>
                <w:color w:val="auto"/>
                <w:sz w:val="24"/>
              </w:rPr>
              <w:t>——在T时间内Ⅰ声源工作时间，s；</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T——用于计算等效声级的时间，s；</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N——室外声源个数；</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24"/>
              </w:rPr>
              <w:t>M——等效室外声源个数。</w:t>
            </w:r>
          </w:p>
          <w:p>
            <w:pPr>
              <w:keepNext w:val="0"/>
              <w:keepLines w:val="0"/>
              <w:pageBreakBefore w:val="0"/>
              <w:widowControl w:val="0"/>
              <w:kinsoku/>
              <w:wordWrap/>
              <w:overflowPunct/>
              <w:topLinePunct w:val="0"/>
              <w:autoSpaceDE/>
              <w:autoSpaceDN/>
              <w:bidi w:val="0"/>
              <w:snapToGrid w:val="0"/>
              <w:spacing w:line="360" w:lineRule="auto"/>
              <w:ind w:firstLine="354" w:firstLineChars="147"/>
              <w:textAlignment w:val="auto"/>
              <w:outlineLvl w:val="9"/>
              <w:rPr>
                <w:rFonts w:hint="default" w:ascii="Times New Roman" w:hAnsi="Times New Roman" w:cs="Times New Roman"/>
                <w:b w:val="0"/>
                <w:bCs/>
                <w:color w:val="auto"/>
                <w:sz w:val="24"/>
              </w:rPr>
            </w:pPr>
            <w:r>
              <w:rPr>
                <w:rFonts w:hint="default" w:ascii="Times New Roman" w:hAnsi="Times New Roman" w:cs="Times New Roman"/>
                <w:b/>
                <w:color w:val="auto"/>
                <w:sz w:val="24"/>
                <w:lang w:val="en-US" w:eastAsia="zh-CN"/>
              </w:rPr>
              <w:t xml:space="preserve"> </w:t>
            </w:r>
            <w:r>
              <w:rPr>
                <w:rFonts w:hint="default" w:ascii="Times New Roman" w:hAnsi="Times New Roman" w:cs="Times New Roman"/>
                <w:b w:val="0"/>
                <w:bCs/>
                <w:color w:val="auto"/>
                <w:sz w:val="24"/>
                <w:lang w:val="en-US" w:eastAsia="zh-CN"/>
              </w:rPr>
              <w:t xml:space="preserve"> </w:t>
            </w:r>
            <w:r>
              <w:rPr>
                <w:rFonts w:hint="eastAsia" w:ascii="Times New Roman" w:hAnsi="Times New Roman" w:cs="Times New Roman"/>
                <w:b w:val="0"/>
                <w:bCs/>
                <w:color w:val="auto"/>
                <w:sz w:val="24"/>
                <w:lang w:eastAsia="zh-CN"/>
              </w:rPr>
              <w:t>③</w:t>
            </w:r>
            <w:r>
              <w:rPr>
                <w:rFonts w:hint="eastAsia" w:ascii="Times New Roman" w:hAnsi="Times New Roman" w:cs="Times New Roman"/>
                <w:b w:val="0"/>
                <w:bCs/>
                <w:color w:val="auto"/>
                <w:sz w:val="24"/>
                <w:lang w:val="en-US" w:eastAsia="zh-CN"/>
              </w:rPr>
              <w:t>施工</w:t>
            </w:r>
            <w:r>
              <w:rPr>
                <w:rFonts w:hint="default" w:ascii="Times New Roman" w:hAnsi="Times New Roman" w:cs="Times New Roman"/>
                <w:b w:val="0"/>
                <w:bCs/>
                <w:color w:val="auto"/>
                <w:sz w:val="24"/>
              </w:rPr>
              <w:t>阶段噪声排放标准</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color w:val="auto"/>
                <w:sz w:val="10"/>
                <w:szCs w:val="10"/>
              </w:rPr>
            </w:pPr>
            <w:r>
              <w:rPr>
                <w:rFonts w:hint="default" w:ascii="Times New Roman" w:hAnsi="Times New Roman" w:cs="Times New Roman"/>
                <w:color w:val="auto"/>
                <w:sz w:val="24"/>
              </w:rPr>
              <w:t>本项目</w:t>
            </w:r>
            <w:r>
              <w:rPr>
                <w:rFonts w:hint="eastAsia" w:ascii="Times New Roman" w:hAnsi="Times New Roman" w:cs="Times New Roman"/>
                <w:color w:val="auto"/>
                <w:sz w:val="24"/>
                <w:lang w:val="en-US" w:eastAsia="zh-CN"/>
              </w:rPr>
              <w:t>施工</w:t>
            </w:r>
            <w:r>
              <w:rPr>
                <w:rFonts w:hint="default" w:ascii="Times New Roman" w:hAnsi="Times New Roman" w:cs="Times New Roman"/>
                <w:color w:val="auto"/>
                <w:sz w:val="24"/>
              </w:rPr>
              <w:t>阶段的噪声控制应符合《建筑施工场界环境噪声排放标准》(GB12523—2011)的要求，具体标准值如下表：</w:t>
            </w:r>
          </w:p>
          <w:p>
            <w:pPr>
              <w:keepNext w:val="0"/>
              <w:keepLines w:val="0"/>
              <w:pageBreakBefore w:val="0"/>
              <w:widowControl w:val="0"/>
              <w:kinsoku/>
              <w:wordWrap/>
              <w:overflowPunct/>
              <w:topLinePunct w:val="0"/>
              <w:autoSpaceDE/>
              <w:autoSpaceDN/>
              <w:bidi w:val="0"/>
              <w:adjustRightInd/>
              <w:snapToGrid/>
              <w:spacing w:line="360" w:lineRule="auto"/>
              <w:ind w:left="28" w:hanging="28"/>
              <w:jc w:val="center"/>
              <w:textAlignment w:val="auto"/>
              <w:outlineLvl w:val="9"/>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表7</w:t>
            </w:r>
            <w:r>
              <w:rPr>
                <w:rFonts w:hint="default" w:ascii="Times New Roman" w:hAnsi="Times New Roman"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rPr>
              <w:t xml:space="preserve">   建筑施工场界环境噪声排放标准一览表   （单位：dB(A)）</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640"/>
              <w:gridCol w:w="3377"/>
              <w:gridCol w:w="2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64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时段</w:t>
                  </w:r>
                </w:p>
              </w:tc>
              <w:tc>
                <w:tcPr>
                  <w:tcW w:w="337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昼间</w:t>
                  </w:r>
                </w:p>
              </w:tc>
              <w:tc>
                <w:tcPr>
                  <w:tcW w:w="282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夜间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64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标准值</w:t>
                  </w:r>
                </w:p>
              </w:tc>
              <w:tc>
                <w:tcPr>
                  <w:tcW w:w="337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70</w:t>
                  </w:r>
                </w:p>
              </w:tc>
              <w:tc>
                <w:tcPr>
                  <w:tcW w:w="282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r>
          </w:tbl>
          <w:p>
            <w:pPr>
              <w:snapToGrid w:val="0"/>
              <w:ind w:firstLine="630" w:firstLineChars="350"/>
              <w:rPr>
                <w:rFonts w:hint="default" w:ascii="Times New Roman" w:hAnsi="Times New Roman" w:cs="Times New Roman"/>
                <w:color w:val="auto"/>
                <w:sz w:val="18"/>
                <w:szCs w:val="18"/>
              </w:rPr>
            </w:pPr>
          </w:p>
          <w:p>
            <w:pPr>
              <w:snapToGrid w:val="0"/>
              <w:spacing w:line="360" w:lineRule="auto"/>
              <w:ind w:firstLine="470" w:firstLineChars="196"/>
              <w:rPr>
                <w:rFonts w:hint="default" w:ascii="Times New Roman" w:hAnsi="Times New Roman" w:cs="Times New Roman"/>
                <w:b w:val="0"/>
                <w:bCs/>
                <w:color w:val="auto"/>
                <w:sz w:val="24"/>
              </w:rPr>
            </w:pPr>
            <w:r>
              <w:rPr>
                <w:rFonts w:hint="eastAsia" w:ascii="Times New Roman" w:hAnsi="Times New Roman" w:cs="Times New Roman"/>
                <w:b w:val="0"/>
                <w:bCs/>
                <w:color w:val="auto"/>
                <w:sz w:val="24"/>
                <w:lang w:eastAsia="zh-CN"/>
              </w:rPr>
              <w:t>④</w:t>
            </w:r>
            <w:r>
              <w:rPr>
                <w:rFonts w:hint="eastAsia" w:ascii="Times New Roman" w:hAnsi="Times New Roman" w:cs="Times New Roman"/>
                <w:b w:val="0"/>
                <w:bCs/>
                <w:color w:val="auto"/>
                <w:sz w:val="24"/>
                <w:lang w:val="en-US" w:eastAsia="zh-CN"/>
              </w:rPr>
              <w:t>施工阶段</w:t>
            </w:r>
            <w:r>
              <w:rPr>
                <w:rFonts w:hint="default" w:ascii="Times New Roman" w:hAnsi="Times New Roman" w:cs="Times New Roman"/>
                <w:b w:val="0"/>
                <w:bCs/>
                <w:color w:val="auto"/>
                <w:sz w:val="24"/>
              </w:rPr>
              <w:t>声环境影响预测</w:t>
            </w:r>
          </w:p>
          <w:p>
            <w:pPr>
              <w:pStyle w:val="8"/>
              <w:spacing w:line="360" w:lineRule="auto"/>
              <w:ind w:firstLine="472"/>
              <w:rPr>
                <w:rFonts w:hint="eastAsia" w:ascii="Times New Roman" w:hAnsi="Times New Roman" w:eastAsia="宋体" w:cs="Times New Roman"/>
                <w:color w:val="auto"/>
                <w:spacing w:val="-2"/>
                <w:sz w:val="24"/>
                <w:szCs w:val="24"/>
                <w:lang w:eastAsia="zh-CN"/>
              </w:rPr>
            </w:pPr>
            <w:r>
              <w:rPr>
                <w:rFonts w:hint="eastAsia" w:ascii="Times New Roman" w:hAnsi="Times New Roman" w:cs="Times New Roman"/>
                <w:color w:val="auto"/>
                <w:spacing w:val="-2"/>
                <w:sz w:val="24"/>
                <w:szCs w:val="24"/>
                <w:lang w:val="en-US" w:eastAsia="zh-CN"/>
              </w:rPr>
              <w:t>施工期</w:t>
            </w:r>
            <w:r>
              <w:rPr>
                <w:rFonts w:hint="default" w:ascii="Times New Roman" w:hAnsi="Times New Roman" w:cs="Times New Roman"/>
                <w:color w:val="auto"/>
                <w:spacing w:val="-2"/>
                <w:sz w:val="24"/>
                <w:szCs w:val="24"/>
              </w:rPr>
              <w:t>间，不同施工阶使用的施工机械的组合形式是不同的。以多台机械同时</w:t>
            </w:r>
            <w:r>
              <w:rPr>
                <w:rFonts w:hint="eastAsia" w:ascii="Times New Roman" w:hAnsi="Times New Roman" w:cs="Times New Roman"/>
                <w:color w:val="auto"/>
                <w:spacing w:val="-2"/>
                <w:sz w:val="24"/>
                <w:szCs w:val="24"/>
                <w:lang w:val="en-US" w:eastAsia="zh-CN"/>
              </w:rPr>
              <w:t>施工组合考虑，不同距离处的噪声预测结果见下表。</w:t>
            </w:r>
          </w:p>
          <w:p>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outlineLvl w:val="9"/>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7-</w:t>
            </w:r>
            <w:r>
              <w:rPr>
                <w:rFonts w:hint="eastAsia"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rPr>
              <w:t xml:space="preserve">   </w:t>
            </w:r>
            <w:r>
              <w:rPr>
                <w:rFonts w:hint="eastAsia" w:ascii="Times New Roman" w:hAnsi="Times New Roman" w:cs="Times New Roman"/>
                <w:b/>
                <w:bCs/>
                <w:color w:val="auto"/>
                <w:sz w:val="24"/>
                <w:szCs w:val="24"/>
                <w:lang w:val="en-US" w:eastAsia="zh-CN"/>
              </w:rPr>
              <w:t>施工阶段</w:t>
            </w:r>
            <w:r>
              <w:rPr>
                <w:rFonts w:hint="default" w:ascii="Times New Roman" w:hAnsi="Times New Roman" w:cs="Times New Roman"/>
                <w:b/>
                <w:bCs/>
                <w:color w:val="auto"/>
                <w:sz w:val="24"/>
                <w:szCs w:val="24"/>
              </w:rPr>
              <w:t>噪声预测结果一览表   （单位：dB(A)）</w:t>
            </w:r>
          </w:p>
          <w:tbl>
            <w:tblPr>
              <w:tblStyle w:val="32"/>
              <w:tblW w:w="884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919"/>
              <w:gridCol w:w="3107"/>
              <w:gridCol w:w="38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0" w:hRule="atLeast"/>
                <w:jc w:val="center"/>
              </w:trPr>
              <w:tc>
                <w:tcPr>
                  <w:tcW w:w="1919" w:type="dxa"/>
                  <w:vMerge w:val="restart"/>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施工阶段</w:t>
                  </w:r>
                </w:p>
              </w:tc>
              <w:tc>
                <w:tcPr>
                  <w:tcW w:w="3107" w:type="dxa"/>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距离施工点距离</w:t>
                  </w:r>
                </w:p>
                <w:p>
                  <w:pPr>
                    <w:spacing w:line="320" w:lineRule="exact"/>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m</w:t>
                  </w:r>
                  <w:r>
                    <w:rPr>
                      <w:rFonts w:hint="eastAsia" w:ascii="Times New Roman" w:hAnsi="Times New Roman" w:cs="Times New Roman"/>
                      <w:color w:val="auto"/>
                      <w:lang w:eastAsia="zh-CN"/>
                    </w:rPr>
                    <w:t>）</w:t>
                  </w:r>
                </w:p>
              </w:tc>
              <w:tc>
                <w:tcPr>
                  <w:tcW w:w="3818" w:type="dxa"/>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restart"/>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多台施工机械同时作业组合</w:t>
                  </w: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82.59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77.25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40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71.91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68.71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66.48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100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64.79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150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61.68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200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59.45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300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56.34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restart"/>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标准</w:t>
                  </w:r>
                </w:p>
              </w:tc>
              <w:tc>
                <w:tcPr>
                  <w:tcW w:w="3107" w:type="dxa"/>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昼间</w:t>
                  </w:r>
                </w:p>
              </w:tc>
              <w:tc>
                <w:tcPr>
                  <w:tcW w:w="3818"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夜间</w:t>
                  </w:r>
                </w:p>
              </w:tc>
              <w:tc>
                <w:tcPr>
                  <w:tcW w:w="3818"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55</w:t>
                  </w:r>
                </w:p>
              </w:tc>
            </w:tr>
          </w:tbl>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⑤预测结果分析</w:t>
            </w: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根据上述预测结果，可知施工噪声将对沿线声环境质量产生一定的影响，具体表现如下：从上表结果可知，在没有隔声设施的情况下，单台机械施工时，昼间离噪声源60米左右噪声大约为66.4-75.4dB（A）左右。由此可见在多台机械作业时在场地外围20-150米范围内的人员将受到一定的噪声影响。</w:t>
            </w: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⑥对敏感点影响分析</w:t>
            </w: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根据预测结果可知，单台（类）施工机械在距离约100米外基本可以达到《建筑施工场界环境噪声排放标准》（GB12523-2011）标准，夜间在350米外某些机械噪声设备还超出评价标准。尤其在施工现场，往往是多种施工机械共同作业，因此，施工现场的噪声是各种不同施工机械辐射噪声以及进出现场的各种车辆辐射噪声共同作用的结果，其昼间噪声距离要大于150米、夜间300米的距离。根据预测，多台机械一起工作时产生的噪声在150米处可达</w:t>
            </w:r>
            <w:r>
              <w:rPr>
                <w:rFonts w:hint="eastAsia" w:ascii="Times New Roman" w:hAnsi="Times New Roman" w:cs="Times New Roman"/>
                <w:color w:val="auto"/>
                <w:spacing w:val="-2"/>
                <w:sz w:val="24"/>
                <w:szCs w:val="24"/>
                <w:lang w:val="en-US" w:eastAsia="zh-CN"/>
              </w:rPr>
              <w:t>61.68</w:t>
            </w:r>
            <w:r>
              <w:rPr>
                <w:rFonts w:hint="default" w:ascii="Times New Roman" w:hAnsi="Times New Roman" w:cs="Times New Roman"/>
                <w:color w:val="auto"/>
                <w:spacing w:val="-2"/>
                <w:sz w:val="24"/>
                <w:szCs w:val="24"/>
              </w:rPr>
              <w:t>dB（A）左右，300米处衰减为</w:t>
            </w:r>
            <w:r>
              <w:rPr>
                <w:rFonts w:hint="eastAsia" w:ascii="Times New Roman" w:hAnsi="Times New Roman" w:cs="Times New Roman"/>
                <w:color w:val="auto"/>
                <w:spacing w:val="-2"/>
                <w:sz w:val="24"/>
                <w:szCs w:val="24"/>
                <w:lang w:val="en-US" w:eastAsia="zh-CN"/>
              </w:rPr>
              <w:t>56.34</w:t>
            </w:r>
            <w:r>
              <w:rPr>
                <w:rFonts w:hint="default" w:ascii="Times New Roman" w:hAnsi="Times New Roman" w:cs="Times New Roman"/>
                <w:color w:val="auto"/>
                <w:spacing w:val="-2"/>
                <w:sz w:val="24"/>
                <w:szCs w:val="24"/>
              </w:rPr>
              <w:t>dB（A）左右。项目施工开始后，距离项目最近的敏感点如下，不满足噪声标准要求，应加强噪声防护措施。</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施工期</w:t>
            </w:r>
            <w:r>
              <w:rPr>
                <w:rFonts w:hint="default" w:ascii="Times New Roman" w:hAnsi="Times New Roman" w:cs="Times New Roman"/>
                <w:color w:val="auto"/>
                <w:sz w:val="24"/>
                <w:szCs w:val="22"/>
                <w:lang w:val="zh-CN"/>
              </w:rPr>
              <w:t>的施工噪声是最主要的噪声源之一，噪声对项目区周边环境有着较大的影响。根据目前的机械制造水平，</w:t>
            </w:r>
            <w:r>
              <w:rPr>
                <w:rFonts w:hint="eastAsia" w:ascii="Times New Roman" w:hAnsi="Times New Roman" w:cs="Times New Roman"/>
                <w:color w:val="auto"/>
                <w:sz w:val="24"/>
                <w:szCs w:val="22"/>
                <w:lang w:val="en-US" w:eastAsia="zh-CN"/>
              </w:rPr>
              <w:t>施工期</w:t>
            </w:r>
            <w:r>
              <w:rPr>
                <w:rFonts w:hint="default" w:ascii="Times New Roman" w:hAnsi="Times New Roman" w:cs="Times New Roman"/>
                <w:color w:val="auto"/>
                <w:sz w:val="24"/>
                <w:szCs w:val="22"/>
                <w:lang w:val="zh-CN"/>
              </w:rPr>
              <w:t>噪声影响即不可避免，又不能从根本上采取噪声控制措施予以消除，只能通过加强施工产噪设备的管理，以减轻施工噪声对周围环境的影响。</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根据国家、省市的相关噪声污染控制法律法规的规定，由于本项目</w:t>
            </w:r>
            <w:r>
              <w:rPr>
                <w:rFonts w:hint="eastAsia" w:ascii="Times New Roman" w:hAnsi="Times New Roman" w:cs="Times New Roman"/>
                <w:color w:val="auto"/>
                <w:sz w:val="24"/>
                <w:szCs w:val="22"/>
                <w:lang w:val="en-US" w:eastAsia="zh-CN"/>
              </w:rPr>
              <w:t>道路</w:t>
            </w:r>
            <w:r>
              <w:rPr>
                <w:rFonts w:hint="default" w:ascii="Times New Roman" w:hAnsi="Times New Roman" w:cs="Times New Roman"/>
                <w:color w:val="auto"/>
                <w:sz w:val="24"/>
                <w:szCs w:val="22"/>
                <w:lang w:val="en-US" w:eastAsia="zh-CN"/>
              </w:rPr>
              <w:t>施工</w:t>
            </w:r>
            <w:r>
              <w:rPr>
                <w:rFonts w:hint="eastAsia" w:ascii="Times New Roman" w:hAnsi="Times New Roman" w:cs="Times New Roman"/>
                <w:color w:val="auto"/>
                <w:sz w:val="24"/>
                <w:szCs w:val="22"/>
                <w:lang w:val="en-US" w:eastAsia="zh-CN"/>
              </w:rPr>
              <w:t>距离敏感点较近</w:t>
            </w:r>
            <w:r>
              <w:rPr>
                <w:rFonts w:hint="default" w:ascii="Times New Roman" w:hAnsi="Times New Roman" w:cs="Times New Roman"/>
                <w:color w:val="auto"/>
                <w:sz w:val="24"/>
                <w:szCs w:val="22"/>
                <w:lang w:val="zh-CN"/>
              </w:rPr>
              <w:t>，因此</w:t>
            </w:r>
            <w:r>
              <w:rPr>
                <w:rFonts w:hint="default" w:ascii="Times New Roman" w:hAnsi="Times New Roman" w:cs="Times New Roman"/>
                <w:color w:val="auto"/>
                <w:sz w:val="24"/>
                <w:szCs w:val="22"/>
                <w:lang w:val="en-US" w:eastAsia="zh-CN"/>
              </w:rPr>
              <w:t>本项目</w:t>
            </w:r>
            <w:r>
              <w:rPr>
                <w:rFonts w:hint="default" w:ascii="Times New Roman" w:hAnsi="Times New Roman" w:cs="Times New Roman"/>
                <w:color w:val="auto"/>
                <w:sz w:val="24"/>
                <w:szCs w:val="22"/>
                <w:lang w:val="zh-CN"/>
              </w:rPr>
              <w:t>在建设期间向周围排放噪声必须按照《中华人民共和国环境噪声污染防治法》规定，严格按照《建筑施工场界环境噪声排放标准》（GB12523-2011）进行控制，夜间严禁施工。</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为了尽量减少因本项目施工而给</w:t>
            </w:r>
            <w:r>
              <w:rPr>
                <w:rFonts w:hint="eastAsia" w:ascii="Times New Roman" w:hAnsi="Times New Roman" w:cs="Times New Roman"/>
                <w:color w:val="auto"/>
                <w:sz w:val="24"/>
                <w:szCs w:val="22"/>
                <w:lang w:val="en-US" w:eastAsia="zh-CN"/>
              </w:rPr>
              <w:t>周围居民</w:t>
            </w:r>
            <w:r>
              <w:rPr>
                <w:rFonts w:hint="default" w:ascii="Times New Roman" w:hAnsi="Times New Roman" w:cs="Times New Roman"/>
                <w:color w:val="auto"/>
                <w:sz w:val="24"/>
                <w:szCs w:val="22"/>
                <w:lang w:val="zh-CN"/>
              </w:rPr>
              <w:t>生活休息等活动带来的不利影响，建设单位应采取以下控制措施：</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1）</w:t>
            </w:r>
            <w:r>
              <w:rPr>
                <w:rFonts w:hint="default" w:ascii="Times New Roman" w:hAnsi="Times New Roman" w:cs="Times New Roman"/>
                <w:color w:val="auto"/>
                <w:sz w:val="24"/>
                <w:szCs w:val="22"/>
                <w:lang w:val="zh-CN"/>
              </w:rPr>
              <w:t>选用低噪声设备，加强设备的维护与管理；施工现场合理布局，尽可能将施工机械布置在地块的中央，以避免局部声级过高，一般除抢修、抢险作业外，不得在夜间进行噪声污染的施工作业。禁止在夜间（22:00～6:00）和午间（12:00～14:00）进行施工，确因特殊需要必须连续作业的，必须有县级以上人民政府或者其有关主管部门的证明，并由建设单位公告当地居民。</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2）</w:t>
            </w:r>
            <w:r>
              <w:rPr>
                <w:rFonts w:hint="default" w:ascii="Times New Roman" w:hAnsi="Times New Roman" w:cs="Times New Roman"/>
                <w:color w:val="auto"/>
                <w:sz w:val="24"/>
                <w:szCs w:val="22"/>
                <w:lang w:val="zh-CN"/>
              </w:rPr>
              <w:t>向周围环境排放建筑施工噪声超过建筑施工场界噪声限值的，确因技术条件所限，不能通过治理消除环境噪声污染的，必须采取有效措施，把噪声污染降至最低。并在敏感点醒目位置张贴公告，表达对被影响居民的歉意，已取得周边居民的谅解。</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3）</w:t>
            </w:r>
            <w:r>
              <w:rPr>
                <w:rFonts w:hint="default" w:ascii="Times New Roman" w:hAnsi="Times New Roman" w:cs="Times New Roman"/>
                <w:color w:val="auto"/>
                <w:sz w:val="24"/>
                <w:szCs w:val="22"/>
                <w:lang w:val="zh-CN"/>
              </w:rPr>
              <w:t>施工噪声主要来自各类施工机械在运行过程中的噪声。因此，改进施工机械和施工方法是减少噪声的有效方法。施工机械进场应得到环保部门的批准，对环境噪声污染严重的落后施工机械和施工方式实行淘汰制度。采用低噪声的压缩机、挖土机等施工设备和施工方法；施工中应采用低噪声新技术，如改变垂直振打为螺旋、静压、喷注式打桩机新技术。</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4）</w:t>
            </w:r>
            <w:r>
              <w:rPr>
                <w:rFonts w:hint="default" w:ascii="Times New Roman" w:hAnsi="Times New Roman" w:cs="Times New Roman"/>
                <w:color w:val="auto"/>
                <w:sz w:val="24"/>
                <w:szCs w:val="22"/>
                <w:lang w:val="zh-CN"/>
              </w:rPr>
              <w:t>施工单位应严格控制高噪声机械设备的使用，降低设备声级，建立</w:t>
            </w:r>
            <w:r>
              <w:rPr>
                <w:rFonts w:hint="eastAsia" w:ascii="Times New Roman" w:hAnsi="Times New Roman" w:cs="Times New Roman"/>
                <w:color w:val="auto"/>
                <w:sz w:val="24"/>
                <w:szCs w:val="22"/>
                <w:lang w:val="en-US" w:eastAsia="zh-CN"/>
              </w:rPr>
              <w:t>不低于2米高的</w:t>
            </w:r>
            <w:r>
              <w:rPr>
                <w:rFonts w:hint="default" w:ascii="Times New Roman" w:hAnsi="Times New Roman" w:cs="Times New Roman"/>
                <w:color w:val="auto"/>
                <w:sz w:val="24"/>
                <w:szCs w:val="22"/>
                <w:lang w:val="zh-CN"/>
              </w:rPr>
              <w:t>临时声障减小噪声污染；高噪音设备应远离敏感区一侧并对设备定期保养、严格操作规范且尽可能采取隔音、减震、消声等措施；对于相对固定的声源，如压缩机、挖土的发动机等，采用消声屏障可以使噪声强度降低</w:t>
            </w:r>
            <w:r>
              <w:rPr>
                <w:rFonts w:hint="eastAsia" w:ascii="Times New Roman" w:hAnsi="Times New Roman" w:cs="Times New Roman"/>
                <w:color w:val="auto"/>
                <w:sz w:val="24"/>
                <w:szCs w:val="22"/>
                <w:lang w:val="en-US" w:eastAsia="zh-CN"/>
              </w:rPr>
              <w:t>2</w:t>
            </w:r>
            <w:r>
              <w:rPr>
                <w:rFonts w:hint="default" w:ascii="Times New Roman" w:hAnsi="Times New Roman" w:cs="Times New Roman"/>
                <w:color w:val="auto"/>
                <w:sz w:val="24"/>
                <w:szCs w:val="22"/>
                <w:lang w:val="zh-CN"/>
              </w:rPr>
              <w:t>0dB(A)以上。</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5）</w:t>
            </w:r>
            <w:r>
              <w:rPr>
                <w:rFonts w:hint="default" w:ascii="Times New Roman" w:hAnsi="Times New Roman" w:cs="Times New Roman"/>
                <w:color w:val="auto"/>
                <w:sz w:val="24"/>
                <w:szCs w:val="22"/>
                <w:lang w:val="zh-CN"/>
              </w:rPr>
              <w:t>采用商品混凝土，这样可以大大减少扬尘及降低搅拌、破碎物料噪声；建筑构件尽可能在合适的场所预制好再运到现场安装，混凝土搅拌场所及运输通道，并尽可能远离居民点；对施工车辆的运行线路，应尽量避开噪声敏感区域。</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6）</w:t>
            </w:r>
            <w:r>
              <w:rPr>
                <w:rFonts w:hint="default" w:ascii="Times New Roman" w:hAnsi="Times New Roman" w:cs="Times New Roman"/>
                <w:color w:val="auto"/>
                <w:sz w:val="24"/>
                <w:szCs w:val="22"/>
                <w:lang w:val="zh-CN"/>
              </w:rPr>
              <w:t>同时应严格执行《建筑施工场界环境噪声排放标准》（GB12523-2011）和有关建筑施工噪声管理的规定，避免施工扰民事件的发生。要求业主单位在施工现场标明投诉电话，一旦接到投诉，业主单位应及时与当地环保部门取得联系，以便及时处理环境纠纷。</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7）</w:t>
            </w:r>
            <w:r>
              <w:rPr>
                <w:rFonts w:hint="default" w:ascii="Times New Roman" w:hAnsi="Times New Roman" w:cs="Times New Roman"/>
                <w:color w:val="auto"/>
                <w:sz w:val="24"/>
                <w:szCs w:val="22"/>
                <w:lang w:val="zh-CN"/>
              </w:rPr>
              <w:t>施工机械产生的噪声往往具有突发、无规则、不连续和高强度等特点，施工单位应采取合理安排施工机械操作时间的方法加以缓解，并减少同时作业的高噪施工机械数量，尽可能减轻声源叠加影响。</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8）</w:t>
            </w:r>
            <w:r>
              <w:rPr>
                <w:rFonts w:hint="default" w:ascii="Times New Roman" w:hAnsi="Times New Roman" w:cs="Times New Roman"/>
                <w:color w:val="auto"/>
                <w:sz w:val="24"/>
                <w:szCs w:val="22"/>
                <w:lang w:val="zh-CN"/>
              </w:rPr>
              <w:t>对于施工期间的材料运输、敲击、人的喊叫等噪声源，要求施工单位文明施工、加强有效管理以缓解其影响。</w:t>
            </w:r>
          </w:p>
          <w:p>
            <w:pPr>
              <w:spacing w:line="360" w:lineRule="auto"/>
              <w:ind w:firstLine="480" w:firstLineChars="200"/>
              <w:rPr>
                <w:rFonts w:ascii="Times New Roman" w:hAnsi="Times New Roman"/>
                <w:color w:val="000000"/>
                <w:sz w:val="36"/>
                <w:szCs w:val="36"/>
                <w:highlight w:val="none"/>
              </w:rPr>
            </w:pPr>
            <w:r>
              <w:rPr>
                <w:rFonts w:hint="eastAsia" w:ascii="Times New Roman" w:hAnsi="Times New Roman"/>
                <w:bCs/>
                <w:color w:val="000000"/>
                <w:sz w:val="24"/>
                <w:lang w:val="en-US" w:eastAsia="zh-CN"/>
              </w:rPr>
              <w:t>4、施工期</w:t>
            </w:r>
            <w:r>
              <w:rPr>
                <w:rFonts w:ascii="Times New Roman" w:hAnsi="Times New Roman"/>
                <w:color w:val="000000"/>
                <w:sz w:val="24"/>
                <w:szCs w:val="24"/>
                <w:highlight w:val="none"/>
              </w:rPr>
              <w:t>固体废物影响分析</w:t>
            </w:r>
          </w:p>
          <w:p>
            <w:pPr>
              <w:spacing w:line="360" w:lineRule="auto"/>
              <w:ind w:firstLine="480" w:firstLineChars="200"/>
              <w:rPr>
                <w:rFonts w:hint="default"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 xml:space="preserve"> （1）站场固废</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站场施工固废来源于场地建筑施工、焊接施工时产生的建筑垃圾和焊接废料以及场地开挖后产生的临时性堆土。这些固废如不妥善处置，随意堆放将会对环境产生影响。环评要求施工废料有回收价值的收集后集中回收处理，没有回收利用价值的垃圾，依托当地环卫部门有偿清运，按相关规定进行妥善处置。对于站场及阀室施工的临时性堆土，环评要求就近在洼地堆放，且按照水土保持的相关要求，防止造成新的水土流失。</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在采取以上措施后，站场工程施工固体废物对环境的影响较小。</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（2）管线工程</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管线施工固体废物主要来源于工程临时堆土和施工废料等。</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①废弃泥浆</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项目施工过程中泥浆可重复利用，根据项目设计资料，产生的泥浆进行统一收集至泥浆池，进行沉淀，上清液沉淀后回用于项目施工洒水，沉淀后的泥浆加入药剂调节pH值后干化，调运回填于管线覆土，运输时应做好车辆遮盖，避免弃渣洒落交通沿线，造成二次污染。</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本项目定向钻施工的入土点和出土点均选在河堤外侧，并便于施工的场地。穿越点周边主要为农田和荒草地，禁止将废弃泥浆设置在农田用地内，由于废弃泥浆量干重很少，且属于一般工业固体废物，因此对土壤环境的影响较小，对施工地点的局部环境不会产生明显的不利影响，因此，废弃泥浆池对环境影响也不大。</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为减少本项目固体废弃物的产生，减轻固体废物的排放对周围环境的影响，施工过程中应对废弃泥浆的使用、处置处理进行全过程的管理和控制，具体措施如下：</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1）施工现场设置专门的配浆区，在专用的泥浆搅拌、配置槽内进行泥浆配制工作，配制好的泥浆储存在金属结构的泥浆槽内，不得向环境中溢流。</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2）施工前需在两岸出入土点附近分别挖好泥浆池。泥浆池的位置应选择出入土点较近处，并且适合永久储存泥浆，尽量少占用养殖区、耕地等。每个泥浆池的表层土单独堆放，用于恢复原有地貌。</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3）施工期间，从钻孔返回的泥浆过滤出钻屑和杂质后，尽可能重复利用，减少废弃泥浆的产生量。</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4）施工期间严格操作规程，合理制定操作参数，防止施工过程出现跑浆等事故。</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5）在施工结束后将废弃泥浆清运，送至当地生态环境主管部门规定的地点进行填埋处置，同时利用泥浆池的表层土恢复泥浆池的地表原貌。</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②施工废料</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施工废料主要包括焊接作业中产生的废焊条，本项目施工废料全部得到有效的处理和处置，对周边环境的影响较小。环评要求对于施工产生的废弃焊头、废零头，不得直接丢弃，应在每个焊接作业点配备铁桶或纸箱，废弃物直接放入容器中，施工结束后集中回收处置。施工过程产生的废包装物等，应及时收集，可再生利用的进行回收利用；其它无回收利用价值的垃圾，依托当地环卫部门有偿清运，按相关规定进行妥善处置。按照环评的要求进行，对施工场地周边的环境影响较小。</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（3）施工弃渣</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本项目站场实现土石方平衡，不需要设置弃渣场；管道工程施工区的土方基本用于自身回填。总体来看，整个工程施工产生的弃土，均进行合理规划、调配，尽量做到合理利用，土石方量可通过自身平衡，不需设置弃渣场。</w:t>
            </w:r>
          </w:p>
          <w:p>
            <w:pPr>
              <w:spacing w:line="360" w:lineRule="auto"/>
              <w:ind w:firstLine="480" w:firstLineChars="200"/>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另外，管线施工时还将产生临时性堆土。环评要求临时堆土暂时堆存在洼地，禁止排入河道。在采取以上措施后，临时堆土对环境的影响较小。</w:t>
            </w:r>
          </w:p>
          <w:p>
            <w:pPr>
              <w:spacing w:line="360" w:lineRule="auto"/>
              <w:ind w:firstLine="480" w:firstLineChars="200"/>
              <w:rPr>
                <w:rFonts w:hint="default"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5、施工期生态环境影响分析</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（1）生态影响分析</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管道工程作为非污染生态类建设项目，其对环境的影响主要来自施工期，施工期的环境影响主要是生态环境影响，主要为管线施工对半自然生态系统的影响、对沿线生物多样性的影响、对沿线水土流失影响等。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①对生态系统的影响</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rPr>
              <w:t>项目施工区的生态类型简单</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植物以灌木丛、自然草丛为主</w:t>
            </w:r>
            <w:r>
              <w:rPr>
                <w:rFonts w:hint="eastAsia" w:ascii="Times New Roman" w:hAnsi="Times New Roman" w:cs="Times New Roman"/>
                <w:color w:val="auto"/>
                <w:sz w:val="24"/>
                <w:szCs w:val="22"/>
                <w:lang w:eastAsia="zh-CN"/>
              </w:rPr>
              <w:t>，属于草地生态系统，</w:t>
            </w:r>
            <w:r>
              <w:rPr>
                <w:rFonts w:hint="eastAsia" w:ascii="Times New Roman" w:hAnsi="Times New Roman" w:cs="Times New Roman"/>
                <w:color w:val="auto"/>
                <w:sz w:val="24"/>
                <w:szCs w:val="22"/>
                <w:lang w:val="en-US" w:eastAsia="zh-CN"/>
              </w:rPr>
              <w:t>本</w:t>
            </w:r>
            <w:r>
              <w:rPr>
                <w:rFonts w:hint="eastAsia" w:ascii="Times New Roman" w:hAnsi="Times New Roman" w:cs="Times New Roman"/>
                <w:color w:val="auto"/>
                <w:sz w:val="24"/>
                <w:szCs w:val="22"/>
                <w:lang w:eastAsia="zh-CN"/>
              </w:rPr>
              <w:t>项目占地面积</w:t>
            </w:r>
            <w:r>
              <w:rPr>
                <w:rFonts w:hint="eastAsia" w:ascii="Times New Roman" w:hAnsi="Times New Roman" w:cs="Times New Roman"/>
                <w:color w:val="auto"/>
                <w:sz w:val="24"/>
                <w:szCs w:val="22"/>
                <w:lang w:val="en-US" w:eastAsia="zh-CN"/>
              </w:rPr>
              <w:t>10457m</w:t>
            </w:r>
            <w:r>
              <w:rPr>
                <w:rFonts w:hint="eastAsia" w:ascii="Times New Roman" w:hAnsi="Times New Roman" w:cs="Times New Roman"/>
                <w:color w:val="auto"/>
                <w:sz w:val="24"/>
                <w:szCs w:val="22"/>
                <w:vertAlign w:val="superscript"/>
                <w:lang w:val="en-US" w:eastAsia="zh-CN"/>
              </w:rPr>
              <w:t>2</w:t>
            </w:r>
            <w:r>
              <w:rPr>
                <w:rFonts w:hint="eastAsia" w:ascii="Times New Roman" w:hAnsi="Times New Roman" w:cs="Times New Roman"/>
                <w:color w:val="auto"/>
                <w:sz w:val="24"/>
                <w:szCs w:val="22"/>
                <w:lang w:val="en-US" w:eastAsia="zh-CN"/>
              </w:rPr>
              <w:t>，该项目对生态系统的影响主要来源于施工期出入土点原始土层的破坏，以及占地作业时对植物的碾压。为减少施工作业生态系统的影响，出入土点的开挖应严格按照分层开挖，分层堆放，占地作业时尽量选择在地表植被较少的地方，工程结束后及时恢复植被情况，减少对生态系统的影响。</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rPr>
              <w:t>输气管道采取埋地</w:t>
            </w:r>
            <w:r>
              <w:rPr>
                <w:rFonts w:hint="eastAsia" w:ascii="Times New Roman" w:hAnsi="Times New Roman" w:cs="Times New Roman"/>
                <w:color w:val="auto"/>
                <w:sz w:val="24"/>
                <w:szCs w:val="22"/>
                <w:lang w:eastAsia="zh-CN"/>
              </w:rPr>
              <w:t>敷</w:t>
            </w:r>
            <w:r>
              <w:rPr>
                <w:rFonts w:hint="eastAsia" w:ascii="Times New Roman" w:hAnsi="Times New Roman" w:cs="Times New Roman"/>
                <w:color w:val="auto"/>
                <w:sz w:val="24"/>
                <w:szCs w:val="22"/>
              </w:rPr>
              <w:t>设的方式，施</w:t>
            </w:r>
            <w:r>
              <w:rPr>
                <w:rFonts w:hint="eastAsia" w:ascii="Times New Roman" w:hAnsi="Times New Roman" w:cs="Times New Roman"/>
                <w:color w:val="auto"/>
                <w:sz w:val="24"/>
                <w:szCs w:val="22"/>
                <w:lang w:eastAsia="zh-CN"/>
              </w:rPr>
              <w:t>工</w:t>
            </w:r>
            <w:r>
              <w:rPr>
                <w:rFonts w:hint="eastAsia" w:ascii="Times New Roman" w:hAnsi="Times New Roman" w:cs="Times New Roman"/>
                <w:color w:val="auto"/>
                <w:sz w:val="24"/>
                <w:szCs w:val="22"/>
              </w:rPr>
              <w:t>期间管沟开挖及填埋、机械及车辆作业</w:t>
            </w:r>
            <w:r>
              <w:rPr>
                <w:rFonts w:hint="eastAsia" w:ascii="Times New Roman" w:hAnsi="Times New Roman" w:cs="Times New Roman"/>
                <w:color w:val="auto"/>
                <w:sz w:val="24"/>
                <w:szCs w:val="22"/>
                <w:lang w:eastAsia="zh-CN"/>
              </w:rPr>
              <w:t>的</w:t>
            </w:r>
            <w:r>
              <w:rPr>
                <w:rFonts w:hint="eastAsia" w:ascii="Times New Roman" w:hAnsi="Times New Roman" w:cs="Times New Roman"/>
                <w:color w:val="auto"/>
                <w:sz w:val="24"/>
                <w:szCs w:val="22"/>
              </w:rPr>
              <w:t>活动将不可避免地清除或破坏施</w:t>
            </w:r>
            <w:r>
              <w:rPr>
                <w:rFonts w:hint="eastAsia" w:ascii="Times New Roman" w:hAnsi="Times New Roman" w:cs="Times New Roman"/>
                <w:color w:val="auto"/>
                <w:sz w:val="24"/>
                <w:szCs w:val="22"/>
                <w:lang w:eastAsia="zh-CN"/>
              </w:rPr>
              <w:t>工</w:t>
            </w:r>
            <w:r>
              <w:rPr>
                <w:rFonts w:hint="eastAsia" w:ascii="Times New Roman" w:hAnsi="Times New Roman" w:cs="Times New Roman"/>
                <w:color w:val="auto"/>
                <w:sz w:val="24"/>
                <w:szCs w:val="22"/>
              </w:rPr>
              <w:t>作业带内的</w:t>
            </w:r>
            <w:r>
              <w:rPr>
                <w:rFonts w:hint="eastAsia" w:ascii="Times New Roman" w:hAnsi="Times New Roman" w:cs="Times New Roman"/>
                <w:color w:val="auto"/>
                <w:sz w:val="24"/>
                <w:szCs w:val="22"/>
                <w:lang w:eastAsia="zh-CN"/>
              </w:rPr>
              <w:t>植被</w:t>
            </w:r>
            <w:r>
              <w:rPr>
                <w:rFonts w:hint="eastAsia" w:ascii="Times New Roman" w:hAnsi="Times New Roman" w:cs="Times New Roman"/>
                <w:color w:val="auto"/>
                <w:sz w:val="24"/>
                <w:szCs w:val="22"/>
              </w:rPr>
              <w:t>。在施工作业过程中，施工</w:t>
            </w:r>
            <w:r>
              <w:rPr>
                <w:rFonts w:hint="eastAsia" w:ascii="Times New Roman" w:hAnsi="Times New Roman" w:cs="Times New Roman"/>
                <w:color w:val="auto"/>
                <w:sz w:val="24"/>
                <w:szCs w:val="22"/>
                <w:lang w:eastAsia="zh-CN"/>
              </w:rPr>
              <w:t>区</w:t>
            </w:r>
            <w:r>
              <w:rPr>
                <w:rFonts w:hint="eastAsia" w:ascii="Times New Roman" w:hAnsi="Times New Roman" w:cs="Times New Roman"/>
                <w:color w:val="auto"/>
                <w:sz w:val="24"/>
                <w:szCs w:val="22"/>
              </w:rPr>
              <w:t>域会出现扬尘、施工机械车辆尾气排放、施工作</w:t>
            </w:r>
            <w:r>
              <w:rPr>
                <w:rFonts w:hint="eastAsia" w:ascii="Times New Roman" w:hAnsi="Times New Roman" w:cs="Times New Roman"/>
                <w:color w:val="auto"/>
                <w:sz w:val="24"/>
                <w:szCs w:val="22"/>
                <w:lang w:eastAsia="zh-CN"/>
              </w:rPr>
              <w:t>业</w:t>
            </w:r>
            <w:r>
              <w:rPr>
                <w:rFonts w:hint="eastAsia" w:ascii="Times New Roman" w:hAnsi="Times New Roman" w:cs="Times New Roman"/>
                <w:color w:val="auto"/>
                <w:sz w:val="24"/>
                <w:szCs w:val="22"/>
              </w:rPr>
              <w:t>废水排放等</w:t>
            </w:r>
            <w:r>
              <w:rPr>
                <w:rFonts w:hint="eastAsia" w:ascii="Times New Roman" w:hAnsi="Times New Roman" w:cs="Times New Roman"/>
                <w:color w:val="auto"/>
                <w:sz w:val="24"/>
                <w:szCs w:val="22"/>
                <w:lang w:eastAsia="zh-CN"/>
              </w:rPr>
              <w:t>问</w:t>
            </w:r>
            <w:r>
              <w:rPr>
                <w:rFonts w:hint="eastAsia" w:ascii="Times New Roman" w:hAnsi="Times New Roman" w:cs="Times New Roman"/>
                <w:color w:val="auto"/>
                <w:sz w:val="24"/>
                <w:szCs w:val="22"/>
              </w:rPr>
              <w:t>题，这可能使作业区附近一定范</w:t>
            </w:r>
            <w:r>
              <w:rPr>
                <w:rFonts w:hint="eastAsia" w:ascii="Times New Roman" w:hAnsi="Times New Roman" w:cs="Times New Roman"/>
                <w:color w:val="auto"/>
                <w:sz w:val="24"/>
                <w:szCs w:val="22"/>
                <w:lang w:eastAsia="zh-CN"/>
              </w:rPr>
              <w:t>围</w:t>
            </w:r>
            <w:r>
              <w:rPr>
                <w:rFonts w:hint="eastAsia" w:ascii="Times New Roman" w:hAnsi="Times New Roman" w:cs="Times New Roman"/>
                <w:color w:val="auto"/>
                <w:sz w:val="24"/>
                <w:szCs w:val="22"/>
              </w:rPr>
              <w:t>内的环境空气及土壤环境受到污染，从</w:t>
            </w:r>
            <w:r>
              <w:rPr>
                <w:rFonts w:hint="eastAsia" w:ascii="Times New Roman" w:hAnsi="Times New Roman" w:cs="Times New Roman"/>
                <w:color w:val="auto"/>
                <w:sz w:val="24"/>
                <w:szCs w:val="22"/>
                <w:lang w:eastAsia="zh-CN"/>
              </w:rPr>
              <w:t>而</w:t>
            </w:r>
            <w:r>
              <w:rPr>
                <w:rFonts w:hint="eastAsia" w:ascii="Times New Roman" w:hAnsi="Times New Roman" w:cs="Times New Roman"/>
                <w:color w:val="auto"/>
                <w:sz w:val="24"/>
                <w:szCs w:val="22"/>
              </w:rPr>
              <w:t>导致周围的</w:t>
            </w:r>
            <w:r>
              <w:rPr>
                <w:rFonts w:hint="eastAsia" w:ascii="Times New Roman" w:hAnsi="Times New Roman" w:cs="Times New Roman"/>
                <w:color w:val="auto"/>
                <w:sz w:val="24"/>
                <w:szCs w:val="22"/>
                <w:lang w:eastAsia="zh-CN"/>
              </w:rPr>
              <w:t>植</w:t>
            </w:r>
            <w:r>
              <w:rPr>
                <w:rFonts w:hint="eastAsia" w:ascii="Times New Roman" w:hAnsi="Times New Roman" w:cs="Times New Roman"/>
                <w:color w:val="auto"/>
                <w:sz w:val="24"/>
                <w:szCs w:val="22"/>
              </w:rPr>
              <w:t>物生长受到抑制，但这种影响是局部的、暂时性的，如在施工过程中采取严格的管</w:t>
            </w:r>
            <w:r>
              <w:rPr>
                <w:rFonts w:hint="eastAsia" w:ascii="Times New Roman" w:hAnsi="Times New Roman" w:cs="Times New Roman"/>
                <w:color w:val="auto"/>
                <w:sz w:val="24"/>
                <w:szCs w:val="22"/>
                <w:lang w:eastAsia="zh-CN"/>
              </w:rPr>
              <w:t>理</w:t>
            </w:r>
            <w:r>
              <w:rPr>
                <w:rFonts w:hint="eastAsia" w:ascii="Times New Roman" w:hAnsi="Times New Roman" w:cs="Times New Roman"/>
                <w:color w:val="auto"/>
                <w:sz w:val="24"/>
                <w:szCs w:val="22"/>
              </w:rPr>
              <w:t>措施，可以大大减</w:t>
            </w:r>
            <w:r>
              <w:rPr>
                <w:rFonts w:hint="eastAsia" w:ascii="Times New Roman" w:hAnsi="Times New Roman" w:cs="Times New Roman"/>
                <w:color w:val="auto"/>
                <w:sz w:val="24"/>
                <w:szCs w:val="22"/>
                <w:lang w:eastAsia="zh-CN"/>
              </w:rPr>
              <w:t>轻</w:t>
            </w:r>
            <w:r>
              <w:rPr>
                <w:rFonts w:hint="eastAsia" w:ascii="Times New Roman" w:hAnsi="Times New Roman" w:cs="Times New Roman"/>
                <w:color w:val="auto"/>
                <w:sz w:val="24"/>
                <w:szCs w:val="22"/>
              </w:rPr>
              <w:t>这种</w:t>
            </w:r>
            <w:r>
              <w:rPr>
                <w:rFonts w:hint="eastAsia" w:ascii="Times New Roman" w:hAnsi="Times New Roman" w:cs="Times New Roman"/>
                <w:color w:val="auto"/>
                <w:sz w:val="24"/>
                <w:szCs w:val="22"/>
                <w:lang w:eastAsia="zh-CN"/>
              </w:rPr>
              <w:t>污</w:t>
            </w:r>
            <w:r>
              <w:rPr>
                <w:rFonts w:hint="eastAsia" w:ascii="Times New Roman" w:hAnsi="Times New Roman" w:cs="Times New Roman"/>
                <w:color w:val="auto"/>
                <w:sz w:val="24"/>
                <w:szCs w:val="22"/>
              </w:rPr>
              <w:t>染物排放对</w:t>
            </w:r>
            <w:r>
              <w:rPr>
                <w:rFonts w:hint="eastAsia" w:ascii="Times New Roman" w:hAnsi="Times New Roman" w:cs="Times New Roman"/>
                <w:color w:val="auto"/>
                <w:sz w:val="24"/>
                <w:szCs w:val="22"/>
                <w:lang w:eastAsia="zh-CN"/>
              </w:rPr>
              <w:t>植</w:t>
            </w:r>
            <w:r>
              <w:rPr>
                <w:rFonts w:hint="eastAsia" w:ascii="Times New Roman" w:hAnsi="Times New Roman" w:cs="Times New Roman"/>
                <w:color w:val="auto"/>
                <w:sz w:val="24"/>
                <w:szCs w:val="22"/>
              </w:rPr>
              <w:t>物的</w:t>
            </w:r>
            <w:r>
              <w:rPr>
                <w:rFonts w:hint="eastAsia" w:ascii="Times New Roman" w:hAnsi="Times New Roman" w:cs="Times New Roman"/>
                <w:color w:val="auto"/>
                <w:sz w:val="24"/>
                <w:szCs w:val="22"/>
                <w:lang w:eastAsia="zh-CN"/>
              </w:rPr>
              <w:t>危害</w:t>
            </w:r>
            <w:r>
              <w:rPr>
                <w:rFonts w:hint="eastAsia" w:ascii="Times New Roman" w:hAnsi="Times New Roman" w:cs="Times New Roman"/>
                <w:color w:val="auto"/>
                <w:sz w:val="24"/>
                <w:szCs w:val="22"/>
              </w:rPr>
              <w:t>。</w:t>
            </w:r>
          </w:p>
          <w:p>
            <w:pPr>
              <w:spacing w:line="360" w:lineRule="auto"/>
              <w:ind w:firstLine="480" w:firstLineChars="200"/>
              <w:rPr>
                <w:rFonts w:hint="default" w:ascii="Times New Roman" w:hAnsi="Times New Roman" w:cs="Times New Roman"/>
                <w:color w:val="auto"/>
                <w:sz w:val="24"/>
                <w:szCs w:val="22"/>
              </w:rPr>
            </w:pPr>
            <w:r>
              <w:rPr>
                <w:rFonts w:hint="eastAsia" w:ascii="Times New Roman" w:hAnsi="Times New Roman" w:cs="Times New Roman"/>
                <w:color w:val="auto"/>
                <w:sz w:val="24"/>
                <w:szCs w:val="22"/>
              </w:rPr>
              <w:t>本工程施工结束后将对管道沿线进行适当播撒草籽等措施，将使该管线工程在施工期对于生态环境带来的影响得到缓减</w:t>
            </w:r>
            <w:r>
              <w:rPr>
                <w:rFonts w:hint="eastAsia" w:ascii="Times New Roman" w:hAnsi="Times New Roman" w:cs="Times New Roman"/>
                <w:color w:val="auto"/>
                <w:sz w:val="24"/>
                <w:szCs w:val="22"/>
                <w:lang w:eastAsia="zh-CN"/>
              </w:rPr>
              <w:t>，因此工程</w:t>
            </w:r>
            <w:r>
              <w:rPr>
                <w:rFonts w:hint="eastAsia" w:ascii="Times New Roman" w:hAnsi="Times New Roman" w:cs="Times New Roman"/>
                <w:color w:val="auto"/>
                <w:sz w:val="24"/>
                <w:szCs w:val="22"/>
              </w:rPr>
              <w:t>施工期不会导致草从等</w:t>
            </w:r>
            <w:r>
              <w:rPr>
                <w:rFonts w:hint="eastAsia" w:ascii="Times New Roman" w:hAnsi="Times New Roman" w:cs="Times New Roman"/>
                <w:color w:val="auto"/>
                <w:sz w:val="24"/>
                <w:szCs w:val="22"/>
                <w:lang w:eastAsia="zh-CN"/>
              </w:rPr>
              <w:t>植</w:t>
            </w:r>
            <w:r>
              <w:rPr>
                <w:rFonts w:hint="eastAsia" w:ascii="Times New Roman" w:hAnsi="Times New Roman" w:cs="Times New Roman"/>
                <w:color w:val="auto"/>
                <w:sz w:val="24"/>
                <w:szCs w:val="22"/>
              </w:rPr>
              <w:t>被物种消</w:t>
            </w:r>
            <w:r>
              <w:rPr>
                <w:rFonts w:hint="eastAsia" w:ascii="Times New Roman" w:hAnsi="Times New Roman" w:cs="Times New Roman"/>
                <w:color w:val="auto"/>
                <w:sz w:val="24"/>
                <w:szCs w:val="22"/>
                <w:lang w:eastAsia="zh-CN"/>
              </w:rPr>
              <w:t>失，</w:t>
            </w:r>
            <w:r>
              <w:rPr>
                <w:rFonts w:hint="eastAsia" w:ascii="Times New Roman" w:hAnsi="Times New Roman" w:cs="Times New Roman"/>
                <w:color w:val="auto"/>
                <w:sz w:val="24"/>
                <w:szCs w:val="22"/>
              </w:rPr>
              <w:t>仅导致施工作业带上</w:t>
            </w:r>
            <w:r>
              <w:rPr>
                <w:rFonts w:hint="eastAsia" w:ascii="Times New Roman" w:hAnsi="Times New Roman" w:cs="Times New Roman"/>
                <w:color w:val="auto"/>
                <w:sz w:val="24"/>
                <w:szCs w:val="22"/>
                <w:lang w:eastAsia="zh-CN"/>
              </w:rPr>
              <w:t>方植</w:t>
            </w:r>
            <w:r>
              <w:rPr>
                <w:rFonts w:hint="eastAsia" w:ascii="Times New Roman" w:hAnsi="Times New Roman" w:cs="Times New Roman"/>
                <w:color w:val="auto"/>
                <w:sz w:val="24"/>
                <w:szCs w:val="22"/>
              </w:rPr>
              <w:t>被数</w:t>
            </w:r>
            <w:r>
              <w:rPr>
                <w:rFonts w:hint="eastAsia" w:ascii="Times New Roman" w:hAnsi="Times New Roman" w:cs="Times New Roman"/>
                <w:color w:val="auto"/>
                <w:sz w:val="24"/>
                <w:szCs w:val="22"/>
                <w:lang w:eastAsia="zh-CN"/>
              </w:rPr>
              <w:t>数量暂</w:t>
            </w:r>
            <w:r>
              <w:rPr>
                <w:rFonts w:hint="eastAsia" w:ascii="Times New Roman" w:hAnsi="Times New Roman" w:cs="Times New Roman"/>
                <w:color w:val="auto"/>
                <w:sz w:val="24"/>
                <w:szCs w:val="22"/>
              </w:rPr>
              <w:t>时减少</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而且</w:t>
            </w:r>
            <w:r>
              <w:rPr>
                <w:rFonts w:hint="eastAsia" w:ascii="Times New Roman" w:hAnsi="Times New Roman" w:cs="Times New Roman"/>
                <w:color w:val="auto"/>
                <w:sz w:val="24"/>
                <w:szCs w:val="22"/>
                <w:lang w:eastAsia="zh-CN"/>
              </w:rPr>
              <w:t>由于管</w:t>
            </w:r>
            <w:r>
              <w:rPr>
                <w:rFonts w:hint="eastAsia" w:ascii="Times New Roman" w:hAnsi="Times New Roman" w:cs="Times New Roman"/>
                <w:color w:val="auto"/>
                <w:sz w:val="24"/>
                <w:szCs w:val="22"/>
              </w:rPr>
              <w:t>线施工作业</w:t>
            </w:r>
            <w:r>
              <w:rPr>
                <w:rFonts w:hint="eastAsia" w:ascii="Times New Roman" w:hAnsi="Times New Roman" w:cs="Times New Roman"/>
                <w:color w:val="auto"/>
                <w:sz w:val="24"/>
                <w:szCs w:val="22"/>
                <w:lang w:eastAsia="zh-CN"/>
              </w:rPr>
              <w:t>面积</w:t>
            </w:r>
            <w:r>
              <w:rPr>
                <w:rFonts w:hint="eastAsia" w:ascii="Times New Roman" w:hAnsi="Times New Roman" w:cs="Times New Roman"/>
                <w:color w:val="auto"/>
                <w:sz w:val="24"/>
                <w:szCs w:val="22"/>
              </w:rPr>
              <w:t>很小</w:t>
            </w:r>
            <w:r>
              <w:rPr>
                <w:rFonts w:hint="eastAsia" w:ascii="Times New Roman" w:hAnsi="Times New Roman" w:cs="Times New Roman"/>
                <w:color w:val="auto"/>
                <w:sz w:val="24"/>
                <w:szCs w:val="22"/>
                <w:lang w:eastAsia="zh-CN"/>
              </w:rPr>
              <w:t>，时间</w:t>
            </w:r>
            <w:r>
              <w:rPr>
                <w:rFonts w:hint="eastAsia" w:ascii="Times New Roman" w:hAnsi="Times New Roman" w:cs="Times New Roman"/>
                <w:color w:val="auto"/>
                <w:sz w:val="24"/>
                <w:szCs w:val="22"/>
              </w:rPr>
              <w:t>很短，这些植被数量的损失对当地这些植被总</w:t>
            </w:r>
            <w:r>
              <w:rPr>
                <w:rFonts w:hint="eastAsia" w:ascii="Times New Roman" w:hAnsi="Times New Roman" w:cs="Times New Roman"/>
                <w:color w:val="auto"/>
                <w:sz w:val="24"/>
                <w:szCs w:val="22"/>
                <w:lang w:eastAsia="zh-CN"/>
              </w:rPr>
              <w:t>量</w:t>
            </w:r>
            <w:r>
              <w:rPr>
                <w:rFonts w:hint="eastAsia" w:ascii="Times New Roman" w:hAnsi="Times New Roman" w:cs="Times New Roman"/>
                <w:color w:val="auto"/>
                <w:sz w:val="24"/>
                <w:szCs w:val="22"/>
              </w:rPr>
              <w:t>的影响将很小。</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rPr>
              <w:t>施工期对会工程沿线的生态系统产生短暂的影响，这种影响</w:t>
            </w:r>
            <w:r>
              <w:rPr>
                <w:rFonts w:hint="eastAsia" w:ascii="Times New Roman" w:hAnsi="Times New Roman" w:cs="Times New Roman"/>
                <w:color w:val="auto"/>
                <w:sz w:val="24"/>
                <w:szCs w:val="22"/>
                <w:lang w:eastAsia="zh-CN"/>
              </w:rPr>
              <w:t>是短暂</w:t>
            </w:r>
            <w:r>
              <w:rPr>
                <w:rFonts w:hint="eastAsia" w:ascii="Times New Roman" w:hAnsi="Times New Roman" w:cs="Times New Roman"/>
                <w:color w:val="auto"/>
                <w:sz w:val="24"/>
                <w:szCs w:val="22"/>
              </w:rPr>
              <w:t>的，随</w:t>
            </w:r>
            <w:r>
              <w:rPr>
                <w:rFonts w:hint="eastAsia" w:ascii="Times New Roman" w:hAnsi="Times New Roman" w:cs="Times New Roman"/>
                <w:color w:val="auto"/>
                <w:sz w:val="24"/>
                <w:szCs w:val="22"/>
                <w:lang w:eastAsia="zh-CN"/>
              </w:rPr>
              <w:t>着</w:t>
            </w:r>
            <w:r>
              <w:rPr>
                <w:rFonts w:hint="eastAsia" w:ascii="Times New Roman" w:hAnsi="Times New Roman" w:cs="Times New Roman"/>
                <w:color w:val="auto"/>
                <w:sz w:val="24"/>
                <w:szCs w:val="22"/>
              </w:rPr>
              <w:t>施工期的结束这些不利的影响会消尖</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项目没</w:t>
            </w:r>
            <w:r>
              <w:rPr>
                <w:rFonts w:hint="eastAsia" w:ascii="Times New Roman" w:hAnsi="Times New Roman" w:cs="Times New Roman"/>
                <w:color w:val="auto"/>
                <w:sz w:val="24"/>
                <w:szCs w:val="22"/>
                <w:lang w:eastAsia="zh-CN"/>
              </w:rPr>
              <w:t>有</w:t>
            </w:r>
            <w:r>
              <w:rPr>
                <w:rFonts w:hint="eastAsia" w:ascii="Times New Roman" w:hAnsi="Times New Roman" w:cs="Times New Roman"/>
                <w:color w:val="auto"/>
                <w:sz w:val="24"/>
                <w:szCs w:val="22"/>
              </w:rPr>
              <w:t>永久占地，输气管线敷设地</w:t>
            </w:r>
            <w:r>
              <w:rPr>
                <w:rFonts w:hint="eastAsia" w:ascii="Times New Roman" w:hAnsi="Times New Roman" w:cs="Times New Roman"/>
                <w:color w:val="auto"/>
                <w:sz w:val="24"/>
                <w:szCs w:val="22"/>
                <w:lang w:eastAsia="zh-CN"/>
              </w:rPr>
              <w:t>下</w:t>
            </w:r>
            <w:r>
              <w:rPr>
                <w:rFonts w:hint="eastAsia" w:ascii="Times New Roman" w:hAnsi="Times New Roman" w:cs="Times New Roman"/>
                <w:color w:val="auto"/>
                <w:sz w:val="24"/>
                <w:szCs w:val="22"/>
              </w:rPr>
              <w:t>，运营后沿线工程扰动区域内的原有植被逐渐得到</w:t>
            </w:r>
            <w:r>
              <w:rPr>
                <w:rFonts w:hint="eastAsia" w:ascii="Times New Roman" w:hAnsi="Times New Roman" w:cs="Times New Roman"/>
                <w:color w:val="auto"/>
                <w:sz w:val="24"/>
                <w:szCs w:val="22"/>
                <w:lang w:eastAsia="zh-CN"/>
              </w:rPr>
              <w:t>恢复，</w:t>
            </w:r>
            <w:r>
              <w:rPr>
                <w:rFonts w:hint="eastAsia" w:ascii="Times New Roman" w:hAnsi="Times New Roman" w:cs="Times New Roman"/>
                <w:color w:val="auto"/>
                <w:sz w:val="24"/>
                <w:szCs w:val="22"/>
              </w:rPr>
              <w:t>因此项</w:t>
            </w:r>
            <w:r>
              <w:rPr>
                <w:rFonts w:hint="eastAsia" w:ascii="Times New Roman" w:hAnsi="Times New Roman" w:cs="Times New Roman"/>
                <w:color w:val="auto"/>
                <w:sz w:val="24"/>
                <w:szCs w:val="22"/>
                <w:lang w:eastAsia="zh-CN"/>
              </w:rPr>
              <w:t>目</w:t>
            </w:r>
            <w:r>
              <w:rPr>
                <w:rFonts w:hint="eastAsia" w:ascii="Times New Roman" w:hAnsi="Times New Roman" w:cs="Times New Roman"/>
                <w:color w:val="auto"/>
                <w:sz w:val="24"/>
                <w:szCs w:val="22"/>
              </w:rPr>
              <w:t>建设对</w:t>
            </w:r>
            <w:r>
              <w:rPr>
                <w:rFonts w:hint="eastAsia" w:ascii="Times New Roman" w:hAnsi="Times New Roman" w:cs="Times New Roman"/>
                <w:color w:val="auto"/>
                <w:sz w:val="24"/>
                <w:szCs w:val="22"/>
                <w:lang w:eastAsia="zh-CN"/>
              </w:rPr>
              <w:t>区</w:t>
            </w:r>
            <w:r>
              <w:rPr>
                <w:rFonts w:hint="eastAsia" w:ascii="Times New Roman" w:hAnsi="Times New Roman" w:cs="Times New Roman"/>
                <w:color w:val="auto"/>
                <w:sz w:val="24"/>
                <w:szCs w:val="22"/>
              </w:rPr>
              <w:t>域</w:t>
            </w:r>
            <w:r>
              <w:rPr>
                <w:rFonts w:hint="eastAsia" w:ascii="Times New Roman" w:hAnsi="Times New Roman" w:cs="Times New Roman"/>
                <w:color w:val="auto"/>
                <w:sz w:val="24"/>
                <w:szCs w:val="22"/>
                <w:lang w:eastAsia="zh-CN"/>
              </w:rPr>
              <w:t>景</w:t>
            </w:r>
            <w:r>
              <w:rPr>
                <w:rFonts w:hint="eastAsia" w:ascii="Times New Roman" w:hAnsi="Times New Roman" w:cs="Times New Roman"/>
                <w:color w:val="auto"/>
                <w:sz w:val="24"/>
                <w:szCs w:val="22"/>
              </w:rPr>
              <w:t>观生态环境的影响相对较小。</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②对沿线土壤影响分析</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rPr>
              <w:t>土壤是建造生态系统的物质基础。本项</w:t>
            </w:r>
            <w:r>
              <w:rPr>
                <w:rFonts w:hint="eastAsia" w:ascii="Times New Roman" w:hAnsi="Times New Roman" w:cs="Times New Roman"/>
                <w:color w:val="auto"/>
                <w:sz w:val="24"/>
                <w:szCs w:val="22"/>
                <w:lang w:eastAsia="zh-CN"/>
              </w:rPr>
              <w:t>目管</w:t>
            </w:r>
            <w:r>
              <w:rPr>
                <w:rFonts w:hint="eastAsia" w:ascii="Times New Roman" w:hAnsi="Times New Roman" w:cs="Times New Roman"/>
                <w:color w:val="auto"/>
                <w:sz w:val="24"/>
                <w:szCs w:val="22"/>
              </w:rPr>
              <w:t>线施工采用埋地</w:t>
            </w:r>
            <w:r>
              <w:rPr>
                <w:rFonts w:hint="eastAsia" w:ascii="Times New Roman" w:hAnsi="Times New Roman" w:cs="Times New Roman"/>
                <w:color w:val="auto"/>
                <w:sz w:val="24"/>
                <w:szCs w:val="22"/>
                <w:lang w:eastAsia="zh-CN"/>
              </w:rPr>
              <w:t>敷设</w:t>
            </w:r>
            <w:r>
              <w:rPr>
                <w:rFonts w:hint="eastAsia" w:ascii="Times New Roman" w:hAnsi="Times New Roman" w:cs="Times New Roman"/>
                <w:color w:val="auto"/>
                <w:sz w:val="24"/>
                <w:szCs w:val="22"/>
              </w:rPr>
              <w:t>方式</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对沿线</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壤需进行开挖和填埋，必将对</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壤环境这一重</w:t>
            </w:r>
            <w:r>
              <w:rPr>
                <w:rFonts w:hint="eastAsia" w:ascii="Times New Roman" w:hAnsi="Times New Roman" w:cs="Times New Roman"/>
                <w:color w:val="auto"/>
                <w:sz w:val="24"/>
                <w:szCs w:val="22"/>
                <w:lang w:eastAsia="zh-CN"/>
              </w:rPr>
              <w:t>要生态要素</w:t>
            </w:r>
            <w:r>
              <w:rPr>
                <w:rFonts w:hint="eastAsia" w:ascii="Times New Roman" w:hAnsi="Times New Roman" w:cs="Times New Roman"/>
                <w:color w:val="auto"/>
                <w:sz w:val="24"/>
                <w:szCs w:val="22"/>
              </w:rPr>
              <w:t>产生影响。根据有关资料和现场调</w:t>
            </w:r>
            <w:r>
              <w:rPr>
                <w:rFonts w:hint="eastAsia" w:ascii="Times New Roman" w:hAnsi="Times New Roman" w:cs="Times New Roman"/>
                <w:color w:val="auto"/>
                <w:sz w:val="24"/>
                <w:szCs w:val="22"/>
                <w:lang w:eastAsia="zh-CN"/>
              </w:rPr>
              <w:t>查</w:t>
            </w:r>
            <w:r>
              <w:rPr>
                <w:rFonts w:hint="eastAsia" w:ascii="Times New Roman" w:hAnsi="Times New Roman" w:cs="Times New Roman"/>
                <w:color w:val="auto"/>
                <w:sz w:val="24"/>
                <w:szCs w:val="22"/>
              </w:rPr>
              <w:t>，本项</w:t>
            </w:r>
            <w:r>
              <w:rPr>
                <w:rFonts w:hint="eastAsia" w:ascii="Times New Roman" w:hAnsi="Times New Roman" w:cs="Times New Roman"/>
                <w:color w:val="auto"/>
                <w:sz w:val="24"/>
                <w:szCs w:val="22"/>
                <w:lang w:eastAsia="zh-CN"/>
              </w:rPr>
              <w:t>目管</w:t>
            </w:r>
            <w:r>
              <w:rPr>
                <w:rFonts w:hint="eastAsia" w:ascii="Times New Roman" w:hAnsi="Times New Roman" w:cs="Times New Roman"/>
                <w:color w:val="auto"/>
                <w:sz w:val="24"/>
                <w:szCs w:val="22"/>
              </w:rPr>
              <w:t>线施工对上壤环境的影响主要表现在以</w:t>
            </w:r>
            <w:r>
              <w:rPr>
                <w:rFonts w:hint="eastAsia" w:ascii="Times New Roman" w:hAnsi="Times New Roman" w:cs="Times New Roman"/>
                <w:color w:val="auto"/>
                <w:sz w:val="24"/>
                <w:szCs w:val="22"/>
                <w:lang w:eastAsia="zh-CN"/>
              </w:rPr>
              <w:t>下</w:t>
            </w:r>
            <w:r>
              <w:rPr>
                <w:rFonts w:hint="eastAsia" w:ascii="Times New Roman" w:hAnsi="Times New Roman" w:cs="Times New Roman"/>
                <w:color w:val="auto"/>
                <w:sz w:val="24"/>
                <w:szCs w:val="22"/>
              </w:rPr>
              <w:t>方面：</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lang w:val="en-US" w:eastAsia="zh-CN"/>
              </w:rPr>
              <w:t>1</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破坏土壤结构，扰乱土壤耕作</w:t>
            </w:r>
            <w:r>
              <w:rPr>
                <w:rFonts w:hint="eastAsia" w:ascii="Times New Roman" w:hAnsi="Times New Roman" w:cs="Times New Roman"/>
                <w:color w:val="auto"/>
                <w:sz w:val="24"/>
                <w:szCs w:val="22"/>
                <w:lang w:eastAsia="zh-CN"/>
              </w:rPr>
              <w:t>层</w:t>
            </w:r>
            <w:r>
              <w:rPr>
                <w:rFonts w:hint="eastAsia" w:ascii="Times New Roman" w:hAnsi="Times New Roman" w:cs="Times New Roman"/>
                <w:color w:val="auto"/>
                <w:sz w:val="24"/>
                <w:szCs w:val="22"/>
              </w:rPr>
              <w:t>。土壤结构是经过较长的历史时期形成的，管沟的开挖和填埋必将破坏土壤结构。例如土壤中的团粒状</w:t>
            </w:r>
            <w:r>
              <w:rPr>
                <w:rFonts w:hint="eastAsia" w:ascii="Times New Roman" w:hAnsi="Times New Roman" w:cs="Times New Roman"/>
                <w:color w:val="auto"/>
                <w:sz w:val="24"/>
                <w:szCs w:val="22"/>
                <w:lang w:eastAsia="zh-CN"/>
              </w:rPr>
              <w:t>结</w:t>
            </w:r>
            <w:r>
              <w:rPr>
                <w:rFonts w:hint="eastAsia" w:ascii="Times New Roman" w:hAnsi="Times New Roman" w:cs="Times New Roman"/>
                <w:color w:val="auto"/>
                <w:sz w:val="24"/>
                <w:szCs w:val="22"/>
              </w:rPr>
              <w:t>构，</w:t>
            </w:r>
            <w:r>
              <w:rPr>
                <w:rFonts w:hint="eastAsia" w:ascii="Times New Roman" w:hAnsi="Times New Roman" w:cs="Times New Roman"/>
                <w:color w:val="auto"/>
                <w:sz w:val="24"/>
                <w:szCs w:val="22"/>
                <w:lang w:eastAsia="zh-CN"/>
              </w:rPr>
              <w:t>是</w:t>
            </w:r>
            <w:r>
              <w:rPr>
                <w:rFonts w:hint="eastAsia" w:ascii="Times New Roman" w:hAnsi="Times New Roman" w:cs="Times New Roman"/>
                <w:color w:val="auto"/>
                <w:sz w:val="24"/>
                <w:szCs w:val="22"/>
              </w:rPr>
              <w:t>经过长期的发展而形成的，一旦遭到破坏</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其</w:t>
            </w:r>
            <w:r>
              <w:rPr>
                <w:rFonts w:hint="eastAsia" w:ascii="Times New Roman" w:hAnsi="Times New Roman" w:cs="Times New Roman"/>
                <w:color w:val="auto"/>
                <w:sz w:val="24"/>
                <w:szCs w:val="22"/>
                <w:lang w:eastAsia="zh-CN"/>
              </w:rPr>
              <w:t>恢复</w:t>
            </w:r>
            <w:r>
              <w:rPr>
                <w:rFonts w:hint="eastAsia" w:ascii="Times New Roman" w:hAnsi="Times New Roman" w:cs="Times New Roman"/>
                <w:color w:val="auto"/>
                <w:sz w:val="24"/>
                <w:szCs w:val="22"/>
              </w:rPr>
              <w:t>也需</w:t>
            </w:r>
            <w:r>
              <w:rPr>
                <w:rFonts w:hint="eastAsia" w:ascii="Times New Roman" w:hAnsi="Times New Roman" w:cs="Times New Roman"/>
                <w:color w:val="auto"/>
                <w:sz w:val="24"/>
                <w:szCs w:val="22"/>
                <w:lang w:eastAsia="zh-CN"/>
              </w:rPr>
              <w:t>要</w:t>
            </w:r>
            <w:r>
              <w:rPr>
                <w:rFonts w:hint="eastAsia" w:ascii="Times New Roman" w:hAnsi="Times New Roman" w:cs="Times New Roman"/>
                <w:color w:val="auto"/>
                <w:sz w:val="24"/>
                <w:szCs w:val="22"/>
              </w:rPr>
              <w:t>较长时间。土壤耕作</w:t>
            </w:r>
            <w:r>
              <w:rPr>
                <w:rFonts w:hint="eastAsia" w:ascii="Times New Roman" w:hAnsi="Times New Roman" w:cs="Times New Roman"/>
                <w:color w:val="auto"/>
                <w:sz w:val="24"/>
                <w:szCs w:val="22"/>
                <w:lang w:eastAsia="zh-CN"/>
              </w:rPr>
              <w:t>层</w:t>
            </w:r>
            <w:r>
              <w:rPr>
                <w:rFonts w:hint="eastAsia" w:ascii="Times New Roman" w:hAnsi="Times New Roman" w:cs="Times New Roman"/>
                <w:color w:val="auto"/>
                <w:sz w:val="24"/>
                <w:szCs w:val="22"/>
              </w:rPr>
              <w:t>是保证农</w:t>
            </w:r>
            <w:r>
              <w:rPr>
                <w:rFonts w:hint="eastAsia" w:ascii="Times New Roman" w:hAnsi="Times New Roman" w:cs="Times New Roman"/>
                <w:color w:val="auto"/>
                <w:sz w:val="24"/>
                <w:szCs w:val="22"/>
                <w:lang w:eastAsia="zh-CN"/>
              </w:rPr>
              <w:t>业</w:t>
            </w:r>
            <w:r>
              <w:rPr>
                <w:rFonts w:hint="eastAsia" w:ascii="Times New Roman" w:hAnsi="Times New Roman" w:cs="Times New Roman"/>
                <w:color w:val="auto"/>
                <w:sz w:val="24"/>
                <w:szCs w:val="22"/>
              </w:rPr>
              <w:t>生产的基础，它的深度一般在15〜25cm，是农作物根系生长和发达的屋次。输气管</w:t>
            </w:r>
            <w:r>
              <w:rPr>
                <w:rFonts w:hint="eastAsia" w:ascii="Times New Roman" w:hAnsi="Times New Roman" w:cs="Times New Roman"/>
                <w:color w:val="auto"/>
                <w:sz w:val="24"/>
                <w:szCs w:val="22"/>
                <w:lang w:eastAsia="zh-CN"/>
              </w:rPr>
              <w:t>道</w:t>
            </w:r>
            <w:r>
              <w:rPr>
                <w:rFonts w:hint="eastAsia" w:ascii="Times New Roman" w:hAnsi="Times New Roman" w:cs="Times New Roman"/>
                <w:color w:val="auto"/>
                <w:sz w:val="24"/>
                <w:szCs w:val="22"/>
              </w:rPr>
              <w:t>采用</w:t>
            </w:r>
            <w:r>
              <w:rPr>
                <w:rFonts w:hint="eastAsia" w:ascii="Times New Roman" w:hAnsi="Times New Roman" w:cs="Times New Roman"/>
                <w:color w:val="auto"/>
                <w:sz w:val="24"/>
                <w:szCs w:val="22"/>
                <w:lang w:eastAsia="zh-CN"/>
              </w:rPr>
              <w:t>定向钻和</w:t>
            </w:r>
            <w:r>
              <w:rPr>
                <w:rFonts w:hint="eastAsia" w:ascii="Times New Roman" w:hAnsi="Times New Roman" w:cs="Times New Roman"/>
                <w:color w:val="auto"/>
                <w:sz w:val="24"/>
                <w:szCs w:val="22"/>
              </w:rPr>
              <w:t>埋地敷设方式，管沟开挖必定扰乱和破坏土壤的耕作层，除管线</w:t>
            </w:r>
            <w:r>
              <w:rPr>
                <w:rFonts w:hint="eastAsia" w:ascii="Times New Roman" w:hAnsi="Times New Roman" w:cs="Times New Roman"/>
                <w:color w:val="auto"/>
                <w:sz w:val="24"/>
                <w:szCs w:val="22"/>
                <w:lang w:eastAsia="zh-CN"/>
              </w:rPr>
              <w:t>开挖</w:t>
            </w:r>
            <w:r>
              <w:rPr>
                <w:rFonts w:hint="eastAsia" w:ascii="Times New Roman" w:hAnsi="Times New Roman" w:cs="Times New Roman"/>
                <w:color w:val="auto"/>
                <w:sz w:val="24"/>
                <w:szCs w:val="22"/>
              </w:rPr>
              <w:t>的部分受到直接破坏外</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管沟两侧需堆放</w:t>
            </w:r>
            <w:r>
              <w:rPr>
                <w:rFonts w:hint="eastAsia" w:ascii="Times New Roman" w:hAnsi="Times New Roman" w:cs="Times New Roman"/>
                <w:color w:val="auto"/>
                <w:sz w:val="24"/>
                <w:szCs w:val="22"/>
                <w:lang w:eastAsia="zh-CN"/>
              </w:rPr>
              <w:t>开挖土</w:t>
            </w:r>
            <w:r>
              <w:rPr>
                <w:rFonts w:hint="eastAsia" w:ascii="Times New Roman" w:hAnsi="Times New Roman" w:cs="Times New Roman"/>
                <w:color w:val="auto"/>
                <w:sz w:val="24"/>
                <w:szCs w:val="22"/>
              </w:rPr>
              <w:t>，这也将破坏堆放区域</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壤的耕作层。此外，管沟开挖和</w:t>
            </w:r>
            <w:r>
              <w:rPr>
                <w:rFonts w:hint="eastAsia" w:ascii="Times New Roman" w:hAnsi="Times New Roman" w:cs="Times New Roman"/>
                <w:color w:val="auto"/>
                <w:sz w:val="24"/>
                <w:szCs w:val="22"/>
                <w:lang w:eastAsia="zh-CN"/>
              </w:rPr>
              <w:t>填</w:t>
            </w:r>
            <w:r>
              <w:rPr>
                <w:rFonts w:hint="eastAsia" w:ascii="Times New Roman" w:hAnsi="Times New Roman" w:cs="Times New Roman"/>
                <w:color w:val="auto"/>
                <w:sz w:val="24"/>
                <w:szCs w:val="22"/>
              </w:rPr>
              <w:t>埋过程中，上层的混合和扰动，同样会改变原有土壤耕作层的性质。因此，在整个施工</w:t>
            </w:r>
            <w:r>
              <w:rPr>
                <w:rFonts w:hint="eastAsia" w:ascii="Times New Roman" w:hAnsi="Times New Roman" w:cs="Times New Roman"/>
                <w:color w:val="auto"/>
                <w:sz w:val="24"/>
                <w:szCs w:val="22"/>
                <w:lang w:eastAsia="zh-CN"/>
              </w:rPr>
              <w:t>过程</w:t>
            </w:r>
            <w:r>
              <w:rPr>
                <w:rFonts w:hint="eastAsia" w:ascii="Times New Roman" w:hAnsi="Times New Roman" w:cs="Times New Roman"/>
                <w:color w:val="auto"/>
                <w:sz w:val="24"/>
                <w:szCs w:val="22"/>
              </w:rPr>
              <w:t>中，对</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壤耕作层的影响最</w:t>
            </w:r>
            <w:r>
              <w:rPr>
                <w:rFonts w:hint="eastAsia" w:ascii="Times New Roman" w:hAnsi="Times New Roman" w:cs="Times New Roman"/>
                <w:color w:val="auto"/>
                <w:sz w:val="24"/>
                <w:szCs w:val="22"/>
                <w:lang w:eastAsia="zh-CN"/>
              </w:rPr>
              <w:t>为严重</w:t>
            </w:r>
            <w:r>
              <w:rPr>
                <w:rFonts w:hint="eastAsia" w:ascii="Times New Roman" w:hAnsi="Times New Roman" w:cs="Times New Roman"/>
                <w:color w:val="auto"/>
                <w:sz w:val="24"/>
                <w:szCs w:val="22"/>
              </w:rPr>
              <w:t>。</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lang w:val="en-US" w:eastAsia="zh-CN"/>
              </w:rPr>
              <w:t>2</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混合土壤层次，改变</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壤质地。土壤在长期的</w:t>
            </w:r>
            <w:r>
              <w:rPr>
                <w:rFonts w:hint="eastAsia" w:ascii="Times New Roman" w:hAnsi="Times New Roman" w:cs="Times New Roman"/>
                <w:color w:val="auto"/>
                <w:sz w:val="24"/>
                <w:szCs w:val="22"/>
                <w:lang w:eastAsia="zh-CN"/>
              </w:rPr>
              <w:t>发育</w:t>
            </w:r>
            <w:r>
              <w:rPr>
                <w:rFonts w:hint="eastAsia" w:ascii="Times New Roman" w:hAnsi="Times New Roman" w:cs="Times New Roman"/>
                <w:color w:val="auto"/>
                <w:sz w:val="24"/>
                <w:szCs w:val="22"/>
              </w:rPr>
              <w:t>过程中形成了较分明的</w:t>
            </w:r>
            <w:r>
              <w:rPr>
                <w:rFonts w:hint="eastAsia" w:ascii="Times New Roman" w:hAnsi="Times New Roman" w:cs="Times New Roman"/>
                <w:color w:val="auto"/>
                <w:sz w:val="24"/>
                <w:szCs w:val="22"/>
                <w:lang w:eastAsia="zh-CN"/>
              </w:rPr>
              <w:t>层</w:t>
            </w:r>
            <w:r>
              <w:rPr>
                <w:rFonts w:hint="eastAsia" w:ascii="Times New Roman" w:hAnsi="Times New Roman" w:cs="Times New Roman"/>
                <w:color w:val="auto"/>
                <w:sz w:val="24"/>
                <w:szCs w:val="22"/>
              </w:rPr>
              <w:t>次，表</w:t>
            </w:r>
            <w:r>
              <w:rPr>
                <w:rFonts w:hint="eastAsia" w:ascii="Times New Roman" w:hAnsi="Times New Roman" w:cs="Times New Roman"/>
                <w:color w:val="auto"/>
                <w:sz w:val="24"/>
                <w:szCs w:val="22"/>
                <w:lang w:eastAsia="zh-CN"/>
              </w:rPr>
              <w:t>层为腐殖质层</w:t>
            </w:r>
            <w:r>
              <w:rPr>
                <w:rFonts w:hint="eastAsia" w:ascii="Times New Roman" w:hAnsi="Times New Roman" w:cs="Times New Roman"/>
                <w:color w:val="auto"/>
                <w:sz w:val="24"/>
                <w:szCs w:val="22"/>
              </w:rPr>
              <w:t>或耕作</w:t>
            </w:r>
            <w:r>
              <w:rPr>
                <w:rFonts w:hint="eastAsia" w:ascii="Times New Roman" w:hAnsi="Times New Roman" w:cs="Times New Roman"/>
                <w:color w:val="auto"/>
                <w:sz w:val="24"/>
                <w:szCs w:val="22"/>
                <w:lang w:eastAsia="zh-CN"/>
              </w:rPr>
              <w:t>层，中层为</w:t>
            </w:r>
            <w:r>
              <w:rPr>
                <w:rFonts w:hint="eastAsia" w:ascii="Times New Roman" w:hAnsi="Times New Roman" w:cs="Times New Roman"/>
                <w:color w:val="auto"/>
                <w:sz w:val="24"/>
                <w:szCs w:val="22"/>
              </w:rPr>
              <w:t>淋溶淀积层，</w:t>
            </w:r>
            <w:r>
              <w:rPr>
                <w:rFonts w:hint="eastAsia" w:ascii="Times New Roman" w:hAnsi="Times New Roman" w:cs="Times New Roman"/>
                <w:color w:val="auto"/>
                <w:sz w:val="24"/>
                <w:szCs w:val="22"/>
                <w:lang w:eastAsia="zh-CN"/>
              </w:rPr>
              <w:t>底层</w:t>
            </w:r>
            <w:r>
              <w:rPr>
                <w:rFonts w:hint="eastAsia" w:ascii="Times New Roman" w:hAnsi="Times New Roman" w:cs="Times New Roman"/>
                <w:color w:val="auto"/>
                <w:sz w:val="24"/>
                <w:szCs w:val="22"/>
              </w:rPr>
              <w:t>为母质</w:t>
            </w:r>
            <w:r>
              <w:rPr>
                <w:rFonts w:hint="eastAsia" w:ascii="Times New Roman" w:hAnsi="Times New Roman" w:cs="Times New Roman"/>
                <w:color w:val="auto"/>
                <w:sz w:val="24"/>
                <w:szCs w:val="22"/>
                <w:lang w:eastAsia="zh-CN"/>
              </w:rPr>
              <w:t>层</w:t>
            </w:r>
            <w:r>
              <w:rPr>
                <w:rFonts w:hint="eastAsia" w:ascii="Times New Roman" w:hAnsi="Times New Roman" w:cs="Times New Roman"/>
                <w:color w:val="auto"/>
                <w:sz w:val="24"/>
                <w:szCs w:val="22"/>
              </w:rPr>
              <w:t>。对不</w:t>
            </w:r>
            <w:r>
              <w:rPr>
                <w:rFonts w:hint="eastAsia" w:ascii="Times New Roman" w:hAnsi="Times New Roman" w:cs="Times New Roman"/>
                <w:color w:val="auto"/>
                <w:sz w:val="24"/>
                <w:szCs w:val="22"/>
                <w:lang w:eastAsia="zh-CN"/>
              </w:rPr>
              <w:t>同</w:t>
            </w:r>
            <w:r>
              <w:rPr>
                <w:rFonts w:hint="eastAsia" w:ascii="Times New Roman" w:hAnsi="Times New Roman" w:cs="Times New Roman"/>
                <w:color w:val="auto"/>
                <w:sz w:val="24"/>
                <w:szCs w:val="22"/>
              </w:rPr>
              <w:t>类型的土壤</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其</w:t>
            </w:r>
            <w:r>
              <w:rPr>
                <w:rFonts w:hint="eastAsia" w:ascii="Times New Roman" w:hAnsi="Times New Roman" w:cs="Times New Roman"/>
                <w:color w:val="auto"/>
                <w:sz w:val="24"/>
                <w:szCs w:val="22"/>
                <w:lang w:eastAsia="zh-CN"/>
              </w:rPr>
              <w:t>层</w:t>
            </w:r>
            <w:r>
              <w:rPr>
                <w:rFonts w:hint="eastAsia" w:ascii="Times New Roman" w:hAnsi="Times New Roman" w:cs="Times New Roman"/>
                <w:color w:val="auto"/>
                <w:sz w:val="24"/>
                <w:szCs w:val="22"/>
              </w:rPr>
              <w:t>次的</w:t>
            </w:r>
            <w:r>
              <w:rPr>
                <w:rFonts w:hint="eastAsia" w:ascii="Times New Roman" w:hAnsi="Times New Roman" w:cs="Times New Roman"/>
                <w:color w:val="auto"/>
                <w:sz w:val="24"/>
                <w:szCs w:val="22"/>
                <w:lang w:eastAsia="zh-CN"/>
              </w:rPr>
              <w:t>性质</w:t>
            </w:r>
            <w:r>
              <w:rPr>
                <w:rFonts w:hint="eastAsia" w:ascii="Times New Roman" w:hAnsi="Times New Roman" w:cs="Times New Roman"/>
                <w:color w:val="auto"/>
                <w:sz w:val="24"/>
                <w:szCs w:val="22"/>
              </w:rPr>
              <w:t>与</w:t>
            </w:r>
            <w:r>
              <w:rPr>
                <w:rFonts w:hint="eastAsia" w:ascii="Times New Roman" w:hAnsi="Times New Roman" w:cs="Times New Roman"/>
                <w:color w:val="auto"/>
                <w:sz w:val="24"/>
                <w:szCs w:val="22"/>
                <w:lang w:eastAsia="zh-CN"/>
              </w:rPr>
              <w:t>厚</w:t>
            </w:r>
            <w:r>
              <w:rPr>
                <w:rFonts w:hint="eastAsia" w:ascii="Times New Roman" w:hAnsi="Times New Roman" w:cs="Times New Roman"/>
                <w:color w:val="auto"/>
                <w:sz w:val="24"/>
                <w:szCs w:val="22"/>
              </w:rPr>
              <w:t>度都有差别。土壤成地类型</w:t>
            </w:r>
            <w:r>
              <w:rPr>
                <w:rFonts w:hint="eastAsia" w:ascii="Times New Roman" w:hAnsi="Times New Roman" w:cs="Times New Roman"/>
                <w:color w:val="auto"/>
                <w:sz w:val="24"/>
                <w:szCs w:val="22"/>
                <w:lang w:eastAsia="zh-CN"/>
              </w:rPr>
              <w:t>因</w:t>
            </w:r>
            <w:r>
              <w:rPr>
                <w:rFonts w:hint="eastAsia" w:ascii="Times New Roman" w:hAnsi="Times New Roman" w:cs="Times New Roman"/>
                <w:color w:val="auto"/>
                <w:sz w:val="24"/>
                <w:szCs w:val="22"/>
              </w:rPr>
              <w:t>地形和土壤形成条件的不同而</w:t>
            </w:r>
            <w:r>
              <w:rPr>
                <w:rFonts w:hint="eastAsia" w:ascii="Times New Roman" w:hAnsi="Times New Roman" w:cs="Times New Roman"/>
                <w:color w:val="auto"/>
                <w:sz w:val="24"/>
                <w:szCs w:val="22"/>
                <w:lang w:eastAsia="zh-CN"/>
              </w:rPr>
              <w:t>有</w:t>
            </w:r>
            <w:r>
              <w:rPr>
                <w:rFonts w:hint="eastAsia" w:ascii="Times New Roman" w:hAnsi="Times New Roman" w:cs="Times New Roman"/>
                <w:color w:val="auto"/>
                <w:sz w:val="24"/>
                <w:szCs w:val="22"/>
              </w:rPr>
              <w:t>较大变化，即使同一</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壤剖</w:t>
            </w:r>
            <w:r>
              <w:rPr>
                <w:rFonts w:hint="eastAsia" w:ascii="Times New Roman" w:hAnsi="Times New Roman" w:cs="Times New Roman"/>
                <w:color w:val="auto"/>
                <w:sz w:val="24"/>
                <w:szCs w:val="22"/>
                <w:lang w:eastAsia="zh-CN"/>
              </w:rPr>
              <w:t>面</w:t>
            </w:r>
            <w:r>
              <w:rPr>
                <w:rFonts w:hint="eastAsia" w:ascii="Times New Roman" w:hAnsi="Times New Roman" w:cs="Times New Roman"/>
                <w:color w:val="auto"/>
                <w:sz w:val="24"/>
                <w:szCs w:val="22"/>
              </w:rPr>
              <w:t>，表层的</w:t>
            </w:r>
            <w:r>
              <w:rPr>
                <w:rFonts w:hint="eastAsia" w:ascii="Times New Roman" w:hAnsi="Times New Roman" w:cs="Times New Roman"/>
                <w:color w:val="auto"/>
                <w:sz w:val="24"/>
                <w:szCs w:val="22"/>
                <w:lang w:eastAsia="zh-CN"/>
              </w:rPr>
              <w:t>土壤</w:t>
            </w:r>
            <w:r>
              <w:rPr>
                <w:rFonts w:hint="eastAsia" w:ascii="Times New Roman" w:hAnsi="Times New Roman" w:cs="Times New Roman"/>
                <w:color w:val="auto"/>
                <w:sz w:val="24"/>
                <w:szCs w:val="22"/>
              </w:rPr>
              <w:t>质地</w:t>
            </w:r>
            <w:r>
              <w:rPr>
                <w:rFonts w:hint="eastAsia" w:ascii="Times New Roman" w:hAnsi="Times New Roman" w:cs="Times New Roman"/>
                <w:color w:val="auto"/>
                <w:sz w:val="24"/>
                <w:szCs w:val="22"/>
                <w:lang w:eastAsia="zh-CN"/>
              </w:rPr>
              <w:t>与底</w:t>
            </w:r>
            <w:r>
              <w:rPr>
                <w:rFonts w:hint="eastAsia" w:ascii="Times New Roman" w:hAnsi="Times New Roman" w:cs="Times New Roman"/>
                <w:color w:val="auto"/>
                <w:sz w:val="24"/>
                <w:szCs w:val="22"/>
              </w:rPr>
              <w:t>层质地也</w:t>
            </w:r>
            <w:r>
              <w:rPr>
                <w:rFonts w:hint="eastAsia" w:ascii="Times New Roman" w:hAnsi="Times New Roman" w:cs="Times New Roman"/>
                <w:color w:val="auto"/>
                <w:sz w:val="24"/>
                <w:szCs w:val="22"/>
                <w:lang w:eastAsia="zh-CN"/>
              </w:rPr>
              <w:t>有</w:t>
            </w:r>
            <w:r>
              <w:rPr>
                <w:rFonts w:hint="eastAsia" w:ascii="Times New Roman" w:hAnsi="Times New Roman" w:cs="Times New Roman"/>
                <w:color w:val="auto"/>
                <w:sz w:val="24"/>
                <w:szCs w:val="22"/>
              </w:rPr>
              <w:t>截然的不冋。</w:t>
            </w:r>
            <w:r>
              <w:rPr>
                <w:rFonts w:hint="eastAsia" w:ascii="Times New Roman" w:hAnsi="Times New Roman" w:cs="Times New Roman"/>
                <w:color w:val="auto"/>
                <w:sz w:val="24"/>
                <w:szCs w:val="22"/>
                <w:lang w:eastAsia="zh-CN"/>
              </w:rPr>
              <w:t>管</w:t>
            </w:r>
            <w:r>
              <w:rPr>
                <w:rFonts w:hint="eastAsia" w:ascii="Times New Roman" w:hAnsi="Times New Roman" w:cs="Times New Roman"/>
                <w:color w:val="auto"/>
                <w:sz w:val="24"/>
                <w:szCs w:val="22"/>
              </w:rPr>
              <w:t>线沿线各种土壤类型中可见到砂壤质、壤质、粘质、轻壤形成的层次</w:t>
            </w:r>
            <w:r>
              <w:rPr>
                <w:rFonts w:hint="eastAsia" w:ascii="Times New Roman" w:hAnsi="Times New Roman" w:cs="Times New Roman"/>
                <w:color w:val="auto"/>
                <w:sz w:val="24"/>
                <w:szCs w:val="22"/>
                <w:lang w:eastAsia="zh-CN"/>
              </w:rPr>
              <w:t>，不同</w:t>
            </w:r>
            <w:r>
              <w:rPr>
                <w:rFonts w:hint="eastAsia" w:ascii="Times New Roman" w:hAnsi="Times New Roman" w:cs="Times New Roman"/>
                <w:color w:val="auto"/>
                <w:sz w:val="24"/>
                <w:szCs w:val="22"/>
              </w:rPr>
              <w:t>的层次被打乱并混合在一起，土壤质地发生变化，影响土壤的发育，也影响植被的生长，特别是对农作物的生长和农业产</w:t>
            </w:r>
            <w:r>
              <w:rPr>
                <w:rFonts w:hint="eastAsia" w:ascii="Times New Roman" w:hAnsi="Times New Roman" w:cs="Times New Roman"/>
                <w:color w:val="auto"/>
                <w:sz w:val="24"/>
                <w:szCs w:val="22"/>
                <w:lang w:eastAsia="zh-CN"/>
              </w:rPr>
              <w:t>量</w:t>
            </w:r>
            <w:r>
              <w:rPr>
                <w:rFonts w:hint="eastAsia" w:ascii="Times New Roman" w:hAnsi="Times New Roman" w:cs="Times New Roman"/>
                <w:color w:val="auto"/>
                <w:sz w:val="24"/>
                <w:szCs w:val="22"/>
              </w:rPr>
              <w:t>影响很大。</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lang w:val="en-US" w:eastAsia="zh-CN"/>
              </w:rPr>
              <w:t>3</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影响</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壤紧实度</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管线</w:t>
            </w:r>
            <w:r>
              <w:rPr>
                <w:rFonts w:hint="eastAsia" w:ascii="Times New Roman" w:hAnsi="Times New Roman" w:cs="Times New Roman"/>
                <w:color w:val="auto"/>
                <w:sz w:val="24"/>
                <w:szCs w:val="22"/>
                <w:lang w:eastAsia="zh-CN"/>
              </w:rPr>
              <w:t>铺设</w:t>
            </w:r>
            <w:r>
              <w:rPr>
                <w:rFonts w:hint="eastAsia" w:ascii="Times New Roman" w:hAnsi="Times New Roman" w:cs="Times New Roman"/>
                <w:color w:val="auto"/>
                <w:sz w:val="24"/>
                <w:szCs w:val="22"/>
              </w:rPr>
              <w:t>后的回填，一般难以</w:t>
            </w:r>
            <w:r>
              <w:rPr>
                <w:rFonts w:hint="eastAsia" w:ascii="Times New Roman" w:hAnsi="Times New Roman" w:cs="Times New Roman"/>
                <w:color w:val="auto"/>
                <w:sz w:val="24"/>
                <w:szCs w:val="22"/>
                <w:lang w:eastAsia="zh-CN"/>
              </w:rPr>
              <w:t>恢复</w:t>
            </w:r>
            <w:r>
              <w:rPr>
                <w:rFonts w:hint="eastAsia" w:ascii="Times New Roman" w:hAnsi="Times New Roman" w:cs="Times New Roman"/>
                <w:color w:val="auto"/>
                <w:sz w:val="24"/>
                <w:szCs w:val="22"/>
              </w:rPr>
              <w:t>原有的土壤紧实度。施工</w:t>
            </w:r>
            <w:r>
              <w:rPr>
                <w:rFonts w:hint="eastAsia" w:ascii="Times New Roman" w:hAnsi="Times New Roman" w:cs="Times New Roman"/>
                <w:color w:val="auto"/>
                <w:sz w:val="24"/>
                <w:szCs w:val="22"/>
                <w:lang w:eastAsia="zh-CN"/>
              </w:rPr>
              <w:t>中</w:t>
            </w:r>
            <w:r>
              <w:rPr>
                <w:rFonts w:hint="eastAsia" w:ascii="Times New Roman" w:hAnsi="Times New Roman" w:cs="Times New Roman"/>
                <w:color w:val="auto"/>
                <w:sz w:val="24"/>
                <w:szCs w:val="22"/>
              </w:rPr>
              <w:t>机械车辆碾压、人员践踏等都会影响土壤的紧实度。</w:t>
            </w:r>
            <w:r>
              <w:rPr>
                <w:rFonts w:hint="eastAsia" w:ascii="Times New Roman" w:hAnsi="Times New Roman" w:cs="Times New Roman"/>
                <w:color w:val="auto"/>
                <w:sz w:val="24"/>
                <w:szCs w:val="22"/>
                <w:lang w:eastAsia="zh-CN"/>
              </w:rPr>
              <w:t>土壤</w:t>
            </w:r>
            <w:r>
              <w:rPr>
                <w:rFonts w:hint="eastAsia" w:ascii="Times New Roman" w:hAnsi="Times New Roman" w:cs="Times New Roman"/>
                <w:color w:val="auto"/>
                <w:sz w:val="24"/>
                <w:szCs w:val="22"/>
              </w:rPr>
              <w:t>过松，易引起水土流失：土体过紧，</w:t>
            </w:r>
            <w:r>
              <w:rPr>
                <w:rFonts w:hint="eastAsia" w:ascii="Times New Roman" w:hAnsi="Times New Roman" w:cs="Times New Roman"/>
                <w:color w:val="auto"/>
                <w:sz w:val="24"/>
                <w:szCs w:val="22"/>
                <w:lang w:eastAsia="zh-CN"/>
              </w:rPr>
              <w:t>又</w:t>
            </w:r>
            <w:r>
              <w:rPr>
                <w:rFonts w:hint="eastAsia" w:ascii="Times New Roman" w:hAnsi="Times New Roman" w:cs="Times New Roman"/>
                <w:color w:val="auto"/>
                <w:sz w:val="24"/>
                <w:szCs w:val="22"/>
              </w:rPr>
              <w:t>会影响植被的生长。</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lang w:val="en-US" w:eastAsia="zh-CN"/>
              </w:rPr>
              <w:t>4</w:t>
            </w:r>
            <w:r>
              <w:rPr>
                <w:rFonts w:hint="eastAsia" w:ascii="Times New Roman" w:hAnsi="Times New Roman" w:cs="Times New Roman"/>
                <w:color w:val="auto"/>
                <w:sz w:val="24"/>
                <w:szCs w:val="22"/>
                <w:lang w:eastAsia="zh-CN"/>
              </w:rPr>
              <w:t>）土壤</w:t>
            </w:r>
            <w:r>
              <w:rPr>
                <w:rFonts w:hint="eastAsia" w:ascii="Times New Roman" w:hAnsi="Times New Roman" w:cs="Times New Roman"/>
                <w:color w:val="auto"/>
                <w:sz w:val="24"/>
                <w:szCs w:val="22"/>
              </w:rPr>
              <w:t>养分流失。</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体</w:t>
            </w:r>
            <w:r>
              <w:rPr>
                <w:rFonts w:hint="eastAsia" w:ascii="Times New Roman" w:hAnsi="Times New Roman" w:cs="Times New Roman"/>
                <w:color w:val="auto"/>
                <w:sz w:val="24"/>
                <w:szCs w:val="22"/>
                <w:lang w:eastAsia="zh-CN"/>
              </w:rPr>
              <w:t>构型是</w:t>
            </w:r>
            <w:r>
              <w:rPr>
                <w:rFonts w:hint="eastAsia" w:ascii="Times New Roman" w:hAnsi="Times New Roman" w:cs="Times New Roman"/>
                <w:color w:val="auto"/>
                <w:sz w:val="24"/>
                <w:szCs w:val="22"/>
              </w:rPr>
              <w:t>土壤剖面中各种</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层</w:t>
            </w:r>
            <w:r>
              <w:rPr>
                <w:rFonts w:hint="eastAsia" w:ascii="Times New Roman" w:hAnsi="Times New Roman" w:cs="Times New Roman"/>
                <w:color w:val="auto"/>
                <w:sz w:val="24"/>
                <w:szCs w:val="22"/>
                <w:lang w:eastAsia="zh-CN"/>
              </w:rPr>
              <w:t>组合</w:t>
            </w:r>
            <w:r>
              <w:rPr>
                <w:rFonts w:hint="eastAsia" w:ascii="Times New Roman" w:hAnsi="Times New Roman" w:cs="Times New Roman"/>
                <w:color w:val="auto"/>
                <w:sz w:val="24"/>
                <w:szCs w:val="22"/>
              </w:rPr>
              <w:t>情况，不同</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层的特征及理化性质差异较大，就</w:t>
            </w:r>
            <w:r>
              <w:rPr>
                <w:rFonts w:hint="eastAsia" w:ascii="Times New Roman" w:hAnsi="Times New Roman" w:cs="Times New Roman"/>
                <w:color w:val="auto"/>
                <w:sz w:val="24"/>
                <w:szCs w:val="22"/>
                <w:lang w:eastAsia="zh-CN"/>
              </w:rPr>
              <w:t>养</w:t>
            </w:r>
            <w:r>
              <w:rPr>
                <w:rFonts w:hint="eastAsia" w:ascii="Times New Roman" w:hAnsi="Times New Roman" w:cs="Times New Roman"/>
                <w:color w:val="auto"/>
                <w:sz w:val="24"/>
                <w:szCs w:val="22"/>
              </w:rPr>
              <w:t>分状况而</w:t>
            </w:r>
            <w:r>
              <w:rPr>
                <w:rFonts w:hint="eastAsia" w:ascii="Times New Roman" w:hAnsi="Times New Roman" w:cs="Times New Roman"/>
                <w:color w:val="auto"/>
                <w:sz w:val="24"/>
                <w:szCs w:val="22"/>
                <w:lang w:eastAsia="zh-CN"/>
              </w:rPr>
              <w:t>言</w:t>
            </w:r>
            <w:r>
              <w:rPr>
                <w:rFonts w:hint="eastAsia" w:ascii="Times New Roman" w:hAnsi="Times New Roman" w:cs="Times New Roman"/>
                <w:color w:val="auto"/>
                <w:sz w:val="24"/>
                <w:szCs w:val="22"/>
              </w:rPr>
              <w:t>，表</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层（</w:t>
            </w:r>
            <w:r>
              <w:rPr>
                <w:rFonts w:hint="eastAsia" w:ascii="Times New Roman" w:hAnsi="Times New Roman" w:cs="Times New Roman"/>
                <w:color w:val="auto"/>
                <w:sz w:val="24"/>
                <w:szCs w:val="22"/>
                <w:lang w:eastAsia="zh-CN"/>
              </w:rPr>
              <w:t>腐殖质</w:t>
            </w:r>
            <w:r>
              <w:rPr>
                <w:rFonts w:hint="eastAsia" w:ascii="Times New Roman" w:hAnsi="Times New Roman" w:cs="Times New Roman"/>
                <w:color w:val="auto"/>
                <w:sz w:val="24"/>
                <w:szCs w:val="22"/>
              </w:rPr>
              <w:t>层或耕作层）</w:t>
            </w:r>
            <w:r>
              <w:rPr>
                <w:rFonts w:hint="eastAsia" w:ascii="Times New Roman" w:hAnsi="Times New Roman" w:cs="Times New Roman"/>
                <w:color w:val="auto"/>
                <w:sz w:val="24"/>
                <w:szCs w:val="22"/>
                <w:lang w:eastAsia="zh-CN"/>
              </w:rPr>
              <w:t>远</w:t>
            </w:r>
            <w:r>
              <w:rPr>
                <w:rFonts w:hint="eastAsia" w:ascii="Times New Roman" w:hAnsi="Times New Roman" w:cs="Times New Roman"/>
                <w:color w:val="auto"/>
                <w:sz w:val="24"/>
                <w:szCs w:val="22"/>
              </w:rPr>
              <w:t>较心</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层好，其</w:t>
            </w:r>
            <w:r>
              <w:rPr>
                <w:rFonts w:hint="eastAsia" w:ascii="Times New Roman" w:hAnsi="Times New Roman" w:cs="Times New Roman"/>
                <w:color w:val="auto"/>
                <w:sz w:val="24"/>
                <w:szCs w:val="22"/>
                <w:lang w:eastAsia="zh-CN"/>
              </w:rPr>
              <w:t>有</w:t>
            </w:r>
            <w:r>
              <w:rPr>
                <w:rFonts w:hint="eastAsia" w:ascii="Times New Roman" w:hAnsi="Times New Roman" w:cs="Times New Roman"/>
                <w:color w:val="auto"/>
                <w:sz w:val="24"/>
                <w:szCs w:val="22"/>
              </w:rPr>
              <w:t>机质、全</w:t>
            </w:r>
            <w:r>
              <w:rPr>
                <w:rFonts w:hint="eastAsia" w:ascii="Times New Roman" w:hAnsi="Times New Roman" w:cs="Times New Roman"/>
                <w:color w:val="auto"/>
                <w:sz w:val="24"/>
                <w:szCs w:val="22"/>
                <w:lang w:eastAsia="zh-CN"/>
              </w:rPr>
              <w:t>氮</w:t>
            </w:r>
            <w:r>
              <w:rPr>
                <w:rFonts w:hint="eastAsia" w:ascii="Times New Roman" w:hAnsi="Times New Roman" w:cs="Times New Roman"/>
                <w:color w:val="auto"/>
                <w:sz w:val="24"/>
                <w:szCs w:val="22"/>
              </w:rPr>
              <w:t>、磷等含</w:t>
            </w:r>
            <w:r>
              <w:rPr>
                <w:rFonts w:hint="eastAsia" w:ascii="Times New Roman" w:hAnsi="Times New Roman" w:cs="Times New Roman"/>
                <w:color w:val="auto"/>
                <w:sz w:val="24"/>
                <w:szCs w:val="22"/>
                <w:lang w:eastAsia="zh-CN"/>
              </w:rPr>
              <w:t>量</w:t>
            </w:r>
            <w:r>
              <w:rPr>
                <w:rFonts w:hint="eastAsia" w:ascii="Times New Roman" w:hAnsi="Times New Roman" w:cs="Times New Roman"/>
                <w:color w:val="auto"/>
                <w:sz w:val="24"/>
                <w:szCs w:val="22"/>
              </w:rPr>
              <w:t>高，紧实度、孔隙状况适中</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适</w:t>
            </w:r>
            <w:r>
              <w:rPr>
                <w:rFonts w:hint="eastAsia" w:ascii="Times New Roman" w:hAnsi="Times New Roman" w:cs="Times New Roman"/>
                <w:color w:val="auto"/>
                <w:sz w:val="24"/>
                <w:szCs w:val="22"/>
                <w:lang w:eastAsia="zh-CN"/>
              </w:rPr>
              <w:t>应</w:t>
            </w:r>
            <w:r>
              <w:rPr>
                <w:rFonts w:hint="eastAsia" w:ascii="Times New Roman" w:hAnsi="Times New Roman" w:cs="Times New Roman"/>
                <w:color w:val="auto"/>
                <w:sz w:val="24"/>
                <w:szCs w:val="22"/>
              </w:rPr>
              <w:t>性强。管线施</w:t>
            </w:r>
            <w:r>
              <w:rPr>
                <w:rFonts w:hint="eastAsia" w:ascii="Times New Roman" w:hAnsi="Times New Roman" w:cs="Times New Roman"/>
                <w:color w:val="auto"/>
                <w:sz w:val="24"/>
                <w:szCs w:val="22"/>
                <w:lang w:eastAsia="zh-CN"/>
              </w:rPr>
              <w:t>工</w:t>
            </w:r>
            <w:r>
              <w:rPr>
                <w:rFonts w:hint="eastAsia" w:ascii="Times New Roman" w:hAnsi="Times New Roman" w:cs="Times New Roman"/>
                <w:color w:val="auto"/>
                <w:sz w:val="24"/>
                <w:szCs w:val="22"/>
              </w:rPr>
              <w:t>势必扰动原有土体构型，使土壤养分受到严承影响，严</w:t>
            </w:r>
            <w:r>
              <w:rPr>
                <w:rFonts w:hint="eastAsia" w:ascii="Times New Roman" w:hAnsi="Times New Roman" w:cs="Times New Roman"/>
                <w:color w:val="auto"/>
                <w:sz w:val="24"/>
                <w:szCs w:val="22"/>
                <w:lang w:eastAsia="zh-CN"/>
              </w:rPr>
              <w:t>重者</w:t>
            </w:r>
            <w:r>
              <w:rPr>
                <w:rFonts w:hint="eastAsia" w:ascii="Times New Roman" w:hAnsi="Times New Roman" w:cs="Times New Roman"/>
                <w:color w:val="auto"/>
                <w:sz w:val="24"/>
                <w:szCs w:val="22"/>
              </w:rPr>
              <w:t>使土壤性质恶化，波及其上生长的</w:t>
            </w:r>
            <w:r>
              <w:rPr>
                <w:rFonts w:hint="eastAsia" w:ascii="Times New Roman" w:hAnsi="Times New Roman" w:cs="Times New Roman"/>
                <w:color w:val="auto"/>
                <w:sz w:val="24"/>
                <w:szCs w:val="22"/>
                <w:lang w:eastAsia="zh-CN"/>
              </w:rPr>
              <w:t>植</w:t>
            </w:r>
            <w:r>
              <w:rPr>
                <w:rFonts w:hint="eastAsia" w:ascii="Times New Roman" w:hAnsi="Times New Roman" w:cs="Times New Roman"/>
                <w:color w:val="auto"/>
                <w:sz w:val="24"/>
                <w:szCs w:val="22"/>
              </w:rPr>
              <w:t>被，</w:t>
            </w:r>
            <w:r>
              <w:rPr>
                <w:rFonts w:hint="eastAsia" w:ascii="Times New Roman" w:hAnsi="Times New Roman" w:cs="Times New Roman"/>
                <w:color w:val="auto"/>
                <w:sz w:val="24"/>
                <w:szCs w:val="22"/>
                <w:lang w:eastAsia="zh-CN"/>
              </w:rPr>
              <w:t>甚</w:t>
            </w:r>
            <w:r>
              <w:rPr>
                <w:rFonts w:hint="eastAsia" w:ascii="Times New Roman" w:hAnsi="Times New Roman" w:cs="Times New Roman"/>
                <w:color w:val="auto"/>
                <w:sz w:val="24"/>
                <w:szCs w:val="22"/>
              </w:rPr>
              <w:t>至难以</w:t>
            </w:r>
            <w:r>
              <w:rPr>
                <w:rFonts w:hint="eastAsia" w:ascii="Times New Roman" w:hAnsi="Times New Roman" w:cs="Times New Roman"/>
                <w:color w:val="auto"/>
                <w:sz w:val="24"/>
                <w:szCs w:val="22"/>
                <w:lang w:eastAsia="zh-CN"/>
              </w:rPr>
              <w:t>恢复</w:t>
            </w:r>
            <w:r>
              <w:rPr>
                <w:rFonts w:hint="eastAsia" w:ascii="Times New Roman" w:hAnsi="Times New Roman" w:cs="Times New Roman"/>
                <w:color w:val="auto"/>
                <w:sz w:val="24"/>
                <w:szCs w:val="22"/>
              </w:rPr>
              <w:t>。据</w:t>
            </w:r>
            <w:r>
              <w:rPr>
                <w:rFonts w:hint="eastAsia" w:ascii="Times New Roman" w:hAnsi="Times New Roman" w:cs="Times New Roman"/>
                <w:color w:val="auto"/>
                <w:sz w:val="24"/>
                <w:szCs w:val="22"/>
                <w:lang w:eastAsia="zh-CN"/>
              </w:rPr>
              <w:t>有</w:t>
            </w:r>
            <w:r>
              <w:rPr>
                <w:rFonts w:hint="eastAsia" w:ascii="Times New Roman" w:hAnsi="Times New Roman" w:cs="Times New Roman"/>
                <w:color w:val="auto"/>
                <w:sz w:val="24"/>
                <w:szCs w:val="22"/>
              </w:rPr>
              <w:t>关资料，输气管线工程对土壤养分的影响与土壤的理化性质密切相关。在实行分层堆放、分层</w:t>
            </w:r>
            <w:r>
              <w:rPr>
                <w:rFonts w:hint="eastAsia" w:ascii="Times New Roman" w:hAnsi="Times New Roman" w:cs="Times New Roman"/>
                <w:color w:val="auto"/>
                <w:sz w:val="24"/>
                <w:szCs w:val="22"/>
                <w:lang w:eastAsia="zh-CN"/>
              </w:rPr>
              <w:t>覆</w:t>
            </w:r>
            <w:r>
              <w:rPr>
                <w:rFonts w:hint="eastAsia" w:ascii="Times New Roman" w:hAnsi="Times New Roman" w:cs="Times New Roman"/>
                <w:color w:val="auto"/>
                <w:sz w:val="24"/>
                <w:szCs w:val="22"/>
              </w:rPr>
              <w:t>土的措施</w:t>
            </w:r>
            <w:r>
              <w:rPr>
                <w:rFonts w:hint="eastAsia" w:ascii="Times New Roman" w:hAnsi="Times New Roman" w:cs="Times New Roman"/>
                <w:color w:val="auto"/>
                <w:sz w:val="24"/>
                <w:szCs w:val="22"/>
                <w:lang w:eastAsia="zh-CN"/>
              </w:rPr>
              <w:t>下</w:t>
            </w:r>
            <w:r>
              <w:rPr>
                <w:rFonts w:hint="eastAsia" w:ascii="Times New Roman" w:hAnsi="Times New Roman" w:cs="Times New Roman"/>
                <w:color w:val="auto"/>
                <w:sz w:val="24"/>
                <w:szCs w:val="22"/>
              </w:rPr>
              <w:t>，土壤中的有机质将下降30%〜40%，土壤</w:t>
            </w:r>
            <w:r>
              <w:rPr>
                <w:rFonts w:hint="eastAsia" w:ascii="Times New Roman" w:hAnsi="Times New Roman" w:cs="Times New Roman"/>
                <w:color w:val="auto"/>
                <w:sz w:val="24"/>
                <w:szCs w:val="22"/>
                <w:lang w:eastAsia="zh-CN"/>
              </w:rPr>
              <w:t>全氮</w:t>
            </w:r>
            <w:r>
              <w:rPr>
                <w:rFonts w:hint="eastAsia" w:ascii="Times New Roman" w:hAnsi="Times New Roman" w:cs="Times New Roman"/>
                <w:color w:val="auto"/>
                <w:sz w:val="24"/>
                <w:szCs w:val="22"/>
              </w:rPr>
              <w:t>将</w:t>
            </w:r>
            <w:r>
              <w:rPr>
                <w:rFonts w:hint="eastAsia" w:ascii="Times New Roman" w:hAnsi="Times New Roman" w:cs="Times New Roman"/>
                <w:color w:val="auto"/>
                <w:sz w:val="24"/>
                <w:szCs w:val="22"/>
                <w:lang w:eastAsia="zh-CN"/>
              </w:rPr>
              <w:t>下降</w:t>
            </w:r>
            <w:r>
              <w:rPr>
                <w:rFonts w:hint="eastAsia" w:ascii="Times New Roman" w:hAnsi="Times New Roman" w:cs="Times New Roman"/>
                <w:color w:val="auto"/>
                <w:sz w:val="24"/>
                <w:szCs w:val="22"/>
              </w:rPr>
              <w:t>30%〜50%，其中全</w:t>
            </w:r>
            <w:r>
              <w:rPr>
                <w:rFonts w:hint="eastAsia" w:ascii="Times New Roman" w:hAnsi="Times New Roman" w:cs="Times New Roman"/>
                <w:color w:val="auto"/>
                <w:sz w:val="24"/>
                <w:szCs w:val="22"/>
                <w:lang w:eastAsia="zh-CN"/>
              </w:rPr>
              <w:t>氮</w:t>
            </w:r>
            <w:r>
              <w:rPr>
                <w:rFonts w:hint="eastAsia" w:ascii="Times New Roman" w:hAnsi="Times New Roman" w:cs="Times New Roman"/>
                <w:color w:val="auto"/>
                <w:sz w:val="24"/>
                <w:szCs w:val="22"/>
              </w:rPr>
              <w:t>下降43%左右，</w:t>
            </w:r>
            <w:r>
              <w:rPr>
                <w:rFonts w:hint="eastAsia" w:ascii="Times New Roman" w:hAnsi="Times New Roman" w:cs="Times New Roman"/>
                <w:color w:val="auto"/>
                <w:sz w:val="24"/>
                <w:szCs w:val="22"/>
                <w:lang w:eastAsia="zh-CN"/>
              </w:rPr>
              <w:t>磷素下降</w:t>
            </w:r>
            <w:r>
              <w:rPr>
                <w:rFonts w:hint="eastAsia" w:ascii="Times New Roman" w:hAnsi="Times New Roman" w:cs="Times New Roman"/>
                <w:color w:val="auto"/>
                <w:sz w:val="24"/>
                <w:szCs w:val="22"/>
              </w:rPr>
              <w:t>40%。这</w:t>
            </w:r>
            <w:r>
              <w:rPr>
                <w:rFonts w:hint="eastAsia" w:ascii="Times New Roman" w:hAnsi="Times New Roman" w:cs="Times New Roman"/>
                <w:color w:val="auto"/>
                <w:sz w:val="24"/>
                <w:szCs w:val="22"/>
                <w:lang w:eastAsia="zh-CN"/>
              </w:rPr>
              <w:t>说</w:t>
            </w:r>
            <w:r>
              <w:rPr>
                <w:rFonts w:hint="eastAsia" w:ascii="Times New Roman" w:hAnsi="Times New Roman" w:cs="Times New Roman"/>
                <w:color w:val="auto"/>
                <w:sz w:val="24"/>
                <w:szCs w:val="22"/>
              </w:rPr>
              <w:t>明即使对</w:t>
            </w:r>
            <w:r>
              <w:rPr>
                <w:rFonts w:hint="eastAsia" w:ascii="Times New Roman" w:hAnsi="Times New Roman" w:cs="Times New Roman"/>
                <w:color w:val="auto"/>
                <w:sz w:val="24"/>
                <w:szCs w:val="22"/>
                <w:lang w:eastAsia="zh-CN"/>
              </w:rPr>
              <w:t>表</w:t>
            </w:r>
            <w:r>
              <w:rPr>
                <w:rFonts w:hint="eastAsia" w:ascii="Times New Roman" w:hAnsi="Times New Roman" w:cs="Times New Roman"/>
                <w:color w:val="auto"/>
                <w:sz w:val="24"/>
                <w:szCs w:val="22"/>
              </w:rPr>
              <w:t>土实行分层堆放和分层</w:t>
            </w:r>
            <w:r>
              <w:rPr>
                <w:rFonts w:hint="eastAsia" w:ascii="Times New Roman" w:hAnsi="Times New Roman" w:cs="Times New Roman"/>
                <w:color w:val="auto"/>
                <w:sz w:val="24"/>
                <w:szCs w:val="22"/>
                <w:lang w:eastAsia="zh-CN"/>
              </w:rPr>
              <w:t>覆土，</w:t>
            </w:r>
            <w:r>
              <w:rPr>
                <w:rFonts w:hint="eastAsia" w:ascii="Times New Roman" w:hAnsi="Times New Roman" w:cs="Times New Roman"/>
                <w:color w:val="auto"/>
                <w:sz w:val="24"/>
                <w:szCs w:val="22"/>
              </w:rPr>
              <w:t>管线工程对土壤养分仍有明显的影响。</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lang w:eastAsia="zh-CN"/>
              </w:rPr>
              <w:t>本</w:t>
            </w:r>
            <w:r>
              <w:rPr>
                <w:rFonts w:hint="eastAsia" w:ascii="Times New Roman" w:hAnsi="Times New Roman" w:cs="Times New Roman"/>
                <w:color w:val="auto"/>
                <w:sz w:val="24"/>
                <w:szCs w:val="22"/>
              </w:rPr>
              <w:t>项</w:t>
            </w:r>
            <w:r>
              <w:rPr>
                <w:rFonts w:hint="eastAsia" w:ascii="Times New Roman" w:hAnsi="Times New Roman" w:cs="Times New Roman"/>
                <w:color w:val="auto"/>
                <w:sz w:val="24"/>
                <w:szCs w:val="22"/>
                <w:lang w:eastAsia="zh-CN"/>
              </w:rPr>
              <w:t>目</w:t>
            </w:r>
            <w:r>
              <w:rPr>
                <w:rFonts w:hint="eastAsia" w:ascii="Times New Roman" w:hAnsi="Times New Roman" w:cs="Times New Roman"/>
                <w:color w:val="auto"/>
                <w:sz w:val="24"/>
                <w:szCs w:val="22"/>
              </w:rPr>
              <w:t>施工时管沟开挖采用分层开挖方式，</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石方开挖</w:t>
            </w:r>
            <w:r>
              <w:rPr>
                <w:rFonts w:hint="eastAsia" w:ascii="Times New Roman" w:hAnsi="Times New Roman" w:cs="Times New Roman"/>
                <w:color w:val="auto"/>
                <w:sz w:val="24"/>
                <w:szCs w:val="22"/>
                <w:lang w:eastAsia="zh-CN"/>
              </w:rPr>
              <w:t>直</w:t>
            </w:r>
            <w:r>
              <w:rPr>
                <w:rFonts w:hint="eastAsia" w:ascii="Times New Roman" w:hAnsi="Times New Roman" w:cs="Times New Roman"/>
                <w:color w:val="auto"/>
                <w:sz w:val="24"/>
                <w:szCs w:val="22"/>
              </w:rPr>
              <w:t>接在</w:t>
            </w:r>
            <w:r>
              <w:rPr>
                <w:rFonts w:hint="eastAsia" w:ascii="Times New Roman" w:hAnsi="Times New Roman" w:cs="Times New Roman"/>
                <w:color w:val="auto"/>
                <w:sz w:val="24"/>
                <w:szCs w:val="22"/>
                <w:lang w:eastAsia="zh-CN"/>
              </w:rPr>
              <w:t>作业</w:t>
            </w:r>
            <w:r>
              <w:rPr>
                <w:rFonts w:hint="eastAsia" w:ascii="Times New Roman" w:hAnsi="Times New Roman" w:cs="Times New Roman"/>
                <w:color w:val="auto"/>
                <w:sz w:val="24"/>
                <w:szCs w:val="22"/>
              </w:rPr>
              <w:t>带内采用分区堆存的方式，表</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与</w:t>
            </w:r>
            <w:r>
              <w:rPr>
                <w:rFonts w:hint="eastAsia" w:ascii="Times New Roman" w:hAnsi="Times New Roman" w:cs="Times New Roman"/>
                <w:color w:val="auto"/>
                <w:sz w:val="24"/>
                <w:szCs w:val="22"/>
                <w:lang w:eastAsia="zh-CN"/>
              </w:rPr>
              <w:t>下</w:t>
            </w:r>
            <w:r>
              <w:rPr>
                <w:rFonts w:hint="eastAsia" w:ascii="Times New Roman" w:hAnsi="Times New Roman" w:cs="Times New Roman"/>
                <w:color w:val="auto"/>
                <w:sz w:val="24"/>
                <w:szCs w:val="22"/>
              </w:rPr>
              <w:t>层</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壤分开存放，</w:t>
            </w:r>
            <w:r>
              <w:rPr>
                <w:rFonts w:hint="eastAsia" w:ascii="Times New Roman" w:hAnsi="Times New Roman" w:cs="Times New Roman"/>
                <w:color w:val="auto"/>
                <w:sz w:val="24"/>
                <w:szCs w:val="22"/>
                <w:lang w:eastAsia="zh-CN"/>
              </w:rPr>
              <w:t>于</w:t>
            </w:r>
            <w:r>
              <w:rPr>
                <w:rFonts w:hint="eastAsia" w:ascii="Times New Roman" w:hAnsi="Times New Roman" w:cs="Times New Roman"/>
                <w:color w:val="auto"/>
                <w:sz w:val="24"/>
                <w:szCs w:val="22"/>
              </w:rPr>
              <w:t>施工作业带中断设置</w:t>
            </w:r>
            <w:r>
              <w:rPr>
                <w:rFonts w:hint="eastAsia" w:ascii="Times New Roman" w:hAnsi="Times New Roman" w:cs="Times New Roman"/>
                <w:color w:val="auto"/>
                <w:sz w:val="24"/>
                <w:szCs w:val="22"/>
                <w:lang w:val="en-US" w:eastAsia="zh-CN"/>
              </w:rPr>
              <w:t>1</w:t>
            </w:r>
            <w:r>
              <w:rPr>
                <w:rFonts w:hint="eastAsia" w:ascii="Times New Roman" w:hAnsi="Times New Roman" w:cs="Times New Roman"/>
                <w:color w:val="auto"/>
                <w:sz w:val="24"/>
                <w:szCs w:val="22"/>
              </w:rPr>
              <w:t>处表土堆放场地，四周采用</w:t>
            </w:r>
            <w:r>
              <w:rPr>
                <w:rFonts w:hint="eastAsia" w:ascii="Times New Roman" w:hAnsi="Times New Roman" w:cs="Times New Roman"/>
                <w:color w:val="auto"/>
                <w:sz w:val="24"/>
                <w:szCs w:val="22"/>
                <w:lang w:eastAsia="zh-CN"/>
              </w:rPr>
              <w:t>土</w:t>
            </w:r>
            <w:r>
              <w:rPr>
                <w:rFonts w:hint="eastAsia" w:ascii="Times New Roman" w:hAnsi="Times New Roman" w:cs="Times New Roman"/>
                <w:color w:val="auto"/>
                <w:sz w:val="24"/>
                <w:szCs w:val="22"/>
              </w:rPr>
              <w:t>袋</w:t>
            </w:r>
            <w:r>
              <w:rPr>
                <w:rFonts w:hint="eastAsia" w:ascii="Times New Roman" w:hAnsi="Times New Roman" w:cs="Times New Roman"/>
                <w:color w:val="auto"/>
                <w:sz w:val="24"/>
                <w:szCs w:val="22"/>
                <w:lang w:eastAsia="zh-CN"/>
              </w:rPr>
              <w:t>围挡</w:t>
            </w:r>
            <w:r>
              <w:rPr>
                <w:rFonts w:hint="eastAsia" w:ascii="Times New Roman" w:hAnsi="Times New Roman" w:cs="Times New Roman"/>
                <w:color w:val="auto"/>
                <w:sz w:val="24"/>
                <w:szCs w:val="22"/>
              </w:rPr>
              <w:t>，避免混杂。管沟回填时注意分层回填。</w:t>
            </w:r>
            <w:r>
              <w:rPr>
                <w:rFonts w:hint="eastAsia" w:ascii="Times New Roman" w:hAnsi="Times New Roman" w:cs="Times New Roman"/>
                <w:color w:val="auto"/>
                <w:sz w:val="24"/>
                <w:szCs w:val="22"/>
                <w:lang w:eastAsia="zh-CN"/>
              </w:rPr>
              <w:t>可最</w:t>
            </w:r>
            <w:r>
              <w:rPr>
                <w:rFonts w:hint="eastAsia" w:ascii="Times New Roman" w:hAnsi="Times New Roman" w:cs="Times New Roman"/>
                <w:color w:val="auto"/>
                <w:sz w:val="24"/>
                <w:szCs w:val="22"/>
              </w:rPr>
              <w:t>大限度减少表层土壤的有机质流失。</w:t>
            </w:r>
          </w:p>
          <w:p>
            <w:pPr>
              <w:spacing w:line="360" w:lineRule="auto"/>
              <w:ind w:firstLine="480" w:firstLineChars="200"/>
              <w:rPr>
                <w:rFonts w:hint="eastAsia" w:ascii="Times New Roman" w:hAnsi="Times New Roman" w:cs="Times New Roman"/>
                <w:color w:val="auto"/>
                <w:sz w:val="24"/>
                <w:szCs w:val="22"/>
              </w:rPr>
            </w:pPr>
            <w:r>
              <w:rPr>
                <w:rFonts w:hint="eastAsia" w:ascii="Times New Roman" w:hAnsi="Times New Roman" w:cs="Times New Roman"/>
                <w:color w:val="auto"/>
                <w:sz w:val="24"/>
                <w:szCs w:val="22"/>
                <w:lang w:val="en-US" w:eastAsia="zh-CN"/>
              </w:rPr>
              <w:t>5</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rPr>
              <w:t>管线施工除</w:t>
            </w:r>
            <w:r>
              <w:rPr>
                <w:rFonts w:hint="eastAsia" w:ascii="Times New Roman" w:hAnsi="Times New Roman" w:cs="Times New Roman"/>
                <w:color w:val="auto"/>
                <w:sz w:val="24"/>
                <w:szCs w:val="22"/>
                <w:lang w:eastAsia="zh-CN"/>
              </w:rPr>
              <w:t>了</w:t>
            </w:r>
            <w:r>
              <w:rPr>
                <w:rFonts w:hint="eastAsia" w:ascii="Times New Roman" w:hAnsi="Times New Roman" w:cs="Times New Roman"/>
                <w:color w:val="auto"/>
                <w:sz w:val="24"/>
                <w:szCs w:val="22"/>
              </w:rPr>
              <w:t>开挖</w:t>
            </w:r>
            <w:r>
              <w:rPr>
                <w:rFonts w:hint="eastAsia" w:ascii="Times New Roman" w:hAnsi="Times New Roman" w:cs="Times New Roman"/>
                <w:color w:val="auto"/>
                <w:sz w:val="24"/>
                <w:szCs w:val="22"/>
                <w:lang w:eastAsia="zh-CN"/>
              </w:rPr>
              <w:t>回填</w:t>
            </w:r>
            <w:r>
              <w:rPr>
                <w:rFonts w:hint="eastAsia" w:ascii="Times New Roman" w:hAnsi="Times New Roman" w:cs="Times New Roman"/>
                <w:color w:val="auto"/>
                <w:sz w:val="24"/>
                <w:szCs w:val="22"/>
              </w:rPr>
              <w:t>影响土壤性质和结构外，施工过程中的</w:t>
            </w:r>
            <w:r>
              <w:rPr>
                <w:rFonts w:hint="eastAsia" w:ascii="Times New Roman" w:hAnsi="Times New Roman" w:cs="Times New Roman"/>
                <w:color w:val="auto"/>
                <w:sz w:val="24"/>
                <w:szCs w:val="22"/>
                <w:lang w:eastAsia="zh-CN"/>
              </w:rPr>
              <w:t>废物</w:t>
            </w:r>
            <w:r>
              <w:rPr>
                <w:rFonts w:hint="eastAsia" w:ascii="Times New Roman" w:hAnsi="Times New Roman" w:cs="Times New Roman"/>
                <w:color w:val="auto"/>
                <w:sz w:val="24"/>
                <w:szCs w:val="22"/>
              </w:rPr>
              <w:t>对土壤</w:t>
            </w:r>
            <w:r>
              <w:rPr>
                <w:rFonts w:hint="eastAsia" w:ascii="Times New Roman" w:hAnsi="Times New Roman" w:cs="Times New Roman"/>
                <w:color w:val="auto"/>
                <w:sz w:val="24"/>
                <w:szCs w:val="22"/>
                <w:lang w:eastAsia="zh-CN"/>
              </w:rPr>
              <w:t>也有</w:t>
            </w:r>
            <w:r>
              <w:rPr>
                <w:rFonts w:hint="eastAsia" w:ascii="Times New Roman" w:hAnsi="Times New Roman" w:cs="Times New Roman"/>
                <w:color w:val="auto"/>
                <w:sz w:val="24"/>
                <w:szCs w:val="22"/>
              </w:rPr>
              <w:t>影响。管线施工包括管线焊接、保温、防腐、</w:t>
            </w:r>
            <w:r>
              <w:rPr>
                <w:rFonts w:hint="eastAsia" w:ascii="Times New Roman" w:hAnsi="Times New Roman" w:cs="Times New Roman"/>
                <w:color w:val="auto"/>
                <w:sz w:val="24"/>
                <w:szCs w:val="22"/>
                <w:lang w:eastAsia="zh-CN"/>
              </w:rPr>
              <w:t>清</w:t>
            </w:r>
            <w:r>
              <w:rPr>
                <w:rFonts w:hint="eastAsia" w:ascii="Times New Roman" w:hAnsi="Times New Roman" w:cs="Times New Roman"/>
                <w:color w:val="auto"/>
                <w:sz w:val="24"/>
                <w:szCs w:val="22"/>
              </w:rPr>
              <w:t>洗等工序，这</w:t>
            </w:r>
            <w:r>
              <w:rPr>
                <w:rFonts w:hint="eastAsia" w:ascii="Times New Roman" w:hAnsi="Times New Roman" w:cs="Times New Roman"/>
                <w:color w:val="auto"/>
                <w:sz w:val="24"/>
                <w:szCs w:val="22"/>
                <w:lang w:eastAsia="zh-CN"/>
              </w:rPr>
              <w:t>些</w:t>
            </w:r>
            <w:r>
              <w:rPr>
                <w:rFonts w:hint="eastAsia" w:ascii="Times New Roman" w:hAnsi="Times New Roman" w:cs="Times New Roman"/>
                <w:color w:val="auto"/>
                <w:sz w:val="24"/>
                <w:szCs w:val="22"/>
              </w:rPr>
              <w:t>工序的施</w:t>
            </w:r>
            <w:r>
              <w:rPr>
                <w:rFonts w:hint="eastAsia" w:ascii="Times New Roman" w:hAnsi="Times New Roman" w:cs="Times New Roman"/>
                <w:color w:val="auto"/>
                <w:sz w:val="24"/>
                <w:szCs w:val="22"/>
                <w:lang w:eastAsia="zh-CN"/>
              </w:rPr>
              <w:t>工有可</w:t>
            </w:r>
            <w:r>
              <w:rPr>
                <w:rFonts w:hint="eastAsia" w:ascii="Times New Roman" w:hAnsi="Times New Roman" w:cs="Times New Roman"/>
                <w:color w:val="auto"/>
                <w:sz w:val="24"/>
                <w:szCs w:val="22"/>
              </w:rPr>
              <w:t>能把废渣、废液排放到土壤中，在土壤中长时间残</w:t>
            </w:r>
            <w:r>
              <w:rPr>
                <w:rFonts w:hint="eastAsia" w:ascii="Times New Roman" w:hAnsi="Times New Roman" w:cs="Times New Roman"/>
                <w:color w:val="auto"/>
                <w:sz w:val="24"/>
                <w:szCs w:val="22"/>
                <w:lang w:eastAsia="zh-CN"/>
              </w:rPr>
              <w:t>留</w:t>
            </w:r>
            <w:r>
              <w:rPr>
                <w:rFonts w:hint="eastAsia" w:ascii="Times New Roman" w:hAnsi="Times New Roman" w:cs="Times New Roman"/>
                <w:color w:val="auto"/>
                <w:sz w:val="24"/>
                <w:szCs w:val="22"/>
              </w:rPr>
              <w:t>，从而影响土壤耕作和农作物</w:t>
            </w:r>
            <w:r>
              <w:rPr>
                <w:rFonts w:hint="eastAsia" w:ascii="Times New Roman" w:hAnsi="Times New Roman" w:cs="Times New Roman"/>
                <w:color w:val="auto"/>
                <w:sz w:val="24"/>
                <w:szCs w:val="22"/>
                <w:lang w:eastAsia="zh-CN"/>
              </w:rPr>
              <w:t>生</w:t>
            </w:r>
            <w:r>
              <w:rPr>
                <w:rFonts w:hint="eastAsia" w:ascii="Times New Roman" w:hAnsi="Times New Roman" w:cs="Times New Roman"/>
                <w:color w:val="auto"/>
                <w:sz w:val="24"/>
                <w:szCs w:val="22"/>
              </w:rPr>
              <w:t>长。</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 xml:space="preserve"> ③对土地利用格局影响分析</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本工程临时用地主要是施工作业带的临时占地，现状为自然草丛和荒地，工程结束后将对其采取生态恢复措施或进行复垦，预计在施工结束后可基本恢复原有的土地利用类型。</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④沿线水土流失</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项目区位于长江中下游平原区，根据主体工程布局、施工工艺特点及造成水土流失的主导因子相近或相似的原则划分。本工程不设施工便道和临时弃土场，全线均为大开挖作业，工程主要水土流失防治区即为管道工程区。</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本工程水土流失主要发生在施工期，尤其是管线土石方施工期，是管线开挖及建筑形成裸露边坡时段也是产生水土流失量及流失强度较大的时段，需要重点防治的时段。该时段水土流失的防治是本工程水土流失防治的关键时段。各类施工活动应严格限定在用地范围内，严禁随意占压、扰动和破坏地表植被。做好表上的剥离、集中堆放、拦挡、排水及恢复等措施，禁止土方随意倾倒。加强施工组织管理和临时防护，严格控制施工期间可能造成的水土流失。</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（2）施工期生态环境保护措施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①生态保护管理体系</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1）建立高效、务实的生态保护管理体系：建立信息沟通渠道，接收管道沿线林业主管部门和环保主管部门等的监督管理。</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2）加强工程的生态保护监理工作。</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3）建设单位应加强设计后续服务的管理工作。</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②工程占地保护措施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1）施工人员、施工车辆以及各种设备应按规定的路线行驶、操作，不得随意破坏道路等设施。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管道施工过程中必须做到管沟区土壤的分层剥离、分层开挖、分层堆放和循序分层回填（即将表层比较肥沃的土壤分层剥离，集中堆放；在管道施工结束后回填土必须按次序分层覆土，最后将表层比较肥沃的土铺在最上层）。尽可能降低对土壤养分的影响，最快使土壤得以恢复。</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3）对施工中占用的耕地应按土地法规定的程序，向有关行政部门办理相关手续，并按当地政府的规定予以经济上补偿和耕地补偿。</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4）对必须要毁坏的树木，予以经济补偿或者易地种植，种植地通常可选择在铁路、公路两旁、河渠两侧等。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③临时用地恢复措施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施工建筑材料堆放场等临时用地尽量考虑在施工作业带内设置，如不可避免需在施工作业带以外地段设置，在不增加工程总体投资的前提下，尽可能考虑利用附近现有堆放场地；在农田地段的建筑材料堆放场地应禁止进行地貌景观改造作业，施工结束后立即进行复垦改造。</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2）施工建筑材料堆放场周围一定范围内，应采取一定的防护措施，避免含有害物质的建材、化学品等污染物扩散；加强施工期污染源的监督工作。</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3）堆管场、穿越工程施工场地等临时用地，应尽量不占或少占农田，以减少当地土地资源利用的矛盾。</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4）施工前作业带场地清理，应注意表层土壤的堆放及防护问题，避免雨天施工，造成水土流失危害并污染周边环境；临时用地使用完后，立即实施复垦措施；加强临时性工程占地复垦的监理工作。</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④植被保护和恢复措施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1）采取适当的措施，尽可能在最大程度上避免或减少对植物的影响，根据本工程特点，建议采用以下生物影响的避免和消减措施：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2）施工活动要保证在征地范围内进行，施工便道及临时占地要采取“永临结合”的方式，尽量缩小范围，减少对林地的占用。</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3）合理安排施工时间，避开农作物收获期；土壤分层开挖、分层回填，保存耕作层肥力，缩短农业生产季节的损失。</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4）保存临时占地的熟化土，为植被恢复提供良好的土壤。</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5）设置保护野生动植物的宣传栏，加大宣传力度，加强野生动植物资源的保护和管理。</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6）施工作业带等临时占地尽量远离评价区金荞麦，并加强施工人员管理，避免人为破坏评价区保护植物及其生境。</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对占用耕地的临时占地进行复垦。工程临时占用耕地和旱地，吧施工期剥离的表层熟土回填到临时占地区，进行复垦。同时要按照既有耕地采用的灌溉系统，布设复垦区域的渠道，以便衔接既有排水系统，保证土地复垦区的排水和灌溉，保证农业植被的生长。</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⑤动物保护措施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1）施工单位对施工人员开展增强野生动物保护意识的宣传工作，杜绝施工人员猎捕施工作业区附近的蛙类、蛇类、鸟类等野生动物的现象；</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2）为削减施工队伍对野生动植物的影响，要标明施工活动区，严令禁止到非施工区域活动，尤其要禁止在非施工区点火、狩猎和垂钓等；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3）减少施工活动对野生动物特别是鸟类的惊扰，对砂石料的采集、运输以及砂石料加工机械运行时间要进行合理安排；</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4）针对有重点保护动物分布的区域，建议在主要施工场地设置重点保护动物图片及警示牌，提醒施工人员保护野生动物。该区域动物已适应人类活动，且本项目为昼间施工，工程施工基本不会对保护动物捕食等活动产生显著不利影响。但为尽可能减少工程施工对附近区域可能分布的各类保护动物的影响，建议在工程动工之前，对相关施工人员进行广泛宣传国家对野生动物保护的法律法规与政策，增强他们对野生动物的保护意识，并加强对施工过程中的管理，禁止人为捕杀野生动物（特别是重点保护野生动物）、破坏洞穴、巢穴、蚁巢、捡拾鸟卵（蛋）等活动。同时对于这些保护动物的栖息生境特别是森林生态地带以及周边的区域等动物多样性高的区域，要严加管理，文明施工，尽量减少施工作业范围、缩短施工时间和减少植被破坏，保护动物的栖息生境。</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⑥穿越河段地表水体生态保护措施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为防止穿越施工对河流生态环境造成影响，采用大开挖方式进行施工时，尽量选择枯水期进行，且河底面应砌干砌片石，两岸护坡设浆砌块石护岸，防止水土流失。穿越河流施工过程中，应严格要求施工人员杜绝随地吐痰、便溺、丢弃废物的陋习，不能在水体区域内从事钓鱼、洗澡、打鱼等破坏环境的活动。</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⑦土壤保护措施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管沟开挖过程中实施“分层开挖、分层堆放和分层回填”的措施，开挖过程中生熟土分开堆放，管线建设完毕后及时尽量恢复沿线地表原貌，比如种植新的草地和其他与新环境相宜的植物，使管道施工对土壤生态环境的影响得到有效控制。</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⑧管道工程水工防护措施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一般路段水工保护措施包括管沟回填土保持和地表水导水措施。管沟回填土措施主要包括挡土墙、截水墙、排水沟等；地表水导水措施包括地表条形截水墙、排水沟等。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截水墙用于沿坡敷设段的管沟回填土保持，分为草袋式和砌筑式截水墙，草袋式截水墙用于坡度小于25°的缓坡，砌筑式截水墙用于坡度大于25°的陡坡。地表水导水措施的采用和布设应视地形地貌情况采取挡、截、导等方法。挡水墙和排水沟一般用于可能产生汇流的山坡段。</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当采用开挖方式穿越河流时，要根据河流的地质情况、水文情况及现有河流的护岸情况选择适宜的水工保护措施，要以因地制宜、就地取材、经济适用为原则。其水工保护措施结构形式主要有河流护岸、护底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⑨水土流失防治措施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合理安排施工进度及施工时间，施工时选择无雨、小风的季节进行，避免扬尘和水土流失。在河流和沟渠开挖段施工时应做到随挖、随运、随铺、随压，不留或尽可能少留疏松地面，废弃土方要及时清运处理；尽量缩短施工期，使土壤暴露时间缩短，并快速回填。</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开挖穿越河流及农用灌渠时，应选择枯水期或非集中灌溉期间进行，开挖的土方不允许在河道长时间堆放，应将回填所需的土方临时堆放在河道堤岸外侧，多余弃土方直接用于固堤；管道敷设回填后的地表应保持与原地表高度的一致，严禁改变河床原有形态，严禁将弃土方留在河道或由水体携带转移；围堰施工结束后应逐段拆除，合理利用，不得随意乱弃。</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穿越河流施工时，对原有护砌的河渠，应采取与原来护砌相同的方式恢复原状；对穿越段土体不稳固的河岸要增加浆石护砌工程；对于粘性土河岸，可采取分层夯实回填土措施。施工结束后，应及时清理恢复河道原状，清运施工废弃物及工程弃土方。</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4）施工中产生的弃土石方可用于修路垫路基或水土保持工程使用。</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5）施工回填后要适当压实，并略高于原地面，防止以后因地面凹陷形成引流槽，并按适当间隔根据地形，增高回填标高以阻断槽流作用。</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6）沿线河流穿越工程的位置、方式、施工工艺及临时弃土堆放等设计应征得水行政主管部门的审核同意，避免对河流行洪产生不利影响。</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7）对开挖土方采取保护措施，如适当拍压，旱季表面喷水或用织物遮盖等，在临时堆放场周围采取必要的防护措施。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8）对于邻近河流水体的施工区，应在施工区边界设立截流沟，防治施工区地表径流污染地表水体。</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⑩生态景观环境影响减缓措施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1）加强施工队伍职工环保教育，规范施工人员行为。教育职工爱护环境，保护施工场地及周围的作物和树木。</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2）严格划定施工作业范围，在施工带内施工。在保证施工顺利进行的前提下，尽量减少占地面积。在林地内施工应少用机械作业，最大限度的减少对树木及景观的破坏。</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3）施工中应执行分层开挖的操作规范，而且施工带不宜过长，施工完毕后，立即按土层顺序回填，同期绿化，减轻对景观生态环境的破坏。</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6、天然气管线保护措施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（1）天然气管道与建筑构筑物的安全间距</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天然气管道施工过程中，应与其周围的设施、建构筑物等保持一定安全间距。以确保管线的施工及运行不会对设施、建构筑物等产生破坏，同时，也可以防止设施、建构筑物等对管道产生影响或降低影响程度。</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输气管道工程设计规范》（GB50251-2015）没有明确规定管道与建构筑物的安全间距。根据《中华人民共和国石油天然气管道保护法》第三十条规定：在管道线路中心线两侧各5m地域范围内，禁止下列危害管道安全的行为：</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1）种植乔木、灌木、藤类、芦苇、竹子或者其他根系深达管道埋设部位可能损坏管道防腐层的深根植物；</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2）取土、采石、用火、堆放重物、排放腐蚀性物质、使用机械工具进行挖掘施工；</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3）挖塘、修渠、修晒场、修建水产养殖场、建温室、建家畜棚圈、建房以及修建其他建筑物、构筑物。</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因此，管线中心线两侧与周边建筑物要求5m的控制性距离。本项目管线中心线距离周边敏感点最近距离为8m，满足要求。</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（2）管道与公路并行的安全间距</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按照《关于规范公路桥梁与石油天然气管道交叉工程管理的通知》规定，在本项目管道附近新（改）建公路时，油、气管道的中心线与公路用地范围、边线之间应保持20m安全间距。油、气管道防护带为管线中心算起，两侧各5m的范围。</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（3）管道标志桩（测试桩）、警示牌及特殊安全保护设施</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环评建议根据《管道地面标识管理规范》（Q/SY GD0190-2008）的规定，沿线应设置以下标志桩：</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里程桩：管线每km设置1个，一般与阴极保护测试桩合用。</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转角桩：在管线水平方向改变位置，应设置转角桩，转角桩上要标明管线里程、转角角度等。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穿跨越桩：当管道穿（跨）越大中型河流、Ⅲ级以上公路、水渠时，应在两侧设置穿跨越桩，穿跨越桩应标明管线名称、公路或河流的名称，线路里程，穿跨越长度，有套管的应注明套管长度、规格和材质等。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交叉桩：凡是与地下管道、电（光）缆交叉的位置，应设置交叉桩。交叉桩上应注明线路里程、交叉物名称、与交叉物的关系等。</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警示牌：管道通过学校等人群聚集场所设警示牌，管道靠近人口集中居住区、工业建设地段等需加强管道安全保护的地方设警示牌（设置地点应优先考虑道路穿越处附近）。</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警示桩：每50-100m 设置一个警示桩，特殊地点可根据实际情况设置。</w:t>
            </w:r>
          </w:p>
          <w:p>
            <w:pPr>
              <w:spacing w:line="360" w:lineRule="auto"/>
              <w:ind w:firstLine="480" w:firstLineChars="200"/>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警示带：在开挖管沟内，全线在管顶上方0.5m 处设置警示带，以防止第三方施工破坏。</w:t>
            </w:r>
          </w:p>
          <w:p>
            <w:pPr>
              <w:spacing w:line="360" w:lineRule="auto"/>
              <w:ind w:firstLine="422" w:firstLineChars="200"/>
              <w:rPr>
                <w:rFonts w:hint="eastAsia" w:eastAsia="宋体"/>
                <w:b/>
                <w:color w:val="000000"/>
                <w:szCs w:val="21"/>
                <w:lang w:val="en-US" w:eastAsia="zh-CN"/>
              </w:rPr>
            </w:pPr>
          </w:p>
          <w:p>
            <w:pPr>
              <w:spacing w:line="360" w:lineRule="auto"/>
              <w:ind w:firstLine="422" w:firstLineChars="200"/>
              <w:rPr>
                <w:rFonts w:hint="eastAsia" w:eastAsia="宋体"/>
                <w:b/>
                <w:color w:val="000000"/>
                <w:szCs w:val="21"/>
                <w:lang w:val="en-US" w:eastAsia="zh-CN"/>
              </w:rPr>
            </w:pPr>
          </w:p>
          <w:p>
            <w:pPr>
              <w:spacing w:line="360" w:lineRule="auto"/>
              <w:ind w:firstLine="422" w:firstLineChars="200"/>
              <w:rPr>
                <w:rFonts w:hint="eastAsia" w:eastAsia="宋体"/>
                <w:b/>
                <w:color w:val="000000"/>
                <w:szCs w:val="21"/>
                <w:lang w:val="en-US" w:eastAsia="zh-CN"/>
              </w:rPr>
            </w:pPr>
          </w:p>
          <w:p>
            <w:pPr>
              <w:spacing w:line="360" w:lineRule="auto"/>
              <w:rPr>
                <w:rFonts w:hint="eastAsia" w:ascii="Times New Roman" w:hAnsi="Times New Roman" w:cs="Times New Roman"/>
                <w:b/>
                <w:sz w:val="28"/>
                <w:szCs w:val="22"/>
                <w:lang w:val="en-US" w:eastAsia="zh-CN"/>
              </w:rPr>
            </w:pPr>
          </w:p>
          <w:p>
            <w:pPr>
              <w:spacing w:line="360" w:lineRule="auto"/>
              <w:rPr>
                <w:rFonts w:hint="default" w:ascii="Times New Roman" w:hAnsi="Times New Roman" w:cs="Times New Roman"/>
                <w:b/>
                <w:sz w:val="28"/>
                <w:szCs w:val="22"/>
              </w:rPr>
            </w:pPr>
            <w:r>
              <w:rPr>
                <w:rFonts w:hint="eastAsia" w:ascii="Times New Roman" w:hAnsi="Times New Roman" w:cs="Times New Roman"/>
                <w:b/>
                <w:sz w:val="28"/>
                <w:szCs w:val="22"/>
                <w:lang w:val="en-US" w:eastAsia="zh-CN"/>
              </w:rPr>
              <w:t>营运</w:t>
            </w:r>
            <w:r>
              <w:rPr>
                <w:rFonts w:hint="default" w:ascii="Times New Roman" w:hAnsi="Times New Roman" w:cs="Times New Roman"/>
                <w:b/>
                <w:sz w:val="28"/>
                <w:szCs w:val="22"/>
              </w:rPr>
              <w:t>期环境影响分析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ascii="Times New Roman" w:hAnsi="Times New Roman"/>
                <w:bCs/>
                <w:color w:val="000000"/>
                <w:sz w:val="24"/>
              </w:rPr>
            </w:pPr>
            <w:r>
              <w:rPr>
                <w:rFonts w:hint="eastAsia" w:ascii="Times New Roman" w:hAnsi="Times New Roman"/>
                <w:bCs/>
                <w:color w:val="000000"/>
                <w:sz w:val="24"/>
                <w:lang w:val="en-US" w:eastAsia="zh-CN"/>
              </w:rPr>
              <w:t>一、</w:t>
            </w:r>
            <w:r>
              <w:rPr>
                <w:rFonts w:ascii="Times New Roman" w:hAnsi="Times New Roman"/>
                <w:bCs/>
                <w:color w:val="000000"/>
                <w:sz w:val="24"/>
              </w:rPr>
              <w:t>水环境影响分析</w:t>
            </w:r>
          </w:p>
          <w:p>
            <w:pPr>
              <w:spacing w:line="360" w:lineRule="auto"/>
              <w:ind w:firstLine="480" w:firstLineChars="200"/>
              <w:rPr>
                <w:rFonts w:ascii="Times New Roman" w:hAnsi="Times New Roman"/>
                <w:color w:val="000000"/>
                <w:sz w:val="24"/>
              </w:rPr>
            </w:pPr>
            <w:r>
              <w:rPr>
                <w:rFonts w:hint="eastAsia" w:ascii="Times New Roman" w:hAnsi="Times New Roman"/>
                <w:color w:val="000000"/>
                <w:sz w:val="24"/>
              </w:rPr>
              <w:t>根据工程分析，本项目</w:t>
            </w:r>
            <w:r>
              <w:rPr>
                <w:rFonts w:hint="eastAsia" w:ascii="Times New Roman" w:hAnsi="Times New Roman"/>
                <w:color w:val="000000"/>
                <w:sz w:val="24"/>
                <w:lang w:val="en-US" w:eastAsia="zh-CN"/>
              </w:rPr>
              <w:t>营运</w:t>
            </w:r>
            <w:r>
              <w:rPr>
                <w:rFonts w:hint="eastAsia" w:ascii="Times New Roman" w:hAnsi="Times New Roman"/>
                <w:color w:val="000000"/>
                <w:sz w:val="24"/>
              </w:rPr>
              <w:t>期废水主要来自</w:t>
            </w:r>
            <w:r>
              <w:rPr>
                <w:rFonts w:hint="eastAsia" w:ascii="Times New Roman" w:hAnsi="Times New Roman"/>
                <w:color w:val="000000"/>
                <w:sz w:val="24"/>
                <w:lang w:val="en-US" w:eastAsia="zh-CN"/>
              </w:rPr>
              <w:t>站场</w:t>
            </w:r>
            <w:r>
              <w:rPr>
                <w:rFonts w:hint="eastAsia" w:ascii="Times New Roman" w:hAnsi="Times New Roman"/>
                <w:color w:val="000000"/>
                <w:sz w:val="24"/>
              </w:rPr>
              <w:t>人员在产生的生活污水和过滤分离器和清管器接收装置注水进行清洗废水。</w:t>
            </w:r>
          </w:p>
          <w:p>
            <w:pPr>
              <w:spacing w:line="360" w:lineRule="auto"/>
              <w:ind w:firstLine="480" w:firstLineChars="200"/>
              <w:rPr>
                <w:rFonts w:ascii="Times New Roman" w:hAnsi="Times New Roman"/>
                <w:color w:val="000000"/>
                <w:sz w:val="24"/>
              </w:rPr>
            </w:pPr>
            <w:r>
              <w:rPr>
                <w:rFonts w:hint="eastAsia" w:ascii="Times New Roman" w:hAnsi="Times New Roman"/>
                <w:color w:val="000000"/>
                <w:sz w:val="24"/>
              </w:rPr>
              <w:t>项目定期对过滤分离器和清管器接收装置注水进行清洗，清洗频率约为每4个月1次，清洗废水产生量约为3.0m</w:t>
            </w:r>
            <w:r>
              <w:rPr>
                <w:rFonts w:hint="eastAsia" w:ascii="Times New Roman" w:hAnsi="Times New Roman"/>
                <w:color w:val="000000"/>
                <w:sz w:val="24"/>
                <w:vertAlign w:val="superscript"/>
              </w:rPr>
              <w:t>3</w:t>
            </w:r>
            <w:r>
              <w:rPr>
                <w:rFonts w:hint="eastAsia" w:ascii="Times New Roman" w:hAnsi="Times New Roman"/>
                <w:color w:val="000000"/>
                <w:sz w:val="24"/>
              </w:rPr>
              <w:t>/次。废水中主要成分为铁锈类物质和悬浮物，类比国内同类工程，主要污染物为铁锈、悬浮物物质，污染物浓度为SS400mg/L。分离器排污和设备内部清洗水进入站场内排污池后按照危险废物集中处理，定期送有资质单位处置。</w:t>
            </w:r>
            <w:r>
              <w:rPr>
                <w:rFonts w:hint="eastAsia" w:ascii="Times New Roman" w:hAnsi="Times New Roman"/>
                <w:color w:val="000000"/>
                <w:sz w:val="24"/>
                <w:lang w:val="en-US" w:eastAsia="zh-CN"/>
              </w:rPr>
              <w:t>高安站及横山站</w:t>
            </w:r>
            <w:r>
              <w:rPr>
                <w:rFonts w:hint="eastAsia" w:ascii="Times New Roman" w:hAnsi="Times New Roman"/>
                <w:color w:val="000000"/>
                <w:sz w:val="24"/>
              </w:rPr>
              <w:t>排污池均为5m</w:t>
            </w:r>
            <w:r>
              <w:rPr>
                <w:rFonts w:hint="eastAsia" w:ascii="Times New Roman" w:hAnsi="Times New Roman"/>
                <w:color w:val="000000"/>
                <w:sz w:val="24"/>
                <w:vertAlign w:val="superscript"/>
              </w:rPr>
              <w:t>3</w:t>
            </w:r>
            <w:r>
              <w:rPr>
                <w:rFonts w:hint="eastAsia" w:ascii="Times New Roman" w:hAnsi="Times New Roman"/>
                <w:color w:val="000000"/>
                <w:sz w:val="24"/>
              </w:rPr>
              <w:t xml:space="preserve">。 </w:t>
            </w:r>
          </w:p>
          <w:p>
            <w:pPr>
              <w:spacing w:line="360" w:lineRule="auto"/>
              <w:ind w:firstLine="480" w:firstLineChars="200"/>
              <w:rPr>
                <w:rFonts w:ascii="Times New Roman" w:hAnsi="Times New Roman"/>
                <w:sz w:val="24"/>
                <w:lang w:val="en-GB"/>
              </w:rPr>
            </w:pPr>
            <w:r>
              <w:rPr>
                <w:rFonts w:ascii="Times New Roman" w:hAnsi="Times New Roman"/>
                <w:sz w:val="24"/>
              </w:rPr>
              <w:t>根据工程分析内容，本项目外排员工生活污水量为</w:t>
            </w:r>
            <w:r>
              <w:rPr>
                <w:rFonts w:hint="eastAsia" w:ascii="Times New Roman" w:hAnsi="Times New Roman"/>
                <w:sz w:val="24"/>
              </w:rPr>
              <w:t>288m</w:t>
            </w:r>
            <w:r>
              <w:rPr>
                <w:rFonts w:hint="eastAsia" w:ascii="Times New Roman" w:hAnsi="Times New Roman"/>
                <w:sz w:val="24"/>
                <w:vertAlign w:val="superscript"/>
              </w:rPr>
              <w:t>3</w:t>
            </w:r>
            <w:r>
              <w:rPr>
                <w:rFonts w:ascii="Times New Roman" w:hAnsi="Times New Roman"/>
                <w:sz w:val="24"/>
              </w:rPr>
              <w:t>/a。污水COD浓度产生量约为300mg/L，BOD</w:t>
            </w:r>
            <w:r>
              <w:rPr>
                <w:rFonts w:ascii="Times New Roman" w:hAnsi="Times New Roman"/>
                <w:sz w:val="24"/>
                <w:vertAlign w:val="subscript"/>
              </w:rPr>
              <w:t>5</w:t>
            </w:r>
            <w:r>
              <w:rPr>
                <w:rFonts w:ascii="Times New Roman" w:hAnsi="Times New Roman"/>
                <w:sz w:val="24"/>
              </w:rPr>
              <w:t>浓度约为150mg/L，SS浓度约为200mg/L，氨氮浓度约为25mg/L</w:t>
            </w:r>
            <w:r>
              <w:rPr>
                <w:rFonts w:hint="eastAsia" w:ascii="Times New Roman" w:hAnsi="Times New Roman"/>
                <w:sz w:val="24"/>
              </w:rPr>
              <w:t>，动植物油120mg/L</w:t>
            </w:r>
            <w:r>
              <w:rPr>
                <w:rFonts w:ascii="Times New Roman" w:hAnsi="Times New Roman"/>
                <w:sz w:val="24"/>
              </w:rPr>
              <w:t>，化粪池对污水中COD、BOD</w:t>
            </w:r>
            <w:r>
              <w:rPr>
                <w:rFonts w:ascii="Times New Roman" w:hAnsi="Times New Roman"/>
                <w:sz w:val="24"/>
                <w:vertAlign w:val="subscript"/>
              </w:rPr>
              <w:t>5</w:t>
            </w:r>
            <w:r>
              <w:rPr>
                <w:rFonts w:ascii="Times New Roman" w:hAnsi="Times New Roman"/>
                <w:sz w:val="24"/>
              </w:rPr>
              <w:t>的去除效率均为10%左右，对SS的去除效率为20%，由于化粪池对去除氨氮效果不明显，本报告不计其对氨氮</w:t>
            </w:r>
            <w:r>
              <w:rPr>
                <w:rFonts w:ascii="Times New Roman" w:hAnsi="Times New Roman"/>
                <w:sz w:val="24"/>
                <w:szCs w:val="22"/>
              </w:rPr>
              <w:t>的去除效率。项目污水经化粪池预处理满足《污水综合排放标准》（GB8978-1996）中三级标准要求（氨氮执行《污水排入城镇下水道水质标准》（GB/T31962-2015中相关标准）后排入污水管网，进入</w:t>
            </w:r>
            <w:r>
              <w:rPr>
                <w:rFonts w:hint="eastAsia" w:ascii="Times New Roman" w:hAnsi="Times New Roman"/>
                <w:color w:val="000000"/>
                <w:sz w:val="24"/>
              </w:rPr>
              <w:t>芜湖大桥综合经济开发区污水处理厂</w:t>
            </w:r>
            <w:r>
              <w:rPr>
                <w:rFonts w:ascii="Times New Roman" w:hAnsi="Times New Roman"/>
                <w:sz w:val="24"/>
              </w:rPr>
              <w:t>，处理后的污水达到《城镇污水处理厂污染物排放标准》（GB18918-2002）一级标准中 A 类标准</w:t>
            </w:r>
            <w:r>
              <w:rPr>
                <w:rFonts w:ascii="Times New Roman" w:hAnsi="Times New Roman"/>
                <w:sz w:val="24"/>
                <w:lang w:val="en-GB"/>
              </w:rPr>
              <w:t>。</w:t>
            </w:r>
          </w:p>
          <w:p>
            <w:pPr>
              <w:spacing w:line="360" w:lineRule="auto"/>
              <w:ind w:firstLine="480" w:firstLineChars="200"/>
              <w:rPr>
                <w:rFonts w:ascii="Times New Roman" w:hAnsi="Times New Roman"/>
                <w:sz w:val="24"/>
              </w:rPr>
            </w:pPr>
            <w:r>
              <w:rPr>
                <w:rFonts w:hint="eastAsia" w:ascii="Times New Roman" w:hAnsi="Times New Roman"/>
                <w:color w:val="000000"/>
                <w:sz w:val="24"/>
              </w:rPr>
              <w:t>根据《环境影响评价技术导则 地表水环境》（HJ2.3-2018）中的评价等级确定要求,本项目评价等级参照“建设项目生产工艺中有废水产生，但作为回水利用，不排放到外环境的，按三级B评价”，定为三级B。本项目运营过程中产生的废水主要为工作人员生活污水，该污水经化粪池、隔油池处理后排放至当地芜湖大桥综合经济开发区污水处理厂，</w:t>
            </w:r>
            <w:r>
              <w:rPr>
                <w:rFonts w:ascii="Times New Roman" w:hAnsi="Times New Roman"/>
                <w:sz w:val="24"/>
              </w:rPr>
              <w:t>项目生活废水产生及经处理后情况一览表见下表所示。</w:t>
            </w:r>
          </w:p>
          <w:p>
            <w:pPr>
              <w:spacing w:line="360" w:lineRule="auto"/>
              <w:jc w:val="center"/>
              <w:rPr>
                <w:rFonts w:ascii="Times New Roman" w:hAnsi="Times New Roman"/>
                <w:sz w:val="24"/>
              </w:rPr>
            </w:pPr>
            <w:r>
              <w:rPr>
                <w:rFonts w:ascii="Times New Roman" w:hAnsi="Times New Roman"/>
                <w:b/>
                <w:bCs/>
                <w:sz w:val="24"/>
              </w:rPr>
              <w:t>表7-</w:t>
            </w:r>
            <w:r>
              <w:rPr>
                <w:rFonts w:hint="eastAsia" w:ascii="Times New Roman" w:hAnsi="Times New Roman"/>
                <w:b/>
                <w:bCs/>
                <w:sz w:val="24"/>
                <w:lang w:val="en-US" w:eastAsia="zh-CN"/>
              </w:rPr>
              <w:t>5</w:t>
            </w:r>
            <w:r>
              <w:rPr>
                <w:rFonts w:ascii="Times New Roman" w:hAnsi="Times New Roman"/>
                <w:b/>
                <w:bCs/>
                <w:sz w:val="24"/>
              </w:rPr>
              <w:t xml:space="preserve">  生活污水主要污染物产排核算</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1302"/>
              <w:gridCol w:w="1006"/>
              <w:gridCol w:w="1070"/>
              <w:gridCol w:w="1722"/>
              <w:gridCol w:w="1334"/>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vAlign w:val="center"/>
                </w:tcPr>
                <w:p>
                  <w:pPr>
                    <w:jc w:val="center"/>
                    <w:rPr>
                      <w:rFonts w:ascii="Times New Roman" w:hAnsi="Times New Roman"/>
                      <w:szCs w:val="21"/>
                    </w:rPr>
                  </w:pPr>
                  <w:r>
                    <w:rPr>
                      <w:rFonts w:ascii="Times New Roman" w:hAnsi="Times New Roman"/>
                      <w:szCs w:val="21"/>
                    </w:rPr>
                    <w:t>污染物</w:t>
                  </w:r>
                </w:p>
              </w:tc>
              <w:tc>
                <w:tcPr>
                  <w:tcW w:w="1302" w:type="dxa"/>
                  <w:vAlign w:val="center"/>
                </w:tcPr>
                <w:p>
                  <w:pPr>
                    <w:jc w:val="center"/>
                    <w:rPr>
                      <w:rFonts w:ascii="Times New Roman" w:hAnsi="Times New Roman"/>
                      <w:szCs w:val="21"/>
                    </w:rPr>
                  </w:pPr>
                  <w:r>
                    <w:rPr>
                      <w:rFonts w:ascii="Times New Roman" w:hAnsi="Times New Roman"/>
                      <w:szCs w:val="21"/>
                    </w:rPr>
                    <w:t>产生浓度（mg/L）</w:t>
                  </w:r>
                </w:p>
              </w:tc>
              <w:tc>
                <w:tcPr>
                  <w:tcW w:w="1006" w:type="dxa"/>
                  <w:vAlign w:val="center"/>
                </w:tcPr>
                <w:p>
                  <w:pPr>
                    <w:jc w:val="center"/>
                    <w:rPr>
                      <w:rFonts w:ascii="Times New Roman" w:hAnsi="Times New Roman"/>
                      <w:szCs w:val="21"/>
                    </w:rPr>
                  </w:pPr>
                  <w:r>
                    <w:rPr>
                      <w:rFonts w:ascii="Times New Roman" w:hAnsi="Times New Roman"/>
                      <w:szCs w:val="21"/>
                    </w:rPr>
                    <w:t>产生量（t/a）</w:t>
                  </w:r>
                </w:p>
              </w:tc>
              <w:tc>
                <w:tcPr>
                  <w:tcW w:w="1070" w:type="dxa"/>
                  <w:vAlign w:val="center"/>
                </w:tcPr>
                <w:p>
                  <w:pPr>
                    <w:jc w:val="center"/>
                    <w:rPr>
                      <w:rFonts w:ascii="Times New Roman" w:hAnsi="Times New Roman"/>
                      <w:szCs w:val="21"/>
                    </w:rPr>
                  </w:pPr>
                  <w:r>
                    <w:rPr>
                      <w:rFonts w:ascii="Times New Roman" w:hAnsi="Times New Roman"/>
                      <w:szCs w:val="21"/>
                    </w:rPr>
                    <w:t>处理后浓度</w:t>
                  </w:r>
                </w:p>
              </w:tc>
              <w:tc>
                <w:tcPr>
                  <w:tcW w:w="1722" w:type="dxa"/>
                  <w:vAlign w:val="center"/>
                </w:tcPr>
                <w:p>
                  <w:pPr>
                    <w:adjustRightInd w:val="0"/>
                    <w:snapToGrid w:val="0"/>
                    <w:jc w:val="center"/>
                    <w:rPr>
                      <w:rFonts w:ascii="Times New Roman" w:hAnsi="Times New Roman"/>
                      <w:szCs w:val="21"/>
                      <w:lang w:val="en-GB"/>
                    </w:rPr>
                  </w:pPr>
                  <w:r>
                    <w:rPr>
                      <w:rFonts w:ascii="Times New Roman" w:hAnsi="Times New Roman"/>
                      <w:szCs w:val="21"/>
                      <w:lang w:val="en-GB"/>
                    </w:rPr>
                    <w:t>《污水综合排放标准》（GB8978-1996）中三级标准</w:t>
                  </w:r>
                </w:p>
              </w:tc>
              <w:tc>
                <w:tcPr>
                  <w:tcW w:w="1334" w:type="dxa"/>
                  <w:vAlign w:val="center"/>
                </w:tcPr>
                <w:p>
                  <w:pPr>
                    <w:adjustRightInd w:val="0"/>
                    <w:snapToGrid w:val="0"/>
                    <w:jc w:val="center"/>
                    <w:rPr>
                      <w:rFonts w:ascii="Times New Roman" w:hAnsi="Times New Roman"/>
                      <w:szCs w:val="21"/>
                    </w:rPr>
                  </w:pPr>
                  <w:r>
                    <w:rPr>
                      <w:rFonts w:ascii="Times New Roman" w:hAnsi="Times New Roman"/>
                      <w:szCs w:val="21"/>
                    </w:rPr>
                    <w:t>城镇污水处理厂一级A排放标准（mg/L）</w:t>
                  </w:r>
                </w:p>
              </w:tc>
              <w:tc>
                <w:tcPr>
                  <w:tcW w:w="1229" w:type="dxa"/>
                  <w:vAlign w:val="center"/>
                </w:tcPr>
                <w:p>
                  <w:pPr>
                    <w:jc w:val="center"/>
                    <w:rPr>
                      <w:rFonts w:ascii="Times New Roman" w:hAnsi="Times New Roman"/>
                    </w:rPr>
                  </w:pPr>
                  <w:r>
                    <w:rPr>
                      <w:rFonts w:ascii="Times New Roman" w:hAnsi="Times New Roman"/>
                      <w:szCs w:val="21"/>
                    </w:rPr>
                    <w:t>最终排放量（t/a）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vAlign w:val="center"/>
                </w:tcPr>
                <w:p>
                  <w:pPr>
                    <w:pStyle w:val="100"/>
                    <w:spacing w:before="53" w:line="240" w:lineRule="atLeast"/>
                    <w:jc w:val="center"/>
                    <w:rPr>
                      <w:rFonts w:ascii="Times New Roman" w:hAnsi="Times New Roman"/>
                      <w:szCs w:val="21"/>
                      <w:lang w:eastAsia="zh-CN"/>
                    </w:rPr>
                  </w:pPr>
                  <w:r>
                    <w:rPr>
                      <w:rFonts w:ascii="Times New Roman" w:hAnsi="Times New Roman"/>
                      <w:sz w:val="21"/>
                      <w:szCs w:val="21"/>
                      <w:lang w:eastAsia="zh-CN"/>
                    </w:rPr>
                    <w:t>COD</w:t>
                  </w:r>
                </w:p>
              </w:tc>
              <w:tc>
                <w:tcPr>
                  <w:tcW w:w="1302"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300</w:t>
                  </w:r>
                </w:p>
              </w:tc>
              <w:tc>
                <w:tcPr>
                  <w:tcW w:w="1006"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lang w:bidi="ar"/>
                    </w:rPr>
                    <w:t>0.0864</w:t>
                  </w:r>
                </w:p>
              </w:tc>
              <w:tc>
                <w:tcPr>
                  <w:tcW w:w="1070" w:type="dxa"/>
                  <w:vAlign w:val="center"/>
                </w:tcPr>
                <w:p>
                  <w:pPr>
                    <w:widowControl/>
                    <w:jc w:val="center"/>
                    <w:textAlignment w:val="center"/>
                    <w:rPr>
                      <w:rFonts w:ascii="Times New Roman" w:hAnsi="Times New Roman"/>
                      <w:kern w:val="0"/>
                      <w:szCs w:val="21"/>
                    </w:rPr>
                  </w:pPr>
                  <w:r>
                    <w:rPr>
                      <w:rFonts w:ascii="Times New Roman" w:hAnsi="Times New Roman"/>
                      <w:kern w:val="0"/>
                      <w:szCs w:val="21"/>
                      <w:lang w:bidi="ar"/>
                    </w:rPr>
                    <w:t>270</w:t>
                  </w:r>
                </w:p>
              </w:tc>
              <w:tc>
                <w:tcPr>
                  <w:tcW w:w="1722" w:type="dxa"/>
                  <w:vAlign w:val="center"/>
                </w:tcPr>
                <w:p>
                  <w:pPr>
                    <w:widowControl/>
                    <w:jc w:val="center"/>
                    <w:textAlignment w:val="center"/>
                    <w:rPr>
                      <w:rFonts w:ascii="Times New Roman" w:hAnsi="Times New Roman"/>
                      <w:kern w:val="0"/>
                      <w:szCs w:val="21"/>
                    </w:rPr>
                  </w:pPr>
                  <w:r>
                    <w:rPr>
                      <w:rFonts w:ascii="Times New Roman" w:hAnsi="Times New Roman"/>
                      <w:kern w:val="0"/>
                      <w:szCs w:val="21"/>
                    </w:rPr>
                    <w:t>500</w:t>
                  </w:r>
                </w:p>
              </w:tc>
              <w:tc>
                <w:tcPr>
                  <w:tcW w:w="1334" w:type="dxa"/>
                  <w:vAlign w:val="center"/>
                </w:tcPr>
                <w:p>
                  <w:pPr>
                    <w:widowControl/>
                    <w:jc w:val="center"/>
                    <w:textAlignment w:val="center"/>
                    <w:rPr>
                      <w:rFonts w:ascii="Times New Roman" w:hAnsi="Times New Roman"/>
                      <w:szCs w:val="21"/>
                    </w:rPr>
                  </w:pPr>
                  <w:r>
                    <w:rPr>
                      <w:rFonts w:ascii="Times New Roman" w:hAnsi="Times New Roman"/>
                      <w:szCs w:val="21"/>
                    </w:rPr>
                    <w:t>50</w:t>
                  </w:r>
                </w:p>
              </w:tc>
              <w:tc>
                <w:tcPr>
                  <w:tcW w:w="1229"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 xml:space="preserve">0.0144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vAlign w:val="center"/>
                </w:tcPr>
                <w:p>
                  <w:pPr>
                    <w:pStyle w:val="100"/>
                    <w:spacing w:before="53" w:line="240" w:lineRule="atLeast"/>
                    <w:jc w:val="center"/>
                    <w:rPr>
                      <w:rFonts w:ascii="Times New Roman" w:hAnsi="Times New Roman"/>
                      <w:szCs w:val="21"/>
                      <w:lang w:eastAsia="zh-CN"/>
                    </w:rPr>
                  </w:pPr>
                  <w:r>
                    <w:rPr>
                      <w:rFonts w:ascii="Times New Roman" w:hAnsi="Times New Roman"/>
                      <w:sz w:val="21"/>
                      <w:szCs w:val="21"/>
                      <w:lang w:eastAsia="zh-CN"/>
                    </w:rPr>
                    <w:t>SS</w:t>
                  </w:r>
                </w:p>
              </w:tc>
              <w:tc>
                <w:tcPr>
                  <w:tcW w:w="1302"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200</w:t>
                  </w:r>
                </w:p>
              </w:tc>
              <w:tc>
                <w:tcPr>
                  <w:tcW w:w="1006"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lang w:bidi="ar"/>
                    </w:rPr>
                    <w:t>0.0576</w:t>
                  </w:r>
                </w:p>
              </w:tc>
              <w:tc>
                <w:tcPr>
                  <w:tcW w:w="1070" w:type="dxa"/>
                  <w:vAlign w:val="center"/>
                </w:tcPr>
                <w:p>
                  <w:pPr>
                    <w:widowControl/>
                    <w:jc w:val="center"/>
                    <w:textAlignment w:val="center"/>
                    <w:rPr>
                      <w:rFonts w:ascii="Times New Roman" w:hAnsi="Times New Roman"/>
                      <w:kern w:val="0"/>
                      <w:szCs w:val="21"/>
                    </w:rPr>
                  </w:pPr>
                  <w:r>
                    <w:rPr>
                      <w:rFonts w:ascii="Times New Roman" w:hAnsi="Times New Roman"/>
                      <w:kern w:val="0"/>
                      <w:szCs w:val="21"/>
                      <w:lang w:bidi="ar"/>
                    </w:rPr>
                    <w:t>160</w:t>
                  </w:r>
                </w:p>
              </w:tc>
              <w:tc>
                <w:tcPr>
                  <w:tcW w:w="1722" w:type="dxa"/>
                  <w:vAlign w:val="center"/>
                </w:tcPr>
                <w:p>
                  <w:pPr>
                    <w:widowControl/>
                    <w:jc w:val="center"/>
                    <w:textAlignment w:val="center"/>
                    <w:rPr>
                      <w:rFonts w:ascii="Times New Roman" w:hAnsi="Times New Roman"/>
                      <w:kern w:val="0"/>
                      <w:szCs w:val="21"/>
                    </w:rPr>
                  </w:pPr>
                  <w:r>
                    <w:rPr>
                      <w:rFonts w:ascii="Times New Roman" w:hAnsi="Times New Roman"/>
                      <w:kern w:val="0"/>
                      <w:szCs w:val="21"/>
                    </w:rPr>
                    <w:t>400</w:t>
                  </w:r>
                </w:p>
              </w:tc>
              <w:tc>
                <w:tcPr>
                  <w:tcW w:w="1334" w:type="dxa"/>
                  <w:vAlign w:val="center"/>
                </w:tcPr>
                <w:p>
                  <w:pPr>
                    <w:widowControl/>
                    <w:jc w:val="center"/>
                    <w:textAlignment w:val="center"/>
                    <w:rPr>
                      <w:rFonts w:ascii="Times New Roman" w:hAnsi="Times New Roman"/>
                      <w:szCs w:val="21"/>
                    </w:rPr>
                  </w:pPr>
                  <w:r>
                    <w:rPr>
                      <w:rFonts w:ascii="Times New Roman" w:hAnsi="Times New Roman"/>
                      <w:kern w:val="0"/>
                      <w:szCs w:val="21"/>
                    </w:rPr>
                    <w:t>10</w:t>
                  </w:r>
                </w:p>
              </w:tc>
              <w:tc>
                <w:tcPr>
                  <w:tcW w:w="1229"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 xml:space="preserve">0.0029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vAlign w:val="center"/>
                </w:tcPr>
                <w:p>
                  <w:pPr>
                    <w:pStyle w:val="100"/>
                    <w:spacing w:before="53" w:line="240" w:lineRule="atLeast"/>
                    <w:jc w:val="center"/>
                    <w:rPr>
                      <w:rFonts w:ascii="Times New Roman" w:hAnsi="Times New Roman"/>
                      <w:szCs w:val="21"/>
                      <w:lang w:eastAsia="zh-CN"/>
                    </w:rPr>
                  </w:pPr>
                  <w:r>
                    <w:rPr>
                      <w:rFonts w:ascii="Times New Roman" w:hAnsi="Times New Roman"/>
                      <w:sz w:val="21"/>
                      <w:szCs w:val="21"/>
                      <w:lang w:eastAsia="zh-CN"/>
                    </w:rPr>
                    <w:t>氨氮</w:t>
                  </w:r>
                </w:p>
              </w:tc>
              <w:tc>
                <w:tcPr>
                  <w:tcW w:w="1302"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25</w:t>
                  </w:r>
                </w:p>
              </w:tc>
              <w:tc>
                <w:tcPr>
                  <w:tcW w:w="1006"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lang w:bidi="ar"/>
                    </w:rPr>
                    <w:t>0.0072</w:t>
                  </w:r>
                </w:p>
              </w:tc>
              <w:tc>
                <w:tcPr>
                  <w:tcW w:w="1070" w:type="dxa"/>
                  <w:vAlign w:val="center"/>
                </w:tcPr>
                <w:p>
                  <w:pPr>
                    <w:widowControl/>
                    <w:jc w:val="center"/>
                    <w:textAlignment w:val="center"/>
                    <w:rPr>
                      <w:rFonts w:ascii="Times New Roman" w:hAnsi="Times New Roman"/>
                      <w:kern w:val="0"/>
                      <w:szCs w:val="21"/>
                    </w:rPr>
                  </w:pPr>
                  <w:r>
                    <w:rPr>
                      <w:rFonts w:ascii="Times New Roman" w:hAnsi="Times New Roman"/>
                      <w:kern w:val="0"/>
                      <w:szCs w:val="21"/>
                      <w:lang w:bidi="ar"/>
                    </w:rPr>
                    <w:t>25</w:t>
                  </w:r>
                </w:p>
              </w:tc>
              <w:tc>
                <w:tcPr>
                  <w:tcW w:w="1722" w:type="dxa"/>
                  <w:vAlign w:val="center"/>
                </w:tcPr>
                <w:p>
                  <w:pPr>
                    <w:widowControl/>
                    <w:jc w:val="center"/>
                    <w:textAlignment w:val="center"/>
                    <w:rPr>
                      <w:rFonts w:ascii="Times New Roman" w:hAnsi="Times New Roman"/>
                      <w:kern w:val="0"/>
                      <w:szCs w:val="21"/>
                    </w:rPr>
                  </w:pPr>
                  <w:r>
                    <w:rPr>
                      <w:rFonts w:ascii="Times New Roman" w:hAnsi="Times New Roman"/>
                      <w:kern w:val="0"/>
                      <w:szCs w:val="21"/>
                    </w:rPr>
                    <w:t>45</w:t>
                  </w:r>
                  <w:r>
                    <w:rPr>
                      <w:rFonts w:ascii="Times New Roman" w:hAnsi="Times New Roman"/>
                      <w:b/>
                      <w:bCs/>
                      <w:kern w:val="0"/>
                      <w:szCs w:val="21"/>
                      <w:vertAlign w:val="superscript"/>
                    </w:rPr>
                    <w:t>①</w:t>
                  </w:r>
                </w:p>
              </w:tc>
              <w:tc>
                <w:tcPr>
                  <w:tcW w:w="1334" w:type="dxa"/>
                  <w:vAlign w:val="center"/>
                </w:tcPr>
                <w:p>
                  <w:pPr>
                    <w:widowControl/>
                    <w:jc w:val="center"/>
                    <w:textAlignment w:val="center"/>
                    <w:rPr>
                      <w:rFonts w:ascii="Times New Roman" w:hAnsi="Times New Roman"/>
                      <w:szCs w:val="21"/>
                    </w:rPr>
                  </w:pPr>
                  <w:r>
                    <w:rPr>
                      <w:rFonts w:ascii="Times New Roman" w:hAnsi="Times New Roman"/>
                      <w:szCs w:val="21"/>
                    </w:rPr>
                    <w:t>5</w:t>
                  </w:r>
                </w:p>
              </w:tc>
              <w:tc>
                <w:tcPr>
                  <w:tcW w:w="1229"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 xml:space="preserve">0.0014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vAlign w:val="center"/>
                </w:tcPr>
                <w:p>
                  <w:pPr>
                    <w:pStyle w:val="100"/>
                    <w:spacing w:before="53" w:line="240" w:lineRule="atLeast"/>
                    <w:jc w:val="center"/>
                    <w:rPr>
                      <w:rFonts w:ascii="Times New Roman" w:hAnsi="Times New Roman"/>
                      <w:szCs w:val="21"/>
                      <w:lang w:eastAsia="zh-CN"/>
                    </w:rPr>
                  </w:pPr>
                  <w:r>
                    <w:rPr>
                      <w:rFonts w:ascii="Times New Roman" w:hAnsi="Times New Roman"/>
                      <w:sz w:val="21"/>
                      <w:szCs w:val="21"/>
                      <w:lang w:eastAsia="zh-CN"/>
                    </w:rPr>
                    <w:t>BOD</w:t>
                  </w:r>
                  <w:r>
                    <w:rPr>
                      <w:rFonts w:ascii="Times New Roman" w:hAnsi="Times New Roman"/>
                      <w:sz w:val="21"/>
                      <w:szCs w:val="21"/>
                      <w:vertAlign w:val="subscript"/>
                      <w:lang w:eastAsia="zh-CN"/>
                    </w:rPr>
                    <w:t>5</w:t>
                  </w:r>
                </w:p>
              </w:tc>
              <w:tc>
                <w:tcPr>
                  <w:tcW w:w="1302"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150</w:t>
                  </w:r>
                </w:p>
              </w:tc>
              <w:tc>
                <w:tcPr>
                  <w:tcW w:w="1006"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lang w:bidi="ar"/>
                    </w:rPr>
                    <w:t>0.0432</w:t>
                  </w:r>
                </w:p>
              </w:tc>
              <w:tc>
                <w:tcPr>
                  <w:tcW w:w="1070" w:type="dxa"/>
                  <w:vAlign w:val="center"/>
                </w:tcPr>
                <w:p>
                  <w:pPr>
                    <w:widowControl/>
                    <w:jc w:val="center"/>
                    <w:textAlignment w:val="center"/>
                    <w:rPr>
                      <w:rFonts w:ascii="Times New Roman" w:hAnsi="Times New Roman"/>
                      <w:kern w:val="0"/>
                      <w:szCs w:val="21"/>
                    </w:rPr>
                  </w:pPr>
                  <w:r>
                    <w:rPr>
                      <w:rFonts w:ascii="Times New Roman" w:hAnsi="Times New Roman"/>
                      <w:kern w:val="0"/>
                      <w:szCs w:val="21"/>
                      <w:lang w:bidi="ar"/>
                    </w:rPr>
                    <w:t>135</w:t>
                  </w:r>
                </w:p>
              </w:tc>
              <w:tc>
                <w:tcPr>
                  <w:tcW w:w="1722" w:type="dxa"/>
                  <w:vAlign w:val="center"/>
                </w:tcPr>
                <w:p>
                  <w:pPr>
                    <w:widowControl/>
                    <w:jc w:val="center"/>
                    <w:textAlignment w:val="center"/>
                    <w:rPr>
                      <w:rFonts w:ascii="Times New Roman" w:hAnsi="Times New Roman"/>
                      <w:kern w:val="0"/>
                      <w:szCs w:val="21"/>
                    </w:rPr>
                  </w:pPr>
                  <w:r>
                    <w:rPr>
                      <w:rFonts w:ascii="Times New Roman" w:hAnsi="Times New Roman"/>
                      <w:kern w:val="0"/>
                      <w:szCs w:val="21"/>
                    </w:rPr>
                    <w:t>300</w:t>
                  </w:r>
                </w:p>
              </w:tc>
              <w:tc>
                <w:tcPr>
                  <w:tcW w:w="1334" w:type="dxa"/>
                  <w:vAlign w:val="center"/>
                </w:tcPr>
                <w:p>
                  <w:pPr>
                    <w:widowControl/>
                    <w:jc w:val="center"/>
                    <w:textAlignment w:val="center"/>
                    <w:rPr>
                      <w:rFonts w:ascii="Times New Roman" w:hAnsi="Times New Roman"/>
                      <w:szCs w:val="21"/>
                    </w:rPr>
                  </w:pPr>
                  <w:r>
                    <w:rPr>
                      <w:rFonts w:ascii="Times New Roman" w:hAnsi="Times New Roman"/>
                      <w:kern w:val="0"/>
                      <w:szCs w:val="21"/>
                    </w:rPr>
                    <w:t>10</w:t>
                  </w:r>
                </w:p>
              </w:tc>
              <w:tc>
                <w:tcPr>
                  <w:tcW w:w="1229"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 xml:space="preserve">0.0029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vAlign w:val="center"/>
                </w:tcPr>
                <w:p>
                  <w:pPr>
                    <w:pStyle w:val="100"/>
                    <w:spacing w:before="53" w:line="240" w:lineRule="atLeast"/>
                    <w:jc w:val="center"/>
                    <w:rPr>
                      <w:rFonts w:ascii="Times New Roman" w:hAnsi="Times New Roman"/>
                      <w:sz w:val="21"/>
                      <w:szCs w:val="21"/>
                      <w:lang w:eastAsia="zh-CN"/>
                    </w:rPr>
                  </w:pPr>
                  <w:r>
                    <w:rPr>
                      <w:rFonts w:hint="eastAsia" w:ascii="Times New Roman" w:hAnsi="Times New Roman"/>
                      <w:sz w:val="21"/>
                      <w:szCs w:val="21"/>
                      <w:lang w:eastAsia="zh-CN"/>
                    </w:rPr>
                    <w:t>动植物油</w:t>
                  </w:r>
                </w:p>
              </w:tc>
              <w:tc>
                <w:tcPr>
                  <w:tcW w:w="1302"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120</w:t>
                  </w:r>
                </w:p>
              </w:tc>
              <w:tc>
                <w:tcPr>
                  <w:tcW w:w="1006"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0.03456</w:t>
                  </w:r>
                </w:p>
              </w:tc>
              <w:tc>
                <w:tcPr>
                  <w:tcW w:w="1070"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lang w:bidi="ar"/>
                    </w:rPr>
                    <w:t>80</w:t>
                  </w:r>
                </w:p>
              </w:tc>
              <w:tc>
                <w:tcPr>
                  <w:tcW w:w="1722"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100</w:t>
                  </w:r>
                </w:p>
              </w:tc>
              <w:tc>
                <w:tcPr>
                  <w:tcW w:w="1334"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1</w:t>
                  </w:r>
                </w:p>
              </w:tc>
              <w:tc>
                <w:tcPr>
                  <w:tcW w:w="1229" w:type="dxa"/>
                  <w:vAlign w:val="center"/>
                </w:tcPr>
                <w:p>
                  <w:pPr>
                    <w:widowControl/>
                    <w:jc w:val="center"/>
                    <w:textAlignment w:val="center"/>
                    <w:rPr>
                      <w:rFonts w:ascii="Times New Roman" w:hAnsi="Times New Roman"/>
                      <w:kern w:val="0"/>
                      <w:szCs w:val="21"/>
                    </w:rPr>
                  </w:pPr>
                  <w:r>
                    <w:rPr>
                      <w:rFonts w:hint="eastAsia" w:ascii="Times New Roman" w:hAnsi="Times New Roman"/>
                      <w:kern w:val="0"/>
                      <w:szCs w:val="21"/>
                    </w:rPr>
                    <w:t xml:space="preserve">0.0003 </w:t>
                  </w:r>
                </w:p>
              </w:tc>
            </w:tr>
          </w:tbl>
          <w:p>
            <w:pPr>
              <w:spacing w:line="360" w:lineRule="auto"/>
              <w:ind w:firstLine="422" w:firstLineChars="200"/>
              <w:rPr>
                <w:rFonts w:ascii="Times New Roman" w:hAnsi="Times New Roman"/>
                <w:b/>
                <w:szCs w:val="21"/>
              </w:rPr>
            </w:pPr>
            <w:r>
              <w:rPr>
                <w:rFonts w:ascii="Times New Roman" w:hAnsi="Times New Roman"/>
                <w:b/>
                <w:szCs w:val="21"/>
              </w:rPr>
              <w:t>①氨氮执行《污水排入城镇下水道水质标准》（GB/T31962-2015中相关标准。</w:t>
            </w:r>
          </w:p>
          <w:p>
            <w:pPr>
              <w:spacing w:line="360" w:lineRule="auto"/>
              <w:ind w:firstLine="480" w:firstLineChars="200"/>
              <w:rPr>
                <w:rFonts w:ascii="Times New Roman" w:hAnsi="Times New Roman"/>
                <w:bCs/>
                <w:sz w:val="24"/>
              </w:rPr>
            </w:pPr>
          </w:p>
          <w:p>
            <w:pPr>
              <w:spacing w:line="360" w:lineRule="auto"/>
              <w:ind w:firstLine="480" w:firstLineChars="200"/>
              <w:rPr>
                <w:rFonts w:ascii="Times New Roman" w:hAnsi="Times New Roman"/>
                <w:sz w:val="24"/>
              </w:rPr>
            </w:pPr>
            <w:r>
              <w:rPr>
                <w:rFonts w:ascii="Times New Roman" w:hAnsi="Times New Roman"/>
                <w:bCs/>
                <w:sz w:val="24"/>
              </w:rPr>
              <w:t>从上表可以看出，</w:t>
            </w:r>
            <w:r>
              <w:rPr>
                <w:rFonts w:ascii="Times New Roman" w:hAnsi="Times New Roman"/>
                <w:sz w:val="24"/>
              </w:rPr>
              <w:t>项目外排的生活污水经</w:t>
            </w:r>
            <w:r>
              <w:rPr>
                <w:rFonts w:hint="eastAsia" w:ascii="Times New Roman" w:hAnsi="Times New Roman"/>
                <w:sz w:val="24"/>
              </w:rPr>
              <w:t>隔油池、</w:t>
            </w:r>
            <w:r>
              <w:rPr>
                <w:rFonts w:ascii="Times New Roman" w:hAnsi="Times New Roman"/>
                <w:sz w:val="24"/>
              </w:rPr>
              <w:t>化粪池预处理后，各污染物浓度满足《污水综合排放标准》（GB8978-1996）中三级标准（氨氮执行《污水排入城镇下水道水质标准》（GB/T31962-2015中相关标准），污水经市政污水管网汇合至</w:t>
            </w:r>
            <w:r>
              <w:rPr>
                <w:rFonts w:hint="eastAsia" w:ascii="Times New Roman" w:hAnsi="Times New Roman"/>
                <w:color w:val="000000"/>
                <w:sz w:val="24"/>
              </w:rPr>
              <w:t>芜湖大桥综合经济开发区污水处理厂</w:t>
            </w:r>
            <w:r>
              <w:rPr>
                <w:rFonts w:ascii="Times New Roman" w:hAnsi="Times New Roman"/>
                <w:sz w:val="24"/>
              </w:rPr>
              <w:t>处置，污水处理厂尾水排放满足《城镇污水处理厂污染物排放标准》（GB18918-2002一级标准中 A 类标准）。COD和NH</w:t>
            </w:r>
            <w:r>
              <w:rPr>
                <w:rFonts w:ascii="Times New Roman" w:hAnsi="Times New Roman"/>
                <w:sz w:val="24"/>
                <w:vertAlign w:val="subscript"/>
              </w:rPr>
              <w:t>3</w:t>
            </w:r>
            <w:r>
              <w:rPr>
                <w:rFonts w:ascii="Times New Roman" w:hAnsi="Times New Roman"/>
                <w:sz w:val="24"/>
              </w:rPr>
              <w:t>-N排放量分别为0.0</w:t>
            </w:r>
            <w:r>
              <w:rPr>
                <w:rFonts w:hint="eastAsia" w:ascii="Times New Roman" w:hAnsi="Times New Roman"/>
                <w:sz w:val="24"/>
              </w:rPr>
              <w:t>144</w:t>
            </w:r>
            <w:r>
              <w:rPr>
                <w:rFonts w:ascii="Times New Roman" w:hAnsi="Times New Roman"/>
                <w:sz w:val="24"/>
              </w:rPr>
              <w:t>t/a、0.00</w:t>
            </w:r>
            <w:r>
              <w:rPr>
                <w:rFonts w:hint="eastAsia" w:ascii="Times New Roman" w:hAnsi="Times New Roman"/>
                <w:sz w:val="24"/>
              </w:rPr>
              <w:t>14</w:t>
            </w:r>
            <w:r>
              <w:rPr>
                <w:rFonts w:ascii="Times New Roman" w:hAnsi="Times New Roman"/>
                <w:sz w:val="24"/>
              </w:rPr>
              <w:t>t/a，对受纳水体影响较小。</w:t>
            </w:r>
          </w:p>
          <w:p>
            <w:pPr>
              <w:spacing w:line="360" w:lineRule="auto"/>
              <w:ind w:firstLine="480" w:firstLineChars="200"/>
              <w:rPr>
                <w:rFonts w:ascii="Times New Roman" w:hAnsi="Times New Roman"/>
                <w:sz w:val="24"/>
              </w:rPr>
            </w:pPr>
            <w:r>
              <w:rPr>
                <w:rFonts w:hint="eastAsia" w:ascii="Times New Roman" w:hAnsi="Times New Roman"/>
                <w:sz w:val="24"/>
              </w:rPr>
              <w:t>（5）芜湖大桥综合经济开发区污水处理厂</w:t>
            </w:r>
            <w:r>
              <w:rPr>
                <w:rFonts w:ascii="Times New Roman" w:hAnsi="Times New Roman"/>
                <w:sz w:val="24"/>
              </w:rPr>
              <w:t>简介</w:t>
            </w:r>
          </w:p>
          <w:p>
            <w:pPr>
              <w:autoSpaceDE w:val="0"/>
              <w:autoSpaceDN w:val="0"/>
              <w:adjustRightInd w:val="0"/>
              <w:spacing w:line="360" w:lineRule="auto"/>
              <w:ind w:firstLine="480" w:firstLineChars="200"/>
              <w:rPr>
                <w:rFonts w:ascii="Times New Roman" w:hAnsi="Times New Roman"/>
                <w:sz w:val="24"/>
              </w:rPr>
            </w:pPr>
            <w:r>
              <w:rPr>
                <w:rFonts w:hint="eastAsia" w:ascii="Times New Roman" w:hAnsi="Times New Roman"/>
                <w:sz w:val="24"/>
              </w:rPr>
              <w:t>芜湖大桥综合经济开发区污水处理厂位于本项目西南侧约80m处，本项目在其接管范围内。芜湖市长江大桥综合经济开发区污水处理厂于2014年建设，现阶段处理规模为10万m</w:t>
            </w:r>
            <w:r>
              <w:rPr>
                <w:rFonts w:hint="eastAsia" w:ascii="Times New Roman" w:hAnsi="Times New Roman"/>
                <w:sz w:val="24"/>
                <w:vertAlign w:val="superscript"/>
              </w:rPr>
              <w:t>3</w:t>
            </w:r>
            <w:r>
              <w:rPr>
                <w:rFonts w:hint="eastAsia" w:ascii="Times New Roman" w:hAnsi="Times New Roman"/>
                <w:sz w:val="24"/>
              </w:rPr>
              <w:t>/d，污水处理工艺采用先进可靠的“多模A/AO+连续流砂滤池污水处理工艺”，出水水质能够满足《城镇污水处理厂污染物排放标准》（GB18918-2002）一级A标准，本项目施工期及营运期污水均能够接入芜湖大桥综合经济开发区污水处理厂处理</w:t>
            </w:r>
            <w:r>
              <w:rPr>
                <w:rFonts w:ascii="Times New Roman" w:hAnsi="Times New Roman"/>
                <w:sz w:val="24"/>
              </w:rPr>
              <w:t>。</w:t>
            </w:r>
          </w:p>
          <w:p>
            <w:pPr>
              <w:autoSpaceDE w:val="0"/>
              <w:autoSpaceDN w:val="0"/>
              <w:adjustRightInd w:val="0"/>
              <w:spacing w:line="360" w:lineRule="auto"/>
              <w:ind w:firstLine="480" w:firstLineChars="200"/>
              <w:rPr>
                <w:rFonts w:ascii="Times New Roman" w:hAnsi="Times New Roman"/>
                <w:sz w:val="24"/>
              </w:rPr>
            </w:pPr>
            <w:r>
              <w:rPr>
                <w:rFonts w:hint="eastAsia" w:ascii="Times New Roman" w:hAnsi="Times New Roman"/>
                <w:sz w:val="24"/>
              </w:rPr>
              <w:t>（6）</w:t>
            </w:r>
            <w:r>
              <w:rPr>
                <w:rFonts w:ascii="Times New Roman" w:hAnsi="Times New Roman"/>
                <w:sz w:val="24"/>
              </w:rPr>
              <w:t>管网衔接可行性分析</w:t>
            </w:r>
          </w:p>
          <w:p>
            <w:pPr>
              <w:autoSpaceDE w:val="0"/>
              <w:autoSpaceDN w:val="0"/>
              <w:adjustRightInd w:val="0"/>
              <w:spacing w:line="360" w:lineRule="auto"/>
              <w:ind w:firstLine="480" w:firstLineChars="200"/>
              <w:rPr>
                <w:rFonts w:ascii="Times New Roman" w:hAnsi="Times New Roman"/>
                <w:sz w:val="24"/>
              </w:rPr>
            </w:pPr>
            <w:r>
              <w:rPr>
                <w:rFonts w:ascii="Times New Roman" w:hAnsi="Times New Roman"/>
                <w:sz w:val="24"/>
              </w:rPr>
              <w:t>项目周边已敷设污水、雨水、自来水、电信等管线，污水管网可直接进入</w:t>
            </w:r>
            <w:r>
              <w:rPr>
                <w:rFonts w:hint="eastAsia" w:ascii="Times New Roman" w:hAnsi="Times New Roman"/>
                <w:sz w:val="24"/>
              </w:rPr>
              <w:t>芜湖大桥综合经济开发区污水处理厂</w:t>
            </w:r>
            <w:r>
              <w:rPr>
                <w:rFonts w:ascii="Times New Roman" w:hAnsi="Times New Roman"/>
                <w:sz w:val="24"/>
              </w:rPr>
              <w:t>。拟建项目日排水量为0.</w:t>
            </w:r>
            <w:r>
              <w:rPr>
                <w:rFonts w:hint="eastAsia" w:ascii="Times New Roman" w:hAnsi="Times New Roman"/>
                <w:sz w:val="24"/>
              </w:rPr>
              <w:t>96</w:t>
            </w:r>
            <w:r>
              <w:rPr>
                <w:rFonts w:ascii="Times New Roman" w:hAnsi="Times New Roman"/>
                <w:sz w:val="24"/>
              </w:rPr>
              <w:t>t，</w:t>
            </w:r>
            <w:r>
              <w:rPr>
                <w:rFonts w:hint="eastAsia" w:ascii="Times New Roman" w:hAnsi="Times New Roman"/>
                <w:sz w:val="24"/>
              </w:rPr>
              <w:t>芜湖大桥综合经济开发区污水处理厂</w:t>
            </w:r>
            <w:r>
              <w:rPr>
                <w:rFonts w:ascii="Times New Roman" w:hAnsi="Times New Roman"/>
                <w:sz w:val="24"/>
              </w:rPr>
              <w:t>现状处理能力为10万吨/日，拟建项目排水量占污水处理厂总处理能力的比例小，拟建项目污水总量贡献值很小，不会降低项目区现有水环境功能。</w:t>
            </w:r>
          </w:p>
          <w:p>
            <w:pPr>
              <w:autoSpaceDE w:val="0"/>
              <w:autoSpaceDN w:val="0"/>
              <w:adjustRightInd w:val="0"/>
              <w:spacing w:line="360" w:lineRule="auto"/>
              <w:ind w:firstLine="480" w:firstLineChars="200"/>
              <w:rPr>
                <w:rFonts w:ascii="Times New Roman" w:hAnsi="Times New Roman"/>
                <w:sz w:val="24"/>
              </w:rPr>
            </w:pPr>
            <w:r>
              <w:rPr>
                <w:rFonts w:hint="eastAsia" w:ascii="Times New Roman" w:hAnsi="Times New Roman"/>
                <w:sz w:val="24"/>
              </w:rPr>
              <w:t>（7）</w:t>
            </w:r>
            <w:r>
              <w:rPr>
                <w:rFonts w:ascii="Times New Roman" w:hAnsi="Times New Roman"/>
                <w:sz w:val="24"/>
              </w:rPr>
              <w:t>影响分析</w:t>
            </w:r>
          </w:p>
          <w:p>
            <w:pPr>
              <w:autoSpaceDE w:val="0"/>
              <w:autoSpaceDN w:val="0"/>
              <w:adjustRightInd w:val="0"/>
              <w:spacing w:line="360" w:lineRule="auto"/>
              <w:ind w:firstLine="480" w:firstLineChars="200"/>
              <w:rPr>
                <w:rFonts w:ascii="Times New Roman" w:hAnsi="Times New Roman"/>
                <w:sz w:val="24"/>
              </w:rPr>
            </w:pPr>
            <w:r>
              <w:rPr>
                <w:rFonts w:ascii="Times New Roman" w:hAnsi="Times New Roman"/>
                <w:sz w:val="24"/>
              </w:rPr>
              <w:t>综上，拟建项目废水经</w:t>
            </w:r>
            <w:r>
              <w:rPr>
                <w:rFonts w:hint="eastAsia" w:ascii="Times New Roman" w:hAnsi="Times New Roman"/>
                <w:sz w:val="24"/>
              </w:rPr>
              <w:t>芜湖大桥综合经济开发区污水处理厂</w:t>
            </w:r>
            <w:r>
              <w:rPr>
                <w:rFonts w:ascii="Times New Roman" w:hAnsi="Times New Roman"/>
                <w:sz w:val="24"/>
              </w:rPr>
              <w:t>处理达标后排入</w:t>
            </w:r>
            <w:r>
              <w:rPr>
                <w:rFonts w:hint="eastAsia" w:ascii="Times New Roman" w:hAnsi="Times New Roman"/>
                <w:sz w:val="24"/>
                <w:lang w:eastAsia="zh-CN"/>
              </w:rPr>
              <w:t>长江</w:t>
            </w:r>
            <w:r>
              <w:rPr>
                <w:rFonts w:ascii="Times New Roman" w:hAnsi="Times New Roman"/>
                <w:sz w:val="24"/>
              </w:rPr>
              <w:t>，会增加</w:t>
            </w:r>
            <w:r>
              <w:rPr>
                <w:rFonts w:hint="eastAsia" w:ascii="Times New Roman" w:hAnsi="Times New Roman"/>
                <w:sz w:val="24"/>
                <w:lang w:eastAsia="zh-CN"/>
              </w:rPr>
              <w:t>长江</w:t>
            </w:r>
            <w:r>
              <w:rPr>
                <w:rFonts w:ascii="Times New Roman" w:hAnsi="Times New Roman"/>
                <w:sz w:val="24"/>
              </w:rPr>
              <w:t>的总量，但该项目污水量不大，总量贡献值很小，不会降低项目区现有水环境功能。</w:t>
            </w:r>
          </w:p>
          <w:p>
            <w:pPr>
              <w:spacing w:line="360" w:lineRule="auto"/>
              <w:ind w:firstLine="480" w:firstLineChars="200"/>
              <w:rPr>
                <w:rFonts w:ascii="Times New Roman" w:hAnsi="Times New Roman"/>
                <w:color w:val="000000"/>
                <w:sz w:val="24"/>
              </w:rPr>
            </w:pPr>
            <w:r>
              <w:rPr>
                <w:rFonts w:ascii="Times New Roman" w:hAnsi="Times New Roman"/>
                <w:sz w:val="24"/>
                <w:szCs w:val="28"/>
              </w:rPr>
              <w:t>根</w:t>
            </w:r>
            <w:r>
              <w:rPr>
                <w:rFonts w:ascii="Times New Roman" w:hAnsi="Times New Roman"/>
                <w:sz w:val="24"/>
                <w:szCs w:val="22"/>
              </w:rPr>
              <w:t>据国家环境保护总局《关于开展排放口规范化整治工作的通知》及《安徽省污染源排放口规范化整治管理办法》的排水体制的规定要求。</w:t>
            </w:r>
          </w:p>
          <w:p>
            <w:pPr>
              <w:spacing w:line="360" w:lineRule="auto"/>
              <w:jc w:val="center"/>
              <w:rPr>
                <w:rFonts w:ascii="Times New Roman" w:hAnsi="Times New Roman"/>
                <w:b/>
                <w:bCs/>
                <w:sz w:val="24"/>
                <w:szCs w:val="22"/>
              </w:rPr>
            </w:pPr>
          </w:p>
          <w:p>
            <w:pPr>
              <w:spacing w:line="360" w:lineRule="auto"/>
              <w:jc w:val="center"/>
              <w:rPr>
                <w:rFonts w:ascii="Times New Roman" w:hAnsi="Times New Roman"/>
                <w:b/>
                <w:bCs/>
                <w:sz w:val="24"/>
                <w:szCs w:val="22"/>
              </w:rPr>
            </w:pPr>
          </w:p>
          <w:p>
            <w:pPr>
              <w:spacing w:line="360" w:lineRule="auto"/>
              <w:jc w:val="center"/>
              <w:rPr>
                <w:rFonts w:ascii="Times New Roman" w:hAnsi="Times New Roman"/>
                <w:b/>
                <w:bCs/>
                <w:sz w:val="24"/>
                <w:szCs w:val="22"/>
              </w:rPr>
            </w:pPr>
            <w:r>
              <w:rPr>
                <w:rFonts w:ascii="Times New Roman" w:hAnsi="Times New Roman"/>
                <w:b/>
                <w:bCs/>
                <w:sz w:val="24"/>
                <w:szCs w:val="22"/>
              </w:rPr>
              <w:t>表7-</w:t>
            </w:r>
            <w:r>
              <w:rPr>
                <w:rFonts w:hint="eastAsia" w:ascii="Times New Roman" w:hAnsi="Times New Roman"/>
                <w:b/>
                <w:bCs/>
                <w:sz w:val="24"/>
                <w:szCs w:val="22"/>
                <w:lang w:val="en-US" w:eastAsia="zh-CN"/>
              </w:rPr>
              <w:t>6</w:t>
            </w:r>
            <w:r>
              <w:rPr>
                <w:rFonts w:ascii="Times New Roman" w:hAnsi="Times New Roman"/>
                <w:b/>
                <w:bCs/>
                <w:sz w:val="24"/>
                <w:szCs w:val="22"/>
              </w:rPr>
              <w:t xml:space="preserve"> </w:t>
            </w:r>
            <w:r>
              <w:rPr>
                <w:rFonts w:hint="eastAsia" w:ascii="Times New Roman" w:hAnsi="Times New Roman"/>
                <w:b/>
                <w:bCs/>
                <w:sz w:val="24"/>
                <w:szCs w:val="22"/>
              </w:rPr>
              <w:t xml:space="preserve"> </w:t>
            </w:r>
            <w:r>
              <w:rPr>
                <w:rFonts w:ascii="Times New Roman" w:hAnsi="Times New Roman"/>
                <w:b/>
                <w:bCs/>
                <w:sz w:val="24"/>
                <w:szCs w:val="22"/>
              </w:rPr>
              <w:t>废水类别、污染物及治理设施信息表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
              <w:gridCol w:w="686"/>
              <w:gridCol w:w="1323"/>
              <w:gridCol w:w="945"/>
              <w:gridCol w:w="574"/>
              <w:gridCol w:w="714"/>
              <w:gridCol w:w="951"/>
              <w:gridCol w:w="991"/>
              <w:gridCol w:w="899"/>
              <w:gridCol w:w="674"/>
              <w:gridCol w:w="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56" w:type="dxa"/>
                  <w:vMerge w:val="restart"/>
                  <w:vAlign w:val="center"/>
                </w:tcPr>
                <w:p>
                  <w:pPr>
                    <w:spacing w:line="340" w:lineRule="exact"/>
                    <w:jc w:val="center"/>
                    <w:rPr>
                      <w:rFonts w:ascii="Times New Roman" w:hAnsi="Times New Roman"/>
                      <w:b/>
                      <w:szCs w:val="21"/>
                    </w:rPr>
                  </w:pPr>
                  <w:r>
                    <w:rPr>
                      <w:rFonts w:ascii="Times New Roman" w:hAnsi="Times New Roman"/>
                      <w:b/>
                      <w:szCs w:val="21"/>
                    </w:rPr>
                    <w:t>序号</w:t>
                  </w:r>
                </w:p>
              </w:tc>
              <w:tc>
                <w:tcPr>
                  <w:tcW w:w="686" w:type="dxa"/>
                  <w:vMerge w:val="restart"/>
                  <w:vAlign w:val="center"/>
                </w:tcPr>
                <w:p>
                  <w:pPr>
                    <w:spacing w:line="340" w:lineRule="exact"/>
                    <w:jc w:val="center"/>
                    <w:rPr>
                      <w:rFonts w:ascii="Times New Roman" w:hAnsi="Times New Roman"/>
                      <w:b/>
                      <w:szCs w:val="21"/>
                    </w:rPr>
                  </w:pPr>
                  <w:r>
                    <w:rPr>
                      <w:rFonts w:ascii="Times New Roman" w:hAnsi="Times New Roman"/>
                      <w:b/>
                      <w:szCs w:val="21"/>
                    </w:rPr>
                    <w:t>废水类别</w:t>
                  </w:r>
                </w:p>
              </w:tc>
              <w:tc>
                <w:tcPr>
                  <w:tcW w:w="1323" w:type="dxa"/>
                  <w:vMerge w:val="restart"/>
                  <w:vAlign w:val="center"/>
                </w:tcPr>
                <w:p>
                  <w:pPr>
                    <w:spacing w:line="340" w:lineRule="exact"/>
                    <w:jc w:val="center"/>
                    <w:rPr>
                      <w:rFonts w:ascii="Times New Roman" w:hAnsi="Times New Roman"/>
                      <w:b/>
                      <w:szCs w:val="21"/>
                    </w:rPr>
                  </w:pPr>
                  <w:r>
                    <w:rPr>
                      <w:rFonts w:ascii="Times New Roman" w:hAnsi="Times New Roman"/>
                      <w:b/>
                      <w:szCs w:val="21"/>
                    </w:rPr>
                    <w:t>污染物种类</w:t>
                  </w:r>
                </w:p>
              </w:tc>
              <w:tc>
                <w:tcPr>
                  <w:tcW w:w="945" w:type="dxa"/>
                  <w:vMerge w:val="restart"/>
                  <w:vAlign w:val="center"/>
                </w:tcPr>
                <w:p>
                  <w:pPr>
                    <w:spacing w:line="340" w:lineRule="exact"/>
                    <w:jc w:val="center"/>
                    <w:rPr>
                      <w:rFonts w:ascii="Times New Roman" w:hAnsi="Times New Roman"/>
                      <w:b/>
                      <w:szCs w:val="21"/>
                    </w:rPr>
                  </w:pPr>
                  <w:r>
                    <w:rPr>
                      <w:rFonts w:ascii="Times New Roman" w:hAnsi="Times New Roman"/>
                      <w:b/>
                      <w:szCs w:val="21"/>
                    </w:rPr>
                    <w:t>排放去向</w:t>
                  </w:r>
                </w:p>
              </w:tc>
              <w:tc>
                <w:tcPr>
                  <w:tcW w:w="574" w:type="dxa"/>
                  <w:vMerge w:val="restart"/>
                  <w:vAlign w:val="center"/>
                </w:tcPr>
                <w:p>
                  <w:pPr>
                    <w:spacing w:line="340" w:lineRule="exact"/>
                    <w:jc w:val="center"/>
                    <w:rPr>
                      <w:rFonts w:ascii="Times New Roman" w:hAnsi="Times New Roman"/>
                      <w:b/>
                      <w:szCs w:val="21"/>
                    </w:rPr>
                  </w:pPr>
                  <w:r>
                    <w:rPr>
                      <w:rFonts w:ascii="Times New Roman" w:hAnsi="Times New Roman"/>
                      <w:b/>
                      <w:szCs w:val="21"/>
                    </w:rPr>
                    <w:t>排放规律</w:t>
                  </w:r>
                </w:p>
              </w:tc>
              <w:tc>
                <w:tcPr>
                  <w:tcW w:w="2656" w:type="dxa"/>
                  <w:gridSpan w:val="3"/>
                  <w:vAlign w:val="center"/>
                </w:tcPr>
                <w:p>
                  <w:pPr>
                    <w:spacing w:line="340" w:lineRule="exact"/>
                    <w:ind w:left="-105" w:leftChars="-50" w:right="-105" w:rightChars="-50"/>
                    <w:jc w:val="center"/>
                    <w:rPr>
                      <w:rFonts w:ascii="Times New Roman" w:hAnsi="Times New Roman"/>
                      <w:b/>
                      <w:szCs w:val="21"/>
                    </w:rPr>
                  </w:pPr>
                  <w:r>
                    <w:rPr>
                      <w:rFonts w:ascii="Times New Roman" w:hAnsi="Times New Roman"/>
                      <w:b/>
                      <w:szCs w:val="21"/>
                    </w:rPr>
                    <w:t>污染治理设施</w:t>
                  </w:r>
                </w:p>
              </w:tc>
              <w:tc>
                <w:tcPr>
                  <w:tcW w:w="899" w:type="dxa"/>
                  <w:vMerge w:val="restart"/>
                  <w:vAlign w:val="center"/>
                </w:tcPr>
                <w:p>
                  <w:pPr>
                    <w:spacing w:line="340" w:lineRule="exact"/>
                    <w:ind w:left="-105" w:leftChars="-50" w:right="-105" w:rightChars="-50"/>
                    <w:jc w:val="center"/>
                    <w:rPr>
                      <w:rFonts w:ascii="Times New Roman" w:hAnsi="Times New Roman"/>
                      <w:b/>
                      <w:szCs w:val="21"/>
                    </w:rPr>
                  </w:pPr>
                  <w:r>
                    <w:rPr>
                      <w:rFonts w:ascii="Times New Roman" w:hAnsi="Times New Roman"/>
                      <w:b/>
                      <w:szCs w:val="21"/>
                    </w:rPr>
                    <w:t>排放口</w:t>
                  </w:r>
                </w:p>
                <w:p>
                  <w:pPr>
                    <w:spacing w:line="340" w:lineRule="exact"/>
                    <w:ind w:left="-105" w:leftChars="-50" w:right="-105" w:rightChars="-50"/>
                    <w:jc w:val="center"/>
                    <w:rPr>
                      <w:rFonts w:ascii="Times New Roman" w:hAnsi="Times New Roman"/>
                      <w:b/>
                      <w:szCs w:val="21"/>
                    </w:rPr>
                  </w:pPr>
                  <w:r>
                    <w:rPr>
                      <w:rFonts w:ascii="Times New Roman" w:hAnsi="Times New Roman"/>
                      <w:b/>
                      <w:szCs w:val="21"/>
                    </w:rPr>
                    <w:t>编号</w:t>
                  </w:r>
                </w:p>
              </w:tc>
              <w:tc>
                <w:tcPr>
                  <w:tcW w:w="674" w:type="dxa"/>
                  <w:vMerge w:val="restart"/>
                  <w:vAlign w:val="center"/>
                </w:tcPr>
                <w:p>
                  <w:pPr>
                    <w:spacing w:line="340" w:lineRule="exact"/>
                    <w:ind w:left="-105" w:leftChars="-50" w:right="-105" w:rightChars="-50"/>
                    <w:jc w:val="center"/>
                    <w:rPr>
                      <w:rFonts w:ascii="Times New Roman" w:hAnsi="Times New Roman"/>
                      <w:b/>
                      <w:szCs w:val="21"/>
                    </w:rPr>
                  </w:pPr>
                  <w:r>
                    <w:rPr>
                      <w:rFonts w:ascii="Times New Roman" w:hAnsi="Times New Roman"/>
                      <w:b/>
                      <w:szCs w:val="21"/>
                    </w:rPr>
                    <w:t>排放口</w:t>
                  </w:r>
                </w:p>
                <w:p>
                  <w:pPr>
                    <w:spacing w:line="340" w:lineRule="exact"/>
                    <w:ind w:left="-105" w:leftChars="-50" w:right="-105" w:rightChars="-50"/>
                    <w:jc w:val="center"/>
                    <w:rPr>
                      <w:rFonts w:ascii="Times New Roman" w:hAnsi="Times New Roman"/>
                      <w:b/>
                      <w:szCs w:val="21"/>
                    </w:rPr>
                  </w:pPr>
                  <w:r>
                    <w:rPr>
                      <w:rFonts w:ascii="Times New Roman" w:hAnsi="Times New Roman"/>
                      <w:b/>
                      <w:szCs w:val="21"/>
                    </w:rPr>
                    <w:t>设置是</w:t>
                  </w:r>
                </w:p>
                <w:p>
                  <w:pPr>
                    <w:spacing w:line="340" w:lineRule="exact"/>
                    <w:ind w:left="-105" w:leftChars="-50" w:right="-105" w:rightChars="-50"/>
                    <w:jc w:val="center"/>
                    <w:rPr>
                      <w:rFonts w:ascii="Times New Roman" w:hAnsi="Times New Roman"/>
                      <w:b/>
                      <w:szCs w:val="21"/>
                    </w:rPr>
                  </w:pPr>
                  <w:r>
                    <w:rPr>
                      <w:rFonts w:ascii="Times New Roman" w:hAnsi="Times New Roman"/>
                      <w:b/>
                      <w:szCs w:val="21"/>
                    </w:rPr>
                    <w:t>否符合</w:t>
                  </w:r>
                </w:p>
                <w:p>
                  <w:pPr>
                    <w:spacing w:line="340" w:lineRule="exact"/>
                    <w:ind w:left="-105" w:leftChars="-50" w:right="-105" w:rightChars="-50"/>
                    <w:jc w:val="center"/>
                    <w:rPr>
                      <w:rFonts w:ascii="Times New Roman" w:hAnsi="Times New Roman"/>
                      <w:b/>
                      <w:szCs w:val="21"/>
                    </w:rPr>
                  </w:pPr>
                  <w:r>
                    <w:rPr>
                      <w:rFonts w:ascii="Times New Roman" w:hAnsi="Times New Roman"/>
                      <w:b/>
                      <w:szCs w:val="21"/>
                    </w:rPr>
                    <w:t>要求</w:t>
                  </w:r>
                </w:p>
              </w:tc>
              <w:tc>
                <w:tcPr>
                  <w:tcW w:w="673" w:type="dxa"/>
                  <w:vMerge w:val="restart"/>
                  <w:vAlign w:val="center"/>
                </w:tcPr>
                <w:p>
                  <w:pPr>
                    <w:spacing w:line="340" w:lineRule="exact"/>
                    <w:jc w:val="center"/>
                    <w:rPr>
                      <w:rFonts w:ascii="Times New Roman" w:hAnsi="Times New Roman"/>
                      <w:b/>
                      <w:szCs w:val="21"/>
                    </w:rPr>
                  </w:pPr>
                  <w:r>
                    <w:rPr>
                      <w:rFonts w:ascii="Times New Roman" w:hAnsi="Times New Roman"/>
                      <w:b/>
                      <w:szCs w:val="21"/>
                    </w:rPr>
                    <w:t>排放类型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56" w:type="dxa"/>
                  <w:vMerge w:val="continue"/>
                  <w:vAlign w:val="center"/>
                </w:tcPr>
                <w:p>
                  <w:pPr>
                    <w:spacing w:line="340" w:lineRule="exact"/>
                    <w:jc w:val="center"/>
                    <w:rPr>
                      <w:rFonts w:ascii="Times New Roman" w:hAnsi="Times New Roman"/>
                      <w:b/>
                      <w:szCs w:val="21"/>
                    </w:rPr>
                  </w:pPr>
                </w:p>
              </w:tc>
              <w:tc>
                <w:tcPr>
                  <w:tcW w:w="686" w:type="dxa"/>
                  <w:vMerge w:val="continue"/>
                  <w:vAlign w:val="center"/>
                </w:tcPr>
                <w:p>
                  <w:pPr>
                    <w:spacing w:line="340" w:lineRule="exact"/>
                    <w:jc w:val="center"/>
                    <w:rPr>
                      <w:rFonts w:ascii="Times New Roman" w:hAnsi="Times New Roman"/>
                      <w:b/>
                      <w:szCs w:val="21"/>
                    </w:rPr>
                  </w:pPr>
                </w:p>
              </w:tc>
              <w:tc>
                <w:tcPr>
                  <w:tcW w:w="1323" w:type="dxa"/>
                  <w:vMerge w:val="continue"/>
                  <w:vAlign w:val="center"/>
                </w:tcPr>
                <w:p>
                  <w:pPr>
                    <w:spacing w:line="340" w:lineRule="exact"/>
                    <w:jc w:val="center"/>
                    <w:rPr>
                      <w:rFonts w:ascii="Times New Roman" w:hAnsi="Times New Roman"/>
                      <w:b/>
                      <w:szCs w:val="21"/>
                    </w:rPr>
                  </w:pPr>
                </w:p>
              </w:tc>
              <w:tc>
                <w:tcPr>
                  <w:tcW w:w="945" w:type="dxa"/>
                  <w:vMerge w:val="continue"/>
                  <w:vAlign w:val="center"/>
                </w:tcPr>
                <w:p>
                  <w:pPr>
                    <w:spacing w:line="340" w:lineRule="exact"/>
                    <w:jc w:val="center"/>
                    <w:rPr>
                      <w:rFonts w:ascii="Times New Roman" w:hAnsi="Times New Roman"/>
                      <w:b/>
                      <w:szCs w:val="21"/>
                    </w:rPr>
                  </w:pPr>
                </w:p>
              </w:tc>
              <w:tc>
                <w:tcPr>
                  <w:tcW w:w="574" w:type="dxa"/>
                  <w:vMerge w:val="continue"/>
                  <w:vAlign w:val="center"/>
                </w:tcPr>
                <w:p>
                  <w:pPr>
                    <w:spacing w:line="340" w:lineRule="exact"/>
                    <w:jc w:val="center"/>
                    <w:rPr>
                      <w:rFonts w:ascii="Times New Roman" w:hAnsi="Times New Roman"/>
                      <w:b/>
                      <w:szCs w:val="21"/>
                    </w:rPr>
                  </w:pPr>
                </w:p>
              </w:tc>
              <w:tc>
                <w:tcPr>
                  <w:tcW w:w="714" w:type="dxa"/>
                  <w:vAlign w:val="center"/>
                </w:tcPr>
                <w:p>
                  <w:pPr>
                    <w:spacing w:line="340" w:lineRule="exact"/>
                    <w:ind w:left="-105" w:leftChars="-50" w:right="-105" w:rightChars="-50"/>
                    <w:jc w:val="center"/>
                    <w:rPr>
                      <w:rFonts w:ascii="Times New Roman" w:hAnsi="Times New Roman"/>
                      <w:b/>
                      <w:szCs w:val="21"/>
                    </w:rPr>
                  </w:pPr>
                  <w:r>
                    <w:rPr>
                      <w:rFonts w:ascii="Times New Roman" w:hAnsi="Times New Roman"/>
                      <w:b/>
                      <w:szCs w:val="21"/>
                    </w:rPr>
                    <w:t>污染治理设施编号</w:t>
                  </w:r>
                </w:p>
              </w:tc>
              <w:tc>
                <w:tcPr>
                  <w:tcW w:w="951" w:type="dxa"/>
                  <w:vAlign w:val="center"/>
                </w:tcPr>
                <w:p>
                  <w:pPr>
                    <w:spacing w:line="340" w:lineRule="exact"/>
                    <w:ind w:left="-105" w:leftChars="-50" w:right="-105" w:rightChars="-50"/>
                    <w:jc w:val="center"/>
                    <w:rPr>
                      <w:rFonts w:ascii="Times New Roman" w:hAnsi="Times New Roman"/>
                      <w:b/>
                      <w:szCs w:val="21"/>
                    </w:rPr>
                  </w:pPr>
                  <w:r>
                    <w:rPr>
                      <w:rFonts w:ascii="Times New Roman" w:hAnsi="Times New Roman"/>
                      <w:b/>
                      <w:szCs w:val="21"/>
                    </w:rPr>
                    <w:t>污染治理设施名称</w:t>
                  </w:r>
                </w:p>
              </w:tc>
              <w:tc>
                <w:tcPr>
                  <w:tcW w:w="991" w:type="dxa"/>
                  <w:vAlign w:val="center"/>
                </w:tcPr>
                <w:p>
                  <w:pPr>
                    <w:spacing w:line="340" w:lineRule="exact"/>
                    <w:ind w:left="-105" w:leftChars="-50" w:right="-105" w:rightChars="-50"/>
                    <w:jc w:val="center"/>
                    <w:rPr>
                      <w:rFonts w:ascii="Times New Roman" w:hAnsi="Times New Roman"/>
                      <w:b/>
                      <w:szCs w:val="21"/>
                    </w:rPr>
                  </w:pPr>
                  <w:r>
                    <w:rPr>
                      <w:rFonts w:ascii="Times New Roman" w:hAnsi="Times New Roman"/>
                      <w:b/>
                      <w:szCs w:val="21"/>
                    </w:rPr>
                    <w:t>污染治理</w:t>
                  </w:r>
                </w:p>
                <w:p>
                  <w:pPr>
                    <w:spacing w:line="340" w:lineRule="exact"/>
                    <w:ind w:left="-105" w:leftChars="-50" w:right="-105" w:rightChars="-50"/>
                    <w:jc w:val="center"/>
                    <w:rPr>
                      <w:rFonts w:ascii="Times New Roman" w:hAnsi="Times New Roman"/>
                      <w:b/>
                      <w:szCs w:val="21"/>
                    </w:rPr>
                  </w:pPr>
                  <w:r>
                    <w:rPr>
                      <w:rFonts w:ascii="Times New Roman" w:hAnsi="Times New Roman"/>
                      <w:b/>
                      <w:szCs w:val="21"/>
                    </w:rPr>
                    <w:t>设施工艺</w:t>
                  </w:r>
                </w:p>
              </w:tc>
              <w:tc>
                <w:tcPr>
                  <w:tcW w:w="899" w:type="dxa"/>
                  <w:vMerge w:val="continue"/>
                  <w:vAlign w:val="center"/>
                </w:tcPr>
                <w:p>
                  <w:pPr>
                    <w:spacing w:line="340" w:lineRule="exact"/>
                    <w:ind w:left="-105" w:leftChars="-50" w:right="-105" w:rightChars="-50"/>
                    <w:jc w:val="center"/>
                    <w:rPr>
                      <w:rFonts w:ascii="Times New Roman" w:hAnsi="Times New Roman"/>
                      <w:b/>
                      <w:szCs w:val="21"/>
                    </w:rPr>
                  </w:pPr>
                </w:p>
              </w:tc>
              <w:tc>
                <w:tcPr>
                  <w:tcW w:w="674" w:type="dxa"/>
                  <w:vMerge w:val="continue"/>
                  <w:vAlign w:val="center"/>
                </w:tcPr>
                <w:p>
                  <w:pPr>
                    <w:spacing w:line="340" w:lineRule="exact"/>
                    <w:ind w:left="-105" w:leftChars="-50" w:right="-105" w:rightChars="-50"/>
                    <w:jc w:val="center"/>
                    <w:rPr>
                      <w:rFonts w:ascii="Times New Roman" w:hAnsi="Times New Roman"/>
                      <w:b/>
                      <w:szCs w:val="21"/>
                    </w:rPr>
                  </w:pPr>
                </w:p>
              </w:tc>
              <w:tc>
                <w:tcPr>
                  <w:tcW w:w="673" w:type="dxa"/>
                  <w:vMerge w:val="continue"/>
                  <w:vAlign w:val="center"/>
                </w:tcPr>
                <w:p>
                  <w:pPr>
                    <w:spacing w:line="340" w:lineRule="exact"/>
                    <w:jc w:val="center"/>
                    <w:rPr>
                      <w:rFonts w:ascii="Times New Roman" w:hAnsi="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6" w:type="dxa"/>
                  <w:vAlign w:val="center"/>
                </w:tcPr>
                <w:p>
                  <w:pPr>
                    <w:spacing w:line="340" w:lineRule="exact"/>
                    <w:jc w:val="center"/>
                    <w:rPr>
                      <w:rFonts w:ascii="Times New Roman" w:hAnsi="Times New Roman"/>
                      <w:szCs w:val="21"/>
                    </w:rPr>
                  </w:pPr>
                  <w:r>
                    <w:rPr>
                      <w:rFonts w:ascii="Times New Roman" w:hAnsi="Times New Roman"/>
                      <w:szCs w:val="21"/>
                    </w:rPr>
                    <w:t>1</w:t>
                  </w:r>
                </w:p>
              </w:tc>
              <w:tc>
                <w:tcPr>
                  <w:tcW w:w="686" w:type="dxa"/>
                  <w:vAlign w:val="center"/>
                </w:tcPr>
                <w:p>
                  <w:pPr>
                    <w:spacing w:line="340" w:lineRule="exact"/>
                    <w:jc w:val="center"/>
                    <w:rPr>
                      <w:rFonts w:ascii="Times New Roman" w:hAnsi="Times New Roman"/>
                      <w:szCs w:val="21"/>
                    </w:rPr>
                  </w:pPr>
                  <w:r>
                    <w:rPr>
                      <w:rFonts w:ascii="Times New Roman" w:hAnsi="Times New Roman"/>
                      <w:szCs w:val="21"/>
                    </w:rPr>
                    <w:t>综合废水</w:t>
                  </w:r>
                </w:p>
              </w:tc>
              <w:tc>
                <w:tcPr>
                  <w:tcW w:w="1323" w:type="dxa"/>
                  <w:vAlign w:val="center"/>
                </w:tcPr>
                <w:p>
                  <w:pPr>
                    <w:spacing w:line="340" w:lineRule="exact"/>
                    <w:ind w:left="-105" w:leftChars="-50" w:right="-105" w:rightChars="-50"/>
                    <w:jc w:val="center"/>
                    <w:rPr>
                      <w:rFonts w:ascii="Times New Roman" w:hAnsi="Times New Roman"/>
                      <w:szCs w:val="21"/>
                    </w:rPr>
                  </w:pPr>
                  <w:r>
                    <w:rPr>
                      <w:rFonts w:ascii="Times New Roman" w:hAnsi="Times New Roman"/>
                      <w:szCs w:val="21"/>
                    </w:rPr>
                    <w:t>COD、SS、NH</w:t>
                  </w:r>
                  <w:r>
                    <w:rPr>
                      <w:rFonts w:ascii="Times New Roman" w:hAnsi="Times New Roman"/>
                      <w:szCs w:val="21"/>
                      <w:vertAlign w:val="subscript"/>
                    </w:rPr>
                    <w:t>3</w:t>
                  </w:r>
                  <w:r>
                    <w:rPr>
                      <w:rFonts w:ascii="Times New Roman" w:hAnsi="Times New Roman"/>
                      <w:szCs w:val="21"/>
                    </w:rPr>
                    <w:t>-N、</w:t>
                  </w:r>
                  <w:r>
                    <w:rPr>
                      <w:rFonts w:hint="eastAsia" w:ascii="Times New Roman" w:hAnsi="Times New Roman"/>
                      <w:szCs w:val="21"/>
                    </w:rPr>
                    <w:t>动植物油、</w:t>
                  </w:r>
                  <w:r>
                    <w:rPr>
                      <w:rFonts w:ascii="Times New Roman" w:hAnsi="Times New Roman"/>
                      <w:szCs w:val="21"/>
                    </w:rPr>
                    <w:t>BOD</w:t>
                  </w:r>
                  <w:r>
                    <w:rPr>
                      <w:rFonts w:ascii="Times New Roman" w:hAnsi="Times New Roman"/>
                      <w:szCs w:val="21"/>
                      <w:vertAlign w:val="subscript"/>
                    </w:rPr>
                    <w:t>5</w:t>
                  </w:r>
                </w:p>
              </w:tc>
              <w:tc>
                <w:tcPr>
                  <w:tcW w:w="945" w:type="dxa"/>
                  <w:vAlign w:val="center"/>
                </w:tcPr>
                <w:p>
                  <w:pPr>
                    <w:spacing w:line="340" w:lineRule="exact"/>
                    <w:ind w:left="-105" w:leftChars="-50" w:right="-105" w:rightChars="-50"/>
                    <w:jc w:val="center"/>
                    <w:rPr>
                      <w:rFonts w:ascii="Times New Roman" w:hAnsi="Times New Roman"/>
                      <w:szCs w:val="21"/>
                    </w:rPr>
                  </w:pPr>
                  <w:r>
                    <w:rPr>
                      <w:rFonts w:ascii="Times New Roman" w:hAnsi="Times New Roman"/>
                      <w:szCs w:val="21"/>
                    </w:rPr>
                    <w:t>排入生活水系统</w:t>
                  </w:r>
                </w:p>
              </w:tc>
              <w:tc>
                <w:tcPr>
                  <w:tcW w:w="574" w:type="dxa"/>
                  <w:vAlign w:val="center"/>
                </w:tcPr>
                <w:p>
                  <w:pPr>
                    <w:spacing w:line="340" w:lineRule="exact"/>
                    <w:ind w:left="-105" w:leftChars="-50" w:right="-105" w:rightChars="-50"/>
                    <w:jc w:val="center"/>
                    <w:rPr>
                      <w:rFonts w:ascii="Times New Roman" w:hAnsi="Times New Roman"/>
                      <w:szCs w:val="21"/>
                    </w:rPr>
                  </w:pPr>
                  <w:r>
                    <w:rPr>
                      <w:rFonts w:ascii="Times New Roman" w:hAnsi="Times New Roman"/>
                      <w:szCs w:val="21"/>
                    </w:rPr>
                    <w:t>连续</w:t>
                  </w:r>
                </w:p>
                <w:p>
                  <w:pPr>
                    <w:spacing w:line="340" w:lineRule="exact"/>
                    <w:ind w:left="-105" w:leftChars="-50" w:right="-105" w:rightChars="-50"/>
                    <w:jc w:val="center"/>
                    <w:rPr>
                      <w:rFonts w:ascii="Times New Roman" w:hAnsi="Times New Roman"/>
                      <w:szCs w:val="21"/>
                    </w:rPr>
                  </w:pPr>
                  <w:r>
                    <w:rPr>
                      <w:rFonts w:ascii="Times New Roman" w:hAnsi="Times New Roman"/>
                      <w:szCs w:val="21"/>
                    </w:rPr>
                    <w:t>排放</w:t>
                  </w:r>
                </w:p>
              </w:tc>
              <w:tc>
                <w:tcPr>
                  <w:tcW w:w="714" w:type="dxa"/>
                  <w:vAlign w:val="center"/>
                </w:tcPr>
                <w:p>
                  <w:pPr>
                    <w:spacing w:line="340" w:lineRule="exact"/>
                    <w:jc w:val="center"/>
                    <w:rPr>
                      <w:rFonts w:ascii="Times New Roman" w:hAnsi="Times New Roman"/>
                      <w:szCs w:val="21"/>
                    </w:rPr>
                  </w:pPr>
                  <w:r>
                    <w:rPr>
                      <w:rFonts w:ascii="Times New Roman" w:hAnsi="Times New Roman"/>
                      <w:szCs w:val="21"/>
                    </w:rPr>
                    <w:t>1#</w:t>
                  </w:r>
                </w:p>
              </w:tc>
              <w:tc>
                <w:tcPr>
                  <w:tcW w:w="951" w:type="dxa"/>
                  <w:vAlign w:val="center"/>
                </w:tcPr>
                <w:p>
                  <w:pPr>
                    <w:spacing w:line="340" w:lineRule="exact"/>
                    <w:ind w:left="-105" w:leftChars="-50" w:right="-105" w:rightChars="-50"/>
                    <w:jc w:val="center"/>
                    <w:rPr>
                      <w:rFonts w:ascii="Times New Roman" w:hAnsi="Times New Roman"/>
                      <w:szCs w:val="21"/>
                    </w:rPr>
                  </w:pPr>
                  <w:r>
                    <w:rPr>
                      <w:rFonts w:hint="eastAsia" w:ascii="Times New Roman" w:hAnsi="Times New Roman"/>
                      <w:szCs w:val="21"/>
                    </w:rPr>
                    <w:t>隔油池、化粪池</w:t>
                  </w:r>
                </w:p>
              </w:tc>
              <w:tc>
                <w:tcPr>
                  <w:tcW w:w="991" w:type="dxa"/>
                  <w:vAlign w:val="center"/>
                </w:tcPr>
                <w:p>
                  <w:pPr>
                    <w:spacing w:line="340" w:lineRule="exact"/>
                    <w:ind w:left="-105" w:leftChars="-50" w:right="-105" w:rightChars="-50"/>
                    <w:jc w:val="center"/>
                    <w:rPr>
                      <w:rFonts w:ascii="Times New Roman" w:hAnsi="Times New Roman"/>
                      <w:szCs w:val="21"/>
                    </w:rPr>
                  </w:pPr>
                  <w:r>
                    <w:rPr>
                      <w:rFonts w:hint="eastAsia" w:ascii="Times New Roman" w:hAnsi="Times New Roman"/>
                      <w:szCs w:val="21"/>
                    </w:rPr>
                    <w:t>沉淀</w:t>
                  </w:r>
                </w:p>
              </w:tc>
              <w:tc>
                <w:tcPr>
                  <w:tcW w:w="899" w:type="dxa"/>
                  <w:vAlign w:val="center"/>
                </w:tcPr>
                <w:p>
                  <w:pPr>
                    <w:spacing w:line="340" w:lineRule="exact"/>
                    <w:ind w:left="-63" w:leftChars="-30" w:right="-63" w:rightChars="-30"/>
                    <w:jc w:val="center"/>
                    <w:rPr>
                      <w:rFonts w:ascii="Times New Roman" w:hAnsi="Times New Roman"/>
                      <w:szCs w:val="21"/>
                    </w:rPr>
                  </w:pPr>
                  <w:r>
                    <w:rPr>
                      <w:rFonts w:ascii="Times New Roman" w:hAnsi="Times New Roman"/>
                      <w:szCs w:val="21"/>
                    </w:rPr>
                    <w:t>DW-001</w:t>
                  </w:r>
                </w:p>
              </w:tc>
              <w:tc>
                <w:tcPr>
                  <w:tcW w:w="674" w:type="dxa"/>
                  <w:vAlign w:val="center"/>
                </w:tcPr>
                <w:p>
                  <w:pPr>
                    <w:spacing w:line="340" w:lineRule="exact"/>
                    <w:jc w:val="center"/>
                    <w:rPr>
                      <w:rFonts w:ascii="Times New Roman" w:hAnsi="Times New Roman"/>
                      <w:szCs w:val="21"/>
                    </w:rPr>
                  </w:pPr>
                  <w:r>
                    <w:rPr>
                      <w:rFonts w:ascii="Times New Roman" w:hAnsi="Times New Roman"/>
                      <w:szCs w:val="21"/>
                    </w:rPr>
                    <w:t>是</w:t>
                  </w:r>
                </w:p>
              </w:tc>
              <w:tc>
                <w:tcPr>
                  <w:tcW w:w="673" w:type="dxa"/>
                  <w:vAlign w:val="center"/>
                </w:tcPr>
                <w:p>
                  <w:pPr>
                    <w:spacing w:line="340" w:lineRule="exact"/>
                    <w:jc w:val="center"/>
                    <w:rPr>
                      <w:rFonts w:ascii="Times New Roman" w:hAnsi="Times New Roman"/>
                      <w:szCs w:val="21"/>
                    </w:rPr>
                  </w:pPr>
                  <w:r>
                    <w:rPr>
                      <w:rFonts w:ascii="Times New Roman" w:hAnsi="Times New Roman"/>
                      <w:szCs w:val="21"/>
                    </w:rPr>
                    <w:t>企业总排</w:t>
                  </w:r>
                </w:p>
              </w:tc>
            </w:tr>
          </w:tbl>
          <w:p>
            <w:pPr>
              <w:spacing w:line="360" w:lineRule="auto"/>
              <w:jc w:val="center"/>
              <w:rPr>
                <w:rFonts w:ascii="Times New Roman" w:hAnsi="Times New Roman"/>
                <w:b/>
                <w:bCs/>
                <w:color w:val="FF0000"/>
                <w:sz w:val="24"/>
                <w:szCs w:val="22"/>
              </w:rPr>
            </w:pPr>
          </w:p>
          <w:p>
            <w:pPr>
              <w:spacing w:line="360" w:lineRule="auto"/>
              <w:jc w:val="center"/>
              <w:rPr>
                <w:rFonts w:ascii="Times New Roman" w:hAnsi="Times New Roman"/>
                <w:b/>
                <w:bCs/>
                <w:sz w:val="24"/>
                <w:szCs w:val="22"/>
              </w:rPr>
            </w:pPr>
            <w:r>
              <w:rPr>
                <w:rFonts w:ascii="Times New Roman" w:hAnsi="Times New Roman"/>
                <w:b/>
                <w:bCs/>
                <w:sz w:val="24"/>
                <w:szCs w:val="22"/>
              </w:rPr>
              <w:t>表7-</w:t>
            </w:r>
            <w:r>
              <w:rPr>
                <w:rFonts w:hint="eastAsia" w:ascii="Times New Roman" w:hAnsi="Times New Roman"/>
                <w:b/>
                <w:bCs/>
                <w:sz w:val="24"/>
                <w:szCs w:val="22"/>
                <w:lang w:val="en-US" w:eastAsia="zh-CN"/>
              </w:rPr>
              <w:t>7</w:t>
            </w:r>
            <w:r>
              <w:rPr>
                <w:rFonts w:ascii="Times New Roman" w:hAnsi="Times New Roman"/>
                <w:b/>
                <w:bCs/>
                <w:sz w:val="24"/>
                <w:szCs w:val="22"/>
              </w:rPr>
              <w:t xml:space="preserve"> </w:t>
            </w:r>
            <w:r>
              <w:rPr>
                <w:rFonts w:hint="eastAsia" w:ascii="Times New Roman" w:hAnsi="Times New Roman"/>
                <w:b/>
                <w:bCs/>
                <w:sz w:val="24"/>
                <w:szCs w:val="22"/>
              </w:rPr>
              <w:t xml:space="preserve"> </w:t>
            </w:r>
            <w:r>
              <w:rPr>
                <w:rFonts w:ascii="Times New Roman" w:hAnsi="Times New Roman"/>
                <w:b/>
                <w:bCs/>
                <w:sz w:val="24"/>
                <w:szCs w:val="22"/>
              </w:rPr>
              <w:t>废水间接排放口基本情况表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523"/>
              <w:gridCol w:w="908"/>
              <w:gridCol w:w="910"/>
              <w:gridCol w:w="742"/>
              <w:gridCol w:w="686"/>
              <w:gridCol w:w="669"/>
              <w:gridCol w:w="783"/>
              <w:gridCol w:w="783"/>
              <w:gridCol w:w="907"/>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42" w:type="dxa"/>
                  <w:vMerge w:val="restart"/>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序号</w:t>
                  </w:r>
                </w:p>
              </w:tc>
              <w:tc>
                <w:tcPr>
                  <w:tcW w:w="523" w:type="dxa"/>
                  <w:vMerge w:val="restart"/>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排放</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口编</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号</w:t>
                  </w:r>
                </w:p>
              </w:tc>
              <w:tc>
                <w:tcPr>
                  <w:tcW w:w="1818" w:type="dxa"/>
                  <w:gridSpan w:val="2"/>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排放口地理坐标</w:t>
                  </w:r>
                  <w:r>
                    <w:rPr>
                      <w:rFonts w:ascii="Times New Roman" w:hAnsi="Times New Roman"/>
                      <w:b/>
                      <w:szCs w:val="21"/>
                      <w:vertAlign w:val="superscript"/>
                    </w:rPr>
                    <w:t>（a）</w:t>
                  </w:r>
                </w:p>
              </w:tc>
              <w:tc>
                <w:tcPr>
                  <w:tcW w:w="742" w:type="dxa"/>
                  <w:vMerge w:val="restart"/>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废水排放量/</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（万t/a）</w:t>
                  </w:r>
                </w:p>
              </w:tc>
              <w:tc>
                <w:tcPr>
                  <w:tcW w:w="686" w:type="dxa"/>
                  <w:vMerge w:val="restart"/>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排放</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去向</w:t>
                  </w:r>
                </w:p>
              </w:tc>
              <w:tc>
                <w:tcPr>
                  <w:tcW w:w="669" w:type="dxa"/>
                  <w:vMerge w:val="restart"/>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排放</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规律</w:t>
                  </w:r>
                </w:p>
              </w:tc>
              <w:tc>
                <w:tcPr>
                  <w:tcW w:w="783" w:type="dxa"/>
                  <w:vMerge w:val="restart"/>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间歇</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排放</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时段</w:t>
                  </w:r>
                </w:p>
              </w:tc>
              <w:tc>
                <w:tcPr>
                  <w:tcW w:w="3076" w:type="dxa"/>
                  <w:gridSpan w:val="3"/>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442" w:type="dxa"/>
                  <w:vMerge w:val="continue"/>
                  <w:vAlign w:val="center"/>
                </w:tcPr>
                <w:p>
                  <w:pPr>
                    <w:spacing w:line="320" w:lineRule="exact"/>
                    <w:ind w:left="-105" w:leftChars="-50" w:right="-105" w:rightChars="-50"/>
                    <w:jc w:val="center"/>
                    <w:rPr>
                      <w:rFonts w:ascii="Times New Roman" w:hAnsi="Times New Roman"/>
                      <w:b/>
                      <w:szCs w:val="21"/>
                    </w:rPr>
                  </w:pPr>
                </w:p>
              </w:tc>
              <w:tc>
                <w:tcPr>
                  <w:tcW w:w="523" w:type="dxa"/>
                  <w:vMerge w:val="continue"/>
                  <w:vAlign w:val="center"/>
                </w:tcPr>
                <w:p>
                  <w:pPr>
                    <w:spacing w:line="320" w:lineRule="exact"/>
                    <w:ind w:left="-105" w:leftChars="-50" w:right="-105" w:rightChars="-50"/>
                    <w:jc w:val="center"/>
                    <w:rPr>
                      <w:rFonts w:ascii="Times New Roman" w:hAnsi="Times New Roman"/>
                      <w:b/>
                      <w:szCs w:val="21"/>
                    </w:rPr>
                  </w:pPr>
                </w:p>
              </w:tc>
              <w:tc>
                <w:tcPr>
                  <w:tcW w:w="908" w:type="dxa"/>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经度</w:t>
                  </w:r>
                </w:p>
              </w:tc>
              <w:tc>
                <w:tcPr>
                  <w:tcW w:w="910" w:type="dxa"/>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纬度</w:t>
                  </w:r>
                </w:p>
              </w:tc>
              <w:tc>
                <w:tcPr>
                  <w:tcW w:w="742" w:type="dxa"/>
                  <w:vMerge w:val="continue"/>
                  <w:vAlign w:val="center"/>
                </w:tcPr>
                <w:p>
                  <w:pPr>
                    <w:spacing w:line="320" w:lineRule="exact"/>
                    <w:ind w:left="-105" w:leftChars="-50" w:right="-105" w:rightChars="-50"/>
                    <w:jc w:val="center"/>
                    <w:rPr>
                      <w:rFonts w:ascii="Times New Roman" w:hAnsi="Times New Roman"/>
                      <w:b/>
                      <w:szCs w:val="21"/>
                    </w:rPr>
                  </w:pPr>
                </w:p>
              </w:tc>
              <w:tc>
                <w:tcPr>
                  <w:tcW w:w="686" w:type="dxa"/>
                  <w:vMerge w:val="continue"/>
                  <w:vAlign w:val="center"/>
                </w:tcPr>
                <w:p>
                  <w:pPr>
                    <w:spacing w:line="320" w:lineRule="exact"/>
                    <w:ind w:left="-105" w:leftChars="-50" w:right="-105" w:rightChars="-50"/>
                    <w:jc w:val="center"/>
                    <w:rPr>
                      <w:rFonts w:ascii="Times New Roman" w:hAnsi="Times New Roman"/>
                      <w:b/>
                      <w:szCs w:val="21"/>
                    </w:rPr>
                  </w:pPr>
                </w:p>
              </w:tc>
              <w:tc>
                <w:tcPr>
                  <w:tcW w:w="669" w:type="dxa"/>
                  <w:vMerge w:val="continue"/>
                  <w:vAlign w:val="center"/>
                </w:tcPr>
                <w:p>
                  <w:pPr>
                    <w:spacing w:line="320" w:lineRule="exact"/>
                    <w:ind w:left="-105" w:leftChars="-50" w:right="-105" w:rightChars="-50"/>
                    <w:jc w:val="center"/>
                    <w:rPr>
                      <w:rFonts w:ascii="Times New Roman" w:hAnsi="Times New Roman"/>
                      <w:b/>
                      <w:szCs w:val="21"/>
                    </w:rPr>
                  </w:pPr>
                </w:p>
              </w:tc>
              <w:tc>
                <w:tcPr>
                  <w:tcW w:w="783" w:type="dxa"/>
                  <w:vMerge w:val="continue"/>
                  <w:vAlign w:val="center"/>
                </w:tcPr>
                <w:p>
                  <w:pPr>
                    <w:spacing w:line="320" w:lineRule="exact"/>
                    <w:ind w:left="-105" w:leftChars="-50" w:right="-105" w:rightChars="-50"/>
                    <w:jc w:val="center"/>
                    <w:rPr>
                      <w:rFonts w:ascii="Times New Roman" w:hAnsi="Times New Roman"/>
                      <w:b/>
                      <w:szCs w:val="21"/>
                    </w:rPr>
                  </w:pPr>
                </w:p>
              </w:tc>
              <w:tc>
                <w:tcPr>
                  <w:tcW w:w="783" w:type="dxa"/>
                  <w:vAlign w:val="center"/>
                </w:tcPr>
                <w:p>
                  <w:pPr>
                    <w:spacing w:line="320" w:lineRule="exact"/>
                    <w:ind w:left="-105" w:leftChars="-50" w:right="-105" w:rightChars="-50"/>
                    <w:jc w:val="center"/>
                    <w:rPr>
                      <w:rFonts w:ascii="Times New Roman" w:hAnsi="Times New Roman"/>
                      <w:b/>
                      <w:szCs w:val="21"/>
                      <w:vertAlign w:val="superscript"/>
                    </w:rPr>
                  </w:pPr>
                  <w:r>
                    <w:rPr>
                      <w:rFonts w:ascii="Times New Roman" w:hAnsi="Times New Roman"/>
                      <w:b/>
                      <w:szCs w:val="21"/>
                    </w:rPr>
                    <w:t>名称</w:t>
                  </w:r>
                  <w:r>
                    <w:rPr>
                      <w:rFonts w:ascii="Times New Roman" w:hAnsi="Times New Roman"/>
                      <w:b/>
                      <w:szCs w:val="21"/>
                      <w:vertAlign w:val="superscript"/>
                    </w:rPr>
                    <w:t>（b）</w:t>
                  </w:r>
                </w:p>
              </w:tc>
              <w:tc>
                <w:tcPr>
                  <w:tcW w:w="907" w:type="dxa"/>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污染物</w:t>
                  </w:r>
                </w:p>
                <w:p>
                  <w:pPr>
                    <w:spacing w:line="320" w:lineRule="exact"/>
                    <w:ind w:left="-105" w:leftChars="-50" w:right="-105" w:rightChars="-50"/>
                    <w:jc w:val="center"/>
                    <w:rPr>
                      <w:rFonts w:ascii="Times New Roman" w:hAnsi="Times New Roman"/>
                      <w:b/>
                      <w:szCs w:val="21"/>
                    </w:rPr>
                  </w:pPr>
                  <w:r>
                    <w:rPr>
                      <w:rFonts w:ascii="Times New Roman" w:hAnsi="Times New Roman"/>
                      <w:b/>
                      <w:szCs w:val="21"/>
                    </w:rPr>
                    <w:t>种类</w:t>
                  </w:r>
                </w:p>
              </w:tc>
              <w:tc>
                <w:tcPr>
                  <w:tcW w:w="1386" w:type="dxa"/>
                  <w:vAlign w:val="center"/>
                </w:tcPr>
                <w:p>
                  <w:pPr>
                    <w:spacing w:line="320" w:lineRule="exact"/>
                    <w:ind w:left="-105" w:leftChars="-50" w:right="-105" w:rightChars="-50"/>
                    <w:jc w:val="center"/>
                    <w:rPr>
                      <w:rFonts w:ascii="Times New Roman" w:hAnsi="Times New Roman"/>
                      <w:b/>
                      <w:szCs w:val="21"/>
                    </w:rPr>
                  </w:pPr>
                  <w:r>
                    <w:rPr>
                      <w:rFonts w:ascii="Times New Roman" w:hAnsi="Times New Roman"/>
                      <w:b/>
                      <w:szCs w:val="21"/>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442"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1</w:t>
                  </w:r>
                </w:p>
              </w:tc>
              <w:tc>
                <w:tcPr>
                  <w:tcW w:w="523"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DW- 001</w:t>
                  </w:r>
                </w:p>
              </w:tc>
              <w:tc>
                <w:tcPr>
                  <w:tcW w:w="908"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118.090314049</w:t>
                  </w:r>
                </w:p>
              </w:tc>
              <w:tc>
                <w:tcPr>
                  <w:tcW w:w="910" w:type="dxa"/>
                  <w:vMerge w:val="restart"/>
                  <w:vAlign w:val="center"/>
                </w:tcPr>
                <w:p>
                  <w:pPr>
                    <w:spacing w:line="320" w:lineRule="exact"/>
                    <w:ind w:left="-105" w:leftChars="-50" w:right="-105" w:rightChars="-50"/>
                    <w:rPr>
                      <w:rFonts w:ascii="Times New Roman" w:hAnsi="Times New Roman"/>
                      <w:szCs w:val="21"/>
                    </w:rPr>
                  </w:pPr>
                  <w:r>
                    <w:rPr>
                      <w:rFonts w:ascii="Times New Roman" w:hAnsi="Times New Roman"/>
                      <w:szCs w:val="21"/>
                    </w:rPr>
                    <w:t>31.205480840</w:t>
                  </w:r>
                </w:p>
              </w:tc>
              <w:tc>
                <w:tcPr>
                  <w:tcW w:w="742"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0.0</w:t>
                  </w:r>
                  <w:r>
                    <w:rPr>
                      <w:rFonts w:hint="eastAsia" w:ascii="Times New Roman" w:hAnsi="Times New Roman"/>
                      <w:szCs w:val="21"/>
                    </w:rPr>
                    <w:t>288</w:t>
                  </w:r>
                </w:p>
              </w:tc>
              <w:tc>
                <w:tcPr>
                  <w:tcW w:w="686"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市政污</w:t>
                  </w:r>
                </w:p>
                <w:p>
                  <w:pPr>
                    <w:spacing w:line="320" w:lineRule="exact"/>
                    <w:ind w:left="-105" w:leftChars="-50" w:right="-105" w:rightChars="-50"/>
                    <w:jc w:val="center"/>
                    <w:rPr>
                      <w:rFonts w:ascii="Times New Roman" w:hAnsi="Times New Roman"/>
                      <w:szCs w:val="21"/>
                    </w:rPr>
                  </w:pPr>
                  <w:r>
                    <w:rPr>
                      <w:rFonts w:ascii="Times New Roman" w:hAnsi="Times New Roman"/>
                      <w:szCs w:val="21"/>
                    </w:rPr>
                    <w:t>水管网</w:t>
                  </w:r>
                </w:p>
              </w:tc>
              <w:tc>
                <w:tcPr>
                  <w:tcW w:w="669"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连续</w:t>
                  </w:r>
                </w:p>
                <w:p>
                  <w:pPr>
                    <w:spacing w:line="320" w:lineRule="exact"/>
                    <w:ind w:left="-105" w:leftChars="-50" w:right="-105" w:rightChars="-50"/>
                    <w:jc w:val="center"/>
                    <w:rPr>
                      <w:rFonts w:ascii="Times New Roman" w:hAnsi="Times New Roman"/>
                      <w:szCs w:val="21"/>
                    </w:rPr>
                  </w:pPr>
                  <w:r>
                    <w:rPr>
                      <w:rFonts w:ascii="Times New Roman" w:hAnsi="Times New Roman"/>
                      <w:szCs w:val="21"/>
                    </w:rPr>
                    <w:t>排放</w:t>
                  </w:r>
                </w:p>
              </w:tc>
              <w:tc>
                <w:tcPr>
                  <w:tcW w:w="783"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08:00~</w:t>
                  </w:r>
                </w:p>
                <w:p>
                  <w:pPr>
                    <w:spacing w:line="320" w:lineRule="exact"/>
                    <w:ind w:left="-105" w:leftChars="-50" w:right="-105" w:rightChars="-50"/>
                    <w:jc w:val="center"/>
                    <w:rPr>
                      <w:rFonts w:ascii="Times New Roman" w:hAnsi="Times New Roman"/>
                      <w:szCs w:val="21"/>
                    </w:rPr>
                  </w:pPr>
                  <w:r>
                    <w:rPr>
                      <w:rFonts w:ascii="Times New Roman" w:hAnsi="Times New Roman"/>
                      <w:szCs w:val="21"/>
                    </w:rPr>
                    <w:t>18:00</w:t>
                  </w:r>
                </w:p>
              </w:tc>
              <w:tc>
                <w:tcPr>
                  <w:tcW w:w="783" w:type="dxa"/>
                  <w:vMerge w:val="restart"/>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芜湖大桥综合经济开发区污水处理厂</w:t>
                  </w:r>
                </w:p>
              </w:tc>
              <w:tc>
                <w:tcPr>
                  <w:tcW w:w="907" w:type="dxa"/>
                  <w:vAlign w:val="center"/>
                </w:tcPr>
                <w:p>
                  <w:pPr>
                    <w:pStyle w:val="84"/>
                    <w:spacing w:line="320" w:lineRule="exact"/>
                    <w:ind w:left="-105" w:leftChars="-50" w:right="-105" w:rightChars="-50"/>
                    <w:rPr>
                      <w:rFonts w:ascii="Times New Roman" w:hAnsi="Times New Roman" w:eastAsia="宋体"/>
                      <w:szCs w:val="21"/>
                    </w:rPr>
                  </w:pPr>
                  <w:r>
                    <w:rPr>
                      <w:rFonts w:ascii="Times New Roman" w:hAnsi="Times New Roman" w:eastAsia="宋体"/>
                      <w:szCs w:val="21"/>
                    </w:rPr>
                    <w:t>COD</w:t>
                  </w:r>
                  <w:r>
                    <w:rPr>
                      <w:rFonts w:ascii="Times New Roman" w:hAnsi="Times New Roman" w:eastAsia="宋体"/>
                      <w:szCs w:val="21"/>
                      <w:vertAlign w:val="subscript"/>
                    </w:rPr>
                    <w:t>Cr</w:t>
                  </w:r>
                </w:p>
              </w:tc>
              <w:tc>
                <w:tcPr>
                  <w:tcW w:w="1386"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vAlign w:val="center"/>
                </w:tcPr>
                <w:p>
                  <w:pPr>
                    <w:spacing w:line="320" w:lineRule="exact"/>
                    <w:ind w:left="-105" w:leftChars="-50" w:right="-105" w:rightChars="-50"/>
                    <w:jc w:val="center"/>
                    <w:rPr>
                      <w:rFonts w:ascii="Times New Roman" w:hAnsi="Times New Roman"/>
                      <w:szCs w:val="21"/>
                    </w:rPr>
                  </w:pPr>
                </w:p>
              </w:tc>
              <w:tc>
                <w:tcPr>
                  <w:tcW w:w="523" w:type="dxa"/>
                  <w:vMerge w:val="continue"/>
                  <w:vAlign w:val="center"/>
                </w:tcPr>
                <w:p>
                  <w:pPr>
                    <w:spacing w:line="320" w:lineRule="exact"/>
                    <w:ind w:left="-105" w:leftChars="-50" w:right="-105" w:rightChars="-50"/>
                    <w:jc w:val="center"/>
                    <w:rPr>
                      <w:rFonts w:ascii="Times New Roman" w:hAnsi="Times New Roman"/>
                      <w:szCs w:val="21"/>
                    </w:rPr>
                  </w:pPr>
                </w:p>
              </w:tc>
              <w:tc>
                <w:tcPr>
                  <w:tcW w:w="908" w:type="dxa"/>
                  <w:vMerge w:val="continue"/>
                  <w:vAlign w:val="center"/>
                </w:tcPr>
                <w:p>
                  <w:pPr>
                    <w:spacing w:line="320" w:lineRule="exact"/>
                    <w:ind w:left="-105" w:leftChars="-50" w:right="-105" w:rightChars="-50"/>
                    <w:jc w:val="center"/>
                    <w:rPr>
                      <w:rFonts w:ascii="Times New Roman" w:hAnsi="Times New Roman"/>
                      <w:szCs w:val="21"/>
                    </w:rPr>
                  </w:pPr>
                </w:p>
              </w:tc>
              <w:tc>
                <w:tcPr>
                  <w:tcW w:w="910" w:type="dxa"/>
                  <w:vMerge w:val="continue"/>
                  <w:vAlign w:val="center"/>
                </w:tcPr>
                <w:p>
                  <w:pPr>
                    <w:spacing w:line="320" w:lineRule="exact"/>
                    <w:ind w:left="-105" w:leftChars="-50" w:right="-105" w:rightChars="-50"/>
                    <w:jc w:val="center"/>
                    <w:rPr>
                      <w:rFonts w:ascii="Times New Roman" w:hAnsi="Times New Roman"/>
                      <w:szCs w:val="21"/>
                    </w:rPr>
                  </w:pPr>
                </w:p>
              </w:tc>
              <w:tc>
                <w:tcPr>
                  <w:tcW w:w="742" w:type="dxa"/>
                  <w:vMerge w:val="continue"/>
                  <w:vAlign w:val="center"/>
                </w:tcPr>
                <w:p>
                  <w:pPr>
                    <w:spacing w:line="320" w:lineRule="exact"/>
                    <w:ind w:left="-105" w:leftChars="-50" w:right="-105" w:rightChars="-50"/>
                    <w:jc w:val="center"/>
                    <w:rPr>
                      <w:rFonts w:ascii="Times New Roman" w:hAnsi="Times New Roman"/>
                      <w:szCs w:val="21"/>
                    </w:rPr>
                  </w:pPr>
                </w:p>
              </w:tc>
              <w:tc>
                <w:tcPr>
                  <w:tcW w:w="686" w:type="dxa"/>
                  <w:vMerge w:val="continue"/>
                  <w:vAlign w:val="center"/>
                </w:tcPr>
                <w:p>
                  <w:pPr>
                    <w:spacing w:line="320" w:lineRule="exact"/>
                    <w:ind w:left="-105" w:leftChars="-50" w:right="-105" w:rightChars="-50"/>
                    <w:jc w:val="center"/>
                    <w:rPr>
                      <w:rFonts w:ascii="Times New Roman" w:hAnsi="Times New Roman"/>
                      <w:szCs w:val="21"/>
                    </w:rPr>
                  </w:pPr>
                </w:p>
              </w:tc>
              <w:tc>
                <w:tcPr>
                  <w:tcW w:w="669"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907" w:type="dxa"/>
                  <w:vAlign w:val="center"/>
                </w:tcPr>
                <w:p>
                  <w:pPr>
                    <w:adjustRightInd w:val="0"/>
                    <w:spacing w:line="320" w:lineRule="exact"/>
                    <w:ind w:left="-105" w:leftChars="-50" w:right="-105" w:rightChars="-50"/>
                    <w:jc w:val="center"/>
                    <w:rPr>
                      <w:rFonts w:ascii="Times New Roman" w:hAnsi="Times New Roman"/>
                      <w:szCs w:val="21"/>
                    </w:rPr>
                  </w:pPr>
                  <w:r>
                    <w:rPr>
                      <w:rFonts w:ascii="Times New Roman" w:hAnsi="Times New Roman"/>
                      <w:szCs w:val="21"/>
                    </w:rPr>
                    <w:t>BOD</w:t>
                  </w:r>
                  <w:r>
                    <w:rPr>
                      <w:rFonts w:ascii="Times New Roman" w:hAnsi="Times New Roman"/>
                      <w:szCs w:val="21"/>
                      <w:vertAlign w:val="subscript"/>
                    </w:rPr>
                    <w:t>5</w:t>
                  </w:r>
                </w:p>
              </w:tc>
              <w:tc>
                <w:tcPr>
                  <w:tcW w:w="1386"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vAlign w:val="center"/>
                </w:tcPr>
                <w:p>
                  <w:pPr>
                    <w:spacing w:line="320" w:lineRule="exact"/>
                    <w:ind w:left="-105" w:leftChars="-50" w:right="-105" w:rightChars="-50"/>
                    <w:jc w:val="center"/>
                    <w:rPr>
                      <w:rFonts w:ascii="Times New Roman" w:hAnsi="Times New Roman"/>
                      <w:szCs w:val="21"/>
                    </w:rPr>
                  </w:pPr>
                </w:p>
              </w:tc>
              <w:tc>
                <w:tcPr>
                  <w:tcW w:w="523" w:type="dxa"/>
                  <w:vMerge w:val="continue"/>
                  <w:vAlign w:val="center"/>
                </w:tcPr>
                <w:p>
                  <w:pPr>
                    <w:spacing w:line="320" w:lineRule="exact"/>
                    <w:ind w:left="-105" w:leftChars="-50" w:right="-105" w:rightChars="-50"/>
                    <w:jc w:val="center"/>
                    <w:rPr>
                      <w:rFonts w:ascii="Times New Roman" w:hAnsi="Times New Roman"/>
                      <w:szCs w:val="21"/>
                    </w:rPr>
                  </w:pPr>
                </w:p>
              </w:tc>
              <w:tc>
                <w:tcPr>
                  <w:tcW w:w="908" w:type="dxa"/>
                  <w:vMerge w:val="continue"/>
                  <w:vAlign w:val="center"/>
                </w:tcPr>
                <w:p>
                  <w:pPr>
                    <w:spacing w:line="320" w:lineRule="exact"/>
                    <w:ind w:left="-105" w:leftChars="-50" w:right="-105" w:rightChars="-50"/>
                    <w:jc w:val="center"/>
                    <w:rPr>
                      <w:rFonts w:ascii="Times New Roman" w:hAnsi="Times New Roman"/>
                      <w:szCs w:val="21"/>
                    </w:rPr>
                  </w:pPr>
                </w:p>
              </w:tc>
              <w:tc>
                <w:tcPr>
                  <w:tcW w:w="910" w:type="dxa"/>
                  <w:vMerge w:val="continue"/>
                  <w:vAlign w:val="center"/>
                </w:tcPr>
                <w:p>
                  <w:pPr>
                    <w:spacing w:line="320" w:lineRule="exact"/>
                    <w:ind w:left="-105" w:leftChars="-50" w:right="-105" w:rightChars="-50"/>
                    <w:jc w:val="center"/>
                    <w:rPr>
                      <w:rFonts w:ascii="Times New Roman" w:hAnsi="Times New Roman"/>
                      <w:szCs w:val="21"/>
                    </w:rPr>
                  </w:pPr>
                </w:p>
              </w:tc>
              <w:tc>
                <w:tcPr>
                  <w:tcW w:w="742" w:type="dxa"/>
                  <w:vMerge w:val="continue"/>
                  <w:vAlign w:val="center"/>
                </w:tcPr>
                <w:p>
                  <w:pPr>
                    <w:spacing w:line="320" w:lineRule="exact"/>
                    <w:ind w:left="-105" w:leftChars="-50" w:right="-105" w:rightChars="-50"/>
                    <w:jc w:val="center"/>
                    <w:rPr>
                      <w:rFonts w:ascii="Times New Roman" w:hAnsi="Times New Roman"/>
                      <w:szCs w:val="21"/>
                    </w:rPr>
                  </w:pPr>
                </w:p>
              </w:tc>
              <w:tc>
                <w:tcPr>
                  <w:tcW w:w="686" w:type="dxa"/>
                  <w:vMerge w:val="continue"/>
                  <w:vAlign w:val="center"/>
                </w:tcPr>
                <w:p>
                  <w:pPr>
                    <w:spacing w:line="320" w:lineRule="exact"/>
                    <w:ind w:left="-105" w:leftChars="-50" w:right="-105" w:rightChars="-50"/>
                    <w:jc w:val="center"/>
                    <w:rPr>
                      <w:rFonts w:ascii="Times New Roman" w:hAnsi="Times New Roman"/>
                      <w:szCs w:val="21"/>
                    </w:rPr>
                  </w:pPr>
                </w:p>
              </w:tc>
              <w:tc>
                <w:tcPr>
                  <w:tcW w:w="669"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907" w:type="dxa"/>
                  <w:vAlign w:val="center"/>
                </w:tcPr>
                <w:p>
                  <w:pPr>
                    <w:adjustRightInd w:val="0"/>
                    <w:spacing w:line="320" w:lineRule="exact"/>
                    <w:ind w:left="-105" w:leftChars="-50" w:right="-105" w:rightChars="-50"/>
                    <w:jc w:val="center"/>
                    <w:rPr>
                      <w:rFonts w:ascii="Times New Roman" w:hAnsi="Times New Roman"/>
                      <w:szCs w:val="21"/>
                    </w:rPr>
                  </w:pPr>
                  <w:r>
                    <w:rPr>
                      <w:rFonts w:ascii="Times New Roman" w:hAnsi="Times New Roman"/>
                      <w:szCs w:val="21"/>
                    </w:rPr>
                    <w:t>SS</w:t>
                  </w:r>
                </w:p>
              </w:tc>
              <w:tc>
                <w:tcPr>
                  <w:tcW w:w="1386"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42" w:type="dxa"/>
                  <w:vMerge w:val="continue"/>
                  <w:vAlign w:val="center"/>
                </w:tcPr>
                <w:p>
                  <w:pPr>
                    <w:spacing w:line="320" w:lineRule="exact"/>
                    <w:ind w:left="-105" w:leftChars="-50" w:right="-105" w:rightChars="-50"/>
                    <w:jc w:val="center"/>
                    <w:rPr>
                      <w:rFonts w:ascii="Times New Roman" w:hAnsi="Times New Roman"/>
                      <w:szCs w:val="21"/>
                    </w:rPr>
                  </w:pPr>
                </w:p>
              </w:tc>
              <w:tc>
                <w:tcPr>
                  <w:tcW w:w="523" w:type="dxa"/>
                  <w:vMerge w:val="continue"/>
                  <w:vAlign w:val="center"/>
                </w:tcPr>
                <w:p>
                  <w:pPr>
                    <w:spacing w:line="320" w:lineRule="exact"/>
                    <w:ind w:left="-105" w:leftChars="-50" w:right="-105" w:rightChars="-50"/>
                    <w:jc w:val="center"/>
                    <w:rPr>
                      <w:rFonts w:ascii="Times New Roman" w:hAnsi="Times New Roman"/>
                      <w:szCs w:val="21"/>
                    </w:rPr>
                  </w:pPr>
                </w:p>
              </w:tc>
              <w:tc>
                <w:tcPr>
                  <w:tcW w:w="908" w:type="dxa"/>
                  <w:vMerge w:val="continue"/>
                  <w:vAlign w:val="center"/>
                </w:tcPr>
                <w:p>
                  <w:pPr>
                    <w:spacing w:line="320" w:lineRule="exact"/>
                    <w:ind w:left="-105" w:leftChars="-50" w:right="-105" w:rightChars="-50"/>
                    <w:jc w:val="center"/>
                    <w:rPr>
                      <w:rFonts w:ascii="Times New Roman" w:hAnsi="Times New Roman"/>
                      <w:szCs w:val="21"/>
                    </w:rPr>
                  </w:pPr>
                </w:p>
              </w:tc>
              <w:tc>
                <w:tcPr>
                  <w:tcW w:w="910" w:type="dxa"/>
                  <w:vMerge w:val="continue"/>
                  <w:vAlign w:val="center"/>
                </w:tcPr>
                <w:p>
                  <w:pPr>
                    <w:spacing w:line="320" w:lineRule="exact"/>
                    <w:ind w:left="-105" w:leftChars="-50" w:right="-105" w:rightChars="-50"/>
                    <w:jc w:val="center"/>
                    <w:rPr>
                      <w:rFonts w:ascii="Times New Roman" w:hAnsi="Times New Roman"/>
                      <w:szCs w:val="21"/>
                    </w:rPr>
                  </w:pPr>
                </w:p>
              </w:tc>
              <w:tc>
                <w:tcPr>
                  <w:tcW w:w="742" w:type="dxa"/>
                  <w:vMerge w:val="continue"/>
                  <w:vAlign w:val="center"/>
                </w:tcPr>
                <w:p>
                  <w:pPr>
                    <w:spacing w:line="320" w:lineRule="exact"/>
                    <w:ind w:left="-105" w:leftChars="-50" w:right="-105" w:rightChars="-50"/>
                    <w:jc w:val="center"/>
                    <w:rPr>
                      <w:rFonts w:ascii="Times New Roman" w:hAnsi="Times New Roman"/>
                      <w:szCs w:val="21"/>
                    </w:rPr>
                  </w:pPr>
                </w:p>
              </w:tc>
              <w:tc>
                <w:tcPr>
                  <w:tcW w:w="686" w:type="dxa"/>
                  <w:vMerge w:val="continue"/>
                  <w:vAlign w:val="center"/>
                </w:tcPr>
                <w:p>
                  <w:pPr>
                    <w:spacing w:line="320" w:lineRule="exact"/>
                    <w:ind w:left="-105" w:leftChars="-50" w:right="-105" w:rightChars="-50"/>
                    <w:jc w:val="center"/>
                    <w:rPr>
                      <w:rFonts w:ascii="Times New Roman" w:hAnsi="Times New Roman"/>
                      <w:szCs w:val="21"/>
                    </w:rPr>
                  </w:pPr>
                </w:p>
              </w:tc>
              <w:tc>
                <w:tcPr>
                  <w:tcW w:w="669"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907" w:type="dxa"/>
                  <w:vAlign w:val="center"/>
                </w:tcPr>
                <w:p>
                  <w:pPr>
                    <w:pStyle w:val="84"/>
                    <w:spacing w:line="320" w:lineRule="exact"/>
                    <w:ind w:left="-105" w:leftChars="-50" w:right="-105" w:rightChars="-50"/>
                    <w:rPr>
                      <w:rFonts w:ascii="Times New Roman" w:hAnsi="Times New Roman" w:eastAsia="宋体"/>
                      <w:szCs w:val="21"/>
                    </w:rPr>
                  </w:pPr>
                  <w:r>
                    <w:rPr>
                      <w:rFonts w:ascii="Times New Roman" w:hAnsi="Times New Roman" w:eastAsia="宋体"/>
                      <w:szCs w:val="21"/>
                    </w:rPr>
                    <w:t>NH</w:t>
                  </w:r>
                  <w:r>
                    <w:rPr>
                      <w:rFonts w:ascii="Times New Roman" w:hAnsi="Times New Roman" w:eastAsia="宋体"/>
                      <w:szCs w:val="21"/>
                      <w:vertAlign w:val="subscript"/>
                    </w:rPr>
                    <w:t>3</w:t>
                  </w:r>
                  <w:r>
                    <w:rPr>
                      <w:rFonts w:ascii="Times New Roman" w:hAnsi="Times New Roman" w:eastAsia="宋体"/>
                      <w:szCs w:val="21"/>
                    </w:rPr>
                    <w:t>-N</w:t>
                  </w:r>
                </w:p>
              </w:tc>
              <w:tc>
                <w:tcPr>
                  <w:tcW w:w="1386"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42" w:type="dxa"/>
                  <w:vMerge w:val="continue"/>
                  <w:vAlign w:val="center"/>
                </w:tcPr>
                <w:p>
                  <w:pPr>
                    <w:spacing w:line="320" w:lineRule="exact"/>
                    <w:ind w:left="-105" w:leftChars="-50" w:right="-105" w:rightChars="-50"/>
                    <w:jc w:val="center"/>
                    <w:rPr>
                      <w:rFonts w:ascii="Times New Roman" w:hAnsi="Times New Roman"/>
                      <w:szCs w:val="21"/>
                    </w:rPr>
                  </w:pPr>
                </w:p>
              </w:tc>
              <w:tc>
                <w:tcPr>
                  <w:tcW w:w="523" w:type="dxa"/>
                  <w:vMerge w:val="continue"/>
                  <w:vAlign w:val="center"/>
                </w:tcPr>
                <w:p>
                  <w:pPr>
                    <w:spacing w:line="320" w:lineRule="exact"/>
                    <w:ind w:left="-105" w:leftChars="-50" w:right="-105" w:rightChars="-50"/>
                    <w:jc w:val="center"/>
                    <w:rPr>
                      <w:rFonts w:ascii="Times New Roman" w:hAnsi="Times New Roman"/>
                      <w:szCs w:val="21"/>
                    </w:rPr>
                  </w:pPr>
                </w:p>
              </w:tc>
              <w:tc>
                <w:tcPr>
                  <w:tcW w:w="908" w:type="dxa"/>
                  <w:vMerge w:val="continue"/>
                  <w:vAlign w:val="center"/>
                </w:tcPr>
                <w:p>
                  <w:pPr>
                    <w:spacing w:line="320" w:lineRule="exact"/>
                    <w:ind w:left="-105" w:leftChars="-50" w:right="-105" w:rightChars="-50"/>
                    <w:jc w:val="center"/>
                    <w:rPr>
                      <w:rFonts w:ascii="Times New Roman" w:hAnsi="Times New Roman"/>
                      <w:szCs w:val="21"/>
                    </w:rPr>
                  </w:pPr>
                </w:p>
              </w:tc>
              <w:tc>
                <w:tcPr>
                  <w:tcW w:w="910" w:type="dxa"/>
                  <w:vMerge w:val="continue"/>
                  <w:vAlign w:val="center"/>
                </w:tcPr>
                <w:p>
                  <w:pPr>
                    <w:spacing w:line="320" w:lineRule="exact"/>
                    <w:ind w:left="-105" w:leftChars="-50" w:right="-105" w:rightChars="-50"/>
                    <w:jc w:val="center"/>
                    <w:rPr>
                      <w:rFonts w:ascii="Times New Roman" w:hAnsi="Times New Roman"/>
                      <w:szCs w:val="21"/>
                    </w:rPr>
                  </w:pPr>
                </w:p>
              </w:tc>
              <w:tc>
                <w:tcPr>
                  <w:tcW w:w="742" w:type="dxa"/>
                  <w:vMerge w:val="continue"/>
                  <w:vAlign w:val="center"/>
                </w:tcPr>
                <w:p>
                  <w:pPr>
                    <w:spacing w:line="320" w:lineRule="exact"/>
                    <w:ind w:left="-105" w:leftChars="-50" w:right="-105" w:rightChars="-50"/>
                    <w:jc w:val="center"/>
                    <w:rPr>
                      <w:rFonts w:ascii="Times New Roman" w:hAnsi="Times New Roman"/>
                      <w:szCs w:val="21"/>
                    </w:rPr>
                  </w:pPr>
                </w:p>
              </w:tc>
              <w:tc>
                <w:tcPr>
                  <w:tcW w:w="686" w:type="dxa"/>
                  <w:vMerge w:val="continue"/>
                  <w:vAlign w:val="center"/>
                </w:tcPr>
                <w:p>
                  <w:pPr>
                    <w:spacing w:line="320" w:lineRule="exact"/>
                    <w:ind w:left="-105" w:leftChars="-50" w:right="-105" w:rightChars="-50"/>
                    <w:jc w:val="center"/>
                    <w:rPr>
                      <w:rFonts w:ascii="Times New Roman" w:hAnsi="Times New Roman"/>
                      <w:szCs w:val="21"/>
                    </w:rPr>
                  </w:pPr>
                </w:p>
              </w:tc>
              <w:tc>
                <w:tcPr>
                  <w:tcW w:w="669"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783" w:type="dxa"/>
                  <w:vMerge w:val="continue"/>
                  <w:vAlign w:val="center"/>
                </w:tcPr>
                <w:p>
                  <w:pPr>
                    <w:spacing w:line="320" w:lineRule="exact"/>
                    <w:ind w:left="-105" w:leftChars="-50" w:right="-105" w:rightChars="-50"/>
                    <w:jc w:val="center"/>
                    <w:rPr>
                      <w:rFonts w:ascii="Times New Roman" w:hAnsi="Times New Roman"/>
                      <w:szCs w:val="21"/>
                    </w:rPr>
                  </w:pPr>
                </w:p>
              </w:tc>
              <w:tc>
                <w:tcPr>
                  <w:tcW w:w="907" w:type="dxa"/>
                  <w:vAlign w:val="center"/>
                </w:tcPr>
                <w:p>
                  <w:pPr>
                    <w:pStyle w:val="84"/>
                    <w:spacing w:line="320" w:lineRule="exact"/>
                    <w:ind w:left="-105" w:leftChars="-50" w:right="-105" w:rightChars="-50"/>
                    <w:rPr>
                      <w:rFonts w:ascii="Times New Roman" w:hAnsi="Times New Roman" w:eastAsia="宋体"/>
                      <w:szCs w:val="21"/>
                    </w:rPr>
                  </w:pPr>
                  <w:r>
                    <w:rPr>
                      <w:rFonts w:hint="eastAsia" w:ascii="Times New Roman" w:hAnsi="Times New Roman" w:eastAsia="宋体"/>
                      <w:szCs w:val="21"/>
                    </w:rPr>
                    <w:t>动植物油</w:t>
                  </w:r>
                </w:p>
              </w:tc>
              <w:tc>
                <w:tcPr>
                  <w:tcW w:w="1386" w:type="dxa"/>
                  <w:vAlign w:val="center"/>
                </w:tcPr>
                <w:p>
                  <w:pPr>
                    <w:spacing w:line="320" w:lineRule="exact"/>
                    <w:ind w:left="-105" w:leftChars="-50" w:right="-105" w:rightChars="-50"/>
                    <w:jc w:val="center"/>
                    <w:rPr>
                      <w:rFonts w:ascii="Times New Roman" w:hAnsi="Times New Roman"/>
                      <w:szCs w:val="21"/>
                    </w:rPr>
                  </w:pPr>
                  <w:r>
                    <w:rPr>
                      <w:rFonts w:hint="eastAsia" w:ascii="Times New Roman" w:hAnsi="Times New Roman"/>
                      <w:szCs w:val="21"/>
                    </w:rPr>
                    <w:t>100</w:t>
                  </w:r>
                </w:p>
              </w:tc>
            </w:tr>
          </w:tbl>
          <w:p>
            <w:pPr>
              <w:spacing w:line="360" w:lineRule="auto"/>
              <w:jc w:val="center"/>
              <w:rPr>
                <w:rFonts w:ascii="Times New Roman" w:hAnsi="Times New Roman"/>
                <w:b/>
                <w:bCs/>
                <w:sz w:val="24"/>
                <w:szCs w:val="22"/>
              </w:rPr>
            </w:pPr>
          </w:p>
          <w:p>
            <w:pPr>
              <w:spacing w:line="360" w:lineRule="auto"/>
              <w:jc w:val="center"/>
              <w:rPr>
                <w:rFonts w:ascii="Times New Roman" w:hAnsi="Times New Roman"/>
                <w:b/>
                <w:bCs/>
                <w:sz w:val="24"/>
                <w:szCs w:val="22"/>
              </w:rPr>
            </w:pPr>
            <w:r>
              <w:rPr>
                <w:rFonts w:ascii="Times New Roman" w:hAnsi="Times New Roman"/>
                <w:b/>
                <w:bCs/>
                <w:sz w:val="24"/>
                <w:szCs w:val="22"/>
              </w:rPr>
              <w:t>表7-</w:t>
            </w:r>
            <w:r>
              <w:rPr>
                <w:rFonts w:hint="eastAsia" w:ascii="Times New Roman" w:hAnsi="Times New Roman"/>
                <w:b/>
                <w:bCs/>
                <w:sz w:val="24"/>
                <w:szCs w:val="22"/>
                <w:lang w:val="en-US" w:eastAsia="zh-CN"/>
              </w:rPr>
              <w:t>8</w:t>
            </w:r>
            <w:r>
              <w:rPr>
                <w:rFonts w:ascii="Times New Roman" w:hAnsi="Times New Roman"/>
                <w:b/>
                <w:bCs/>
                <w:sz w:val="24"/>
                <w:szCs w:val="22"/>
              </w:rPr>
              <w:t xml:space="preserve">   废水污染物排放执行标准表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1155"/>
              <w:gridCol w:w="1343"/>
              <w:gridCol w:w="3248"/>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08" w:type="dxa"/>
                  <w:vMerge w:val="restart"/>
                  <w:vAlign w:val="center"/>
                </w:tcPr>
                <w:p>
                  <w:pPr>
                    <w:spacing w:line="300" w:lineRule="exact"/>
                    <w:jc w:val="center"/>
                    <w:rPr>
                      <w:rFonts w:ascii="Times New Roman" w:hAnsi="Times New Roman"/>
                      <w:b/>
                      <w:szCs w:val="21"/>
                    </w:rPr>
                  </w:pPr>
                  <w:r>
                    <w:rPr>
                      <w:rFonts w:ascii="Times New Roman" w:hAnsi="Times New Roman"/>
                      <w:b/>
                      <w:szCs w:val="21"/>
                    </w:rPr>
                    <w:t>序号</w:t>
                  </w:r>
                </w:p>
              </w:tc>
              <w:tc>
                <w:tcPr>
                  <w:tcW w:w="1155" w:type="dxa"/>
                  <w:vMerge w:val="restart"/>
                  <w:vAlign w:val="center"/>
                </w:tcPr>
                <w:p>
                  <w:pPr>
                    <w:spacing w:line="300" w:lineRule="exact"/>
                    <w:jc w:val="center"/>
                    <w:rPr>
                      <w:rFonts w:ascii="Times New Roman" w:hAnsi="Times New Roman"/>
                      <w:b/>
                      <w:szCs w:val="21"/>
                    </w:rPr>
                  </w:pPr>
                  <w:r>
                    <w:rPr>
                      <w:rFonts w:ascii="Times New Roman" w:hAnsi="Times New Roman"/>
                      <w:b/>
                      <w:szCs w:val="21"/>
                    </w:rPr>
                    <w:t>排放口编号</w:t>
                  </w:r>
                </w:p>
              </w:tc>
              <w:tc>
                <w:tcPr>
                  <w:tcW w:w="1343" w:type="dxa"/>
                  <w:vMerge w:val="restart"/>
                  <w:vAlign w:val="center"/>
                </w:tcPr>
                <w:p>
                  <w:pPr>
                    <w:spacing w:line="300" w:lineRule="exact"/>
                    <w:jc w:val="center"/>
                    <w:rPr>
                      <w:rFonts w:ascii="Times New Roman" w:hAnsi="Times New Roman"/>
                      <w:b/>
                      <w:szCs w:val="21"/>
                    </w:rPr>
                  </w:pPr>
                  <w:r>
                    <w:rPr>
                      <w:rFonts w:ascii="Times New Roman" w:hAnsi="Times New Roman"/>
                      <w:b/>
                      <w:szCs w:val="21"/>
                    </w:rPr>
                    <w:t>污染物种类</w:t>
                  </w:r>
                </w:p>
              </w:tc>
              <w:tc>
                <w:tcPr>
                  <w:tcW w:w="5652" w:type="dxa"/>
                  <w:gridSpan w:val="2"/>
                  <w:vAlign w:val="center"/>
                </w:tcPr>
                <w:p>
                  <w:pPr>
                    <w:spacing w:line="300" w:lineRule="exact"/>
                    <w:jc w:val="center"/>
                    <w:rPr>
                      <w:rFonts w:ascii="Times New Roman" w:hAnsi="Times New Roman"/>
                      <w:b/>
                      <w:szCs w:val="21"/>
                    </w:rPr>
                  </w:pPr>
                  <w:r>
                    <w:rPr>
                      <w:rFonts w:ascii="Times New Roman" w:hAnsi="Times New Roman"/>
                      <w:b/>
                      <w:szCs w:val="21"/>
                    </w:rPr>
                    <w:t>国家或地方污染物排放标准及其他按规定商定的排放协议</w:t>
                  </w:r>
                  <w:r>
                    <w:rPr>
                      <w:rFonts w:ascii="Times New Roman" w:hAnsi="Times New Roman"/>
                      <w:b/>
                      <w:szCs w:val="21"/>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608" w:type="dxa"/>
                  <w:vMerge w:val="continue"/>
                  <w:vAlign w:val="center"/>
                </w:tcPr>
                <w:p>
                  <w:pPr>
                    <w:spacing w:line="300" w:lineRule="exact"/>
                    <w:jc w:val="center"/>
                    <w:rPr>
                      <w:rFonts w:ascii="Times New Roman" w:hAnsi="Times New Roman"/>
                      <w:b/>
                      <w:szCs w:val="21"/>
                    </w:rPr>
                  </w:pPr>
                </w:p>
              </w:tc>
              <w:tc>
                <w:tcPr>
                  <w:tcW w:w="1155" w:type="dxa"/>
                  <w:vMerge w:val="continue"/>
                  <w:vAlign w:val="center"/>
                </w:tcPr>
                <w:p>
                  <w:pPr>
                    <w:spacing w:line="300" w:lineRule="exact"/>
                    <w:jc w:val="center"/>
                    <w:rPr>
                      <w:rFonts w:ascii="Times New Roman" w:hAnsi="Times New Roman"/>
                      <w:b/>
                      <w:szCs w:val="21"/>
                    </w:rPr>
                  </w:pPr>
                </w:p>
              </w:tc>
              <w:tc>
                <w:tcPr>
                  <w:tcW w:w="1343" w:type="dxa"/>
                  <w:vMerge w:val="continue"/>
                  <w:vAlign w:val="center"/>
                </w:tcPr>
                <w:p>
                  <w:pPr>
                    <w:spacing w:line="300" w:lineRule="exact"/>
                    <w:jc w:val="center"/>
                    <w:rPr>
                      <w:rFonts w:ascii="Times New Roman" w:hAnsi="Times New Roman"/>
                      <w:b/>
                      <w:szCs w:val="21"/>
                    </w:rPr>
                  </w:pPr>
                </w:p>
              </w:tc>
              <w:tc>
                <w:tcPr>
                  <w:tcW w:w="3248" w:type="dxa"/>
                  <w:vAlign w:val="center"/>
                </w:tcPr>
                <w:p>
                  <w:pPr>
                    <w:spacing w:line="300" w:lineRule="exact"/>
                    <w:jc w:val="center"/>
                    <w:rPr>
                      <w:rFonts w:ascii="Times New Roman" w:hAnsi="Times New Roman"/>
                      <w:b/>
                      <w:szCs w:val="21"/>
                    </w:rPr>
                  </w:pPr>
                  <w:r>
                    <w:rPr>
                      <w:rFonts w:ascii="Times New Roman" w:hAnsi="Times New Roman"/>
                      <w:b/>
                      <w:szCs w:val="21"/>
                    </w:rPr>
                    <w:t>名称</w:t>
                  </w:r>
                </w:p>
              </w:tc>
              <w:tc>
                <w:tcPr>
                  <w:tcW w:w="2404" w:type="dxa"/>
                  <w:vAlign w:val="center"/>
                </w:tcPr>
                <w:p>
                  <w:pPr>
                    <w:spacing w:line="300" w:lineRule="exact"/>
                    <w:jc w:val="center"/>
                    <w:rPr>
                      <w:rFonts w:ascii="Times New Roman" w:hAnsi="Times New Roman"/>
                      <w:b/>
                      <w:szCs w:val="21"/>
                    </w:rPr>
                  </w:pPr>
                  <w:r>
                    <w:rPr>
                      <w:rFonts w:ascii="Times New Roman" w:hAnsi="Times New Roman"/>
                      <w:b/>
                      <w:szCs w:val="21"/>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608" w:type="dxa"/>
                  <w:vMerge w:val="restart"/>
                  <w:vAlign w:val="center"/>
                </w:tcPr>
                <w:p>
                  <w:pPr>
                    <w:spacing w:line="300" w:lineRule="exact"/>
                    <w:jc w:val="center"/>
                    <w:rPr>
                      <w:rFonts w:ascii="Times New Roman" w:hAnsi="Times New Roman"/>
                      <w:szCs w:val="21"/>
                    </w:rPr>
                  </w:pPr>
                  <w:r>
                    <w:rPr>
                      <w:rFonts w:ascii="Times New Roman" w:hAnsi="Times New Roman"/>
                      <w:szCs w:val="21"/>
                    </w:rPr>
                    <w:t>1</w:t>
                  </w:r>
                </w:p>
              </w:tc>
              <w:tc>
                <w:tcPr>
                  <w:tcW w:w="1155" w:type="dxa"/>
                  <w:vMerge w:val="restart"/>
                  <w:vAlign w:val="center"/>
                </w:tcPr>
                <w:p>
                  <w:pPr>
                    <w:spacing w:line="300" w:lineRule="exact"/>
                    <w:jc w:val="center"/>
                    <w:rPr>
                      <w:rFonts w:ascii="Times New Roman" w:hAnsi="Times New Roman"/>
                      <w:szCs w:val="21"/>
                    </w:rPr>
                  </w:pPr>
                  <w:r>
                    <w:rPr>
                      <w:rFonts w:ascii="Times New Roman" w:hAnsi="Times New Roman"/>
                      <w:szCs w:val="21"/>
                    </w:rPr>
                    <w:t>DW-001</w:t>
                  </w:r>
                </w:p>
              </w:tc>
              <w:tc>
                <w:tcPr>
                  <w:tcW w:w="1343" w:type="dxa"/>
                  <w:vAlign w:val="center"/>
                </w:tcPr>
                <w:p>
                  <w:pPr>
                    <w:pStyle w:val="84"/>
                    <w:spacing w:line="300" w:lineRule="exact"/>
                    <w:rPr>
                      <w:rFonts w:ascii="Times New Roman" w:hAnsi="Times New Roman" w:eastAsia="宋体"/>
                      <w:szCs w:val="21"/>
                    </w:rPr>
                  </w:pPr>
                  <w:r>
                    <w:rPr>
                      <w:rFonts w:ascii="Times New Roman" w:hAnsi="Times New Roman" w:eastAsia="宋体"/>
                      <w:szCs w:val="21"/>
                    </w:rPr>
                    <w:t>COD</w:t>
                  </w:r>
                  <w:r>
                    <w:rPr>
                      <w:rFonts w:ascii="Times New Roman" w:hAnsi="Times New Roman" w:eastAsia="宋体"/>
                      <w:szCs w:val="21"/>
                      <w:vertAlign w:val="subscript"/>
                    </w:rPr>
                    <w:t>Cr</w:t>
                  </w:r>
                </w:p>
              </w:tc>
              <w:tc>
                <w:tcPr>
                  <w:tcW w:w="3248" w:type="dxa"/>
                  <w:vMerge w:val="restart"/>
                  <w:vAlign w:val="center"/>
                </w:tcPr>
                <w:p>
                  <w:pPr>
                    <w:spacing w:line="300" w:lineRule="exact"/>
                    <w:jc w:val="center"/>
                    <w:rPr>
                      <w:rFonts w:ascii="Times New Roman" w:hAnsi="Times New Roman"/>
                      <w:b/>
                      <w:szCs w:val="21"/>
                    </w:rPr>
                  </w:pPr>
                  <w:r>
                    <w:rPr>
                      <w:rFonts w:ascii="Times New Roman" w:hAnsi="Times New Roman"/>
                      <w:szCs w:val="21"/>
                    </w:rPr>
                    <w:t>《城镇污水处理厂污染物排放标准》（GB18918-2002）一级标准中 A 类标准</w:t>
                  </w:r>
                </w:p>
              </w:tc>
              <w:tc>
                <w:tcPr>
                  <w:tcW w:w="2404"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608" w:type="dxa"/>
                  <w:vMerge w:val="continue"/>
                  <w:vAlign w:val="center"/>
                </w:tcPr>
                <w:p>
                  <w:pPr>
                    <w:spacing w:line="300" w:lineRule="exact"/>
                    <w:jc w:val="center"/>
                    <w:rPr>
                      <w:rFonts w:ascii="Times New Roman" w:hAnsi="Times New Roman"/>
                      <w:b/>
                      <w:szCs w:val="21"/>
                    </w:rPr>
                  </w:pPr>
                </w:p>
              </w:tc>
              <w:tc>
                <w:tcPr>
                  <w:tcW w:w="1155" w:type="dxa"/>
                  <w:vMerge w:val="continue"/>
                  <w:vAlign w:val="center"/>
                </w:tcPr>
                <w:p>
                  <w:pPr>
                    <w:spacing w:line="300" w:lineRule="exact"/>
                    <w:jc w:val="center"/>
                    <w:rPr>
                      <w:rFonts w:ascii="Times New Roman" w:hAnsi="Times New Roman"/>
                      <w:b/>
                      <w:szCs w:val="21"/>
                    </w:rPr>
                  </w:pPr>
                </w:p>
              </w:tc>
              <w:tc>
                <w:tcPr>
                  <w:tcW w:w="1343" w:type="dxa"/>
                  <w:vAlign w:val="center"/>
                </w:tcPr>
                <w:p>
                  <w:pPr>
                    <w:adjustRightInd w:val="0"/>
                    <w:spacing w:line="300" w:lineRule="exact"/>
                    <w:jc w:val="center"/>
                    <w:rPr>
                      <w:rFonts w:ascii="Times New Roman" w:hAnsi="Times New Roman"/>
                      <w:szCs w:val="21"/>
                    </w:rPr>
                  </w:pPr>
                  <w:r>
                    <w:rPr>
                      <w:rFonts w:ascii="Times New Roman" w:hAnsi="Times New Roman"/>
                      <w:szCs w:val="21"/>
                    </w:rPr>
                    <w:t>BOD</w:t>
                  </w:r>
                  <w:r>
                    <w:rPr>
                      <w:rFonts w:ascii="Times New Roman" w:hAnsi="Times New Roman"/>
                      <w:szCs w:val="21"/>
                      <w:vertAlign w:val="subscript"/>
                    </w:rPr>
                    <w:t>5</w:t>
                  </w:r>
                </w:p>
              </w:tc>
              <w:tc>
                <w:tcPr>
                  <w:tcW w:w="3248" w:type="dxa"/>
                  <w:vMerge w:val="continue"/>
                  <w:vAlign w:val="center"/>
                </w:tcPr>
                <w:p>
                  <w:pPr>
                    <w:spacing w:line="300" w:lineRule="exact"/>
                    <w:jc w:val="center"/>
                    <w:rPr>
                      <w:rFonts w:ascii="Times New Roman" w:hAnsi="Times New Roman"/>
                      <w:b/>
                      <w:szCs w:val="21"/>
                    </w:rPr>
                  </w:pPr>
                </w:p>
              </w:tc>
              <w:tc>
                <w:tcPr>
                  <w:tcW w:w="2404"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08" w:type="dxa"/>
                  <w:vMerge w:val="continue"/>
                  <w:vAlign w:val="center"/>
                </w:tcPr>
                <w:p>
                  <w:pPr>
                    <w:spacing w:line="300" w:lineRule="exact"/>
                    <w:jc w:val="center"/>
                    <w:rPr>
                      <w:rFonts w:ascii="Times New Roman" w:hAnsi="Times New Roman"/>
                      <w:b/>
                      <w:szCs w:val="21"/>
                    </w:rPr>
                  </w:pPr>
                </w:p>
              </w:tc>
              <w:tc>
                <w:tcPr>
                  <w:tcW w:w="1155" w:type="dxa"/>
                  <w:vMerge w:val="continue"/>
                  <w:vAlign w:val="center"/>
                </w:tcPr>
                <w:p>
                  <w:pPr>
                    <w:spacing w:line="300" w:lineRule="exact"/>
                    <w:jc w:val="center"/>
                    <w:rPr>
                      <w:rFonts w:ascii="Times New Roman" w:hAnsi="Times New Roman"/>
                      <w:b/>
                      <w:szCs w:val="21"/>
                    </w:rPr>
                  </w:pPr>
                </w:p>
              </w:tc>
              <w:tc>
                <w:tcPr>
                  <w:tcW w:w="1343" w:type="dxa"/>
                  <w:vAlign w:val="center"/>
                </w:tcPr>
                <w:p>
                  <w:pPr>
                    <w:adjustRightInd w:val="0"/>
                    <w:spacing w:line="300" w:lineRule="exact"/>
                    <w:jc w:val="center"/>
                    <w:rPr>
                      <w:rFonts w:ascii="Times New Roman" w:hAnsi="Times New Roman"/>
                      <w:szCs w:val="21"/>
                    </w:rPr>
                  </w:pPr>
                  <w:r>
                    <w:rPr>
                      <w:rFonts w:ascii="Times New Roman" w:hAnsi="Times New Roman"/>
                      <w:szCs w:val="21"/>
                    </w:rPr>
                    <w:t>SS</w:t>
                  </w:r>
                </w:p>
              </w:tc>
              <w:tc>
                <w:tcPr>
                  <w:tcW w:w="3248" w:type="dxa"/>
                  <w:vMerge w:val="continue"/>
                  <w:vAlign w:val="center"/>
                </w:tcPr>
                <w:p>
                  <w:pPr>
                    <w:spacing w:line="300" w:lineRule="exact"/>
                    <w:jc w:val="center"/>
                    <w:rPr>
                      <w:rFonts w:ascii="Times New Roman" w:hAnsi="Times New Roman"/>
                      <w:b/>
                      <w:szCs w:val="21"/>
                    </w:rPr>
                  </w:pPr>
                </w:p>
              </w:tc>
              <w:tc>
                <w:tcPr>
                  <w:tcW w:w="2404"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08" w:type="dxa"/>
                  <w:vMerge w:val="continue"/>
                  <w:vAlign w:val="center"/>
                </w:tcPr>
                <w:p>
                  <w:pPr>
                    <w:spacing w:line="300" w:lineRule="exact"/>
                    <w:jc w:val="center"/>
                    <w:rPr>
                      <w:rFonts w:ascii="Times New Roman" w:hAnsi="Times New Roman"/>
                      <w:b/>
                      <w:szCs w:val="21"/>
                    </w:rPr>
                  </w:pPr>
                </w:p>
              </w:tc>
              <w:tc>
                <w:tcPr>
                  <w:tcW w:w="1155" w:type="dxa"/>
                  <w:vMerge w:val="continue"/>
                  <w:vAlign w:val="center"/>
                </w:tcPr>
                <w:p>
                  <w:pPr>
                    <w:spacing w:line="300" w:lineRule="exact"/>
                    <w:jc w:val="center"/>
                    <w:rPr>
                      <w:rFonts w:ascii="Times New Roman" w:hAnsi="Times New Roman"/>
                      <w:b/>
                      <w:szCs w:val="21"/>
                    </w:rPr>
                  </w:pPr>
                </w:p>
              </w:tc>
              <w:tc>
                <w:tcPr>
                  <w:tcW w:w="1343" w:type="dxa"/>
                  <w:vAlign w:val="center"/>
                </w:tcPr>
                <w:p>
                  <w:pPr>
                    <w:pStyle w:val="84"/>
                    <w:spacing w:line="300" w:lineRule="exact"/>
                    <w:rPr>
                      <w:rFonts w:ascii="Times New Roman" w:hAnsi="Times New Roman" w:eastAsia="宋体"/>
                      <w:szCs w:val="21"/>
                    </w:rPr>
                  </w:pPr>
                  <w:r>
                    <w:rPr>
                      <w:rFonts w:ascii="Times New Roman" w:hAnsi="Times New Roman" w:eastAsia="宋体"/>
                      <w:szCs w:val="21"/>
                    </w:rPr>
                    <w:t>NH</w:t>
                  </w:r>
                  <w:r>
                    <w:rPr>
                      <w:rFonts w:ascii="Times New Roman" w:hAnsi="Times New Roman" w:eastAsia="宋体"/>
                      <w:szCs w:val="21"/>
                      <w:vertAlign w:val="subscript"/>
                    </w:rPr>
                    <w:t>3</w:t>
                  </w:r>
                  <w:r>
                    <w:rPr>
                      <w:rFonts w:ascii="Times New Roman" w:hAnsi="Times New Roman" w:eastAsia="宋体"/>
                      <w:szCs w:val="21"/>
                    </w:rPr>
                    <w:t>-N</w:t>
                  </w:r>
                </w:p>
              </w:tc>
              <w:tc>
                <w:tcPr>
                  <w:tcW w:w="3248" w:type="dxa"/>
                  <w:vMerge w:val="continue"/>
                  <w:vAlign w:val="center"/>
                </w:tcPr>
                <w:p>
                  <w:pPr>
                    <w:spacing w:line="300" w:lineRule="exact"/>
                    <w:jc w:val="center"/>
                    <w:rPr>
                      <w:rFonts w:ascii="Times New Roman" w:hAnsi="Times New Roman"/>
                      <w:b/>
                      <w:szCs w:val="21"/>
                    </w:rPr>
                  </w:pPr>
                </w:p>
              </w:tc>
              <w:tc>
                <w:tcPr>
                  <w:tcW w:w="2404" w:type="dxa"/>
                  <w:vAlign w:val="center"/>
                </w:tcPr>
                <w:p>
                  <w:pPr>
                    <w:spacing w:line="320" w:lineRule="exact"/>
                    <w:ind w:left="-105" w:leftChars="-50" w:right="-105" w:rightChars="-50"/>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08" w:type="dxa"/>
                  <w:vMerge w:val="continue"/>
                  <w:vAlign w:val="center"/>
                </w:tcPr>
                <w:p>
                  <w:pPr>
                    <w:spacing w:line="300" w:lineRule="exact"/>
                    <w:jc w:val="center"/>
                    <w:rPr>
                      <w:rFonts w:ascii="Times New Roman" w:hAnsi="Times New Roman"/>
                      <w:b/>
                      <w:szCs w:val="21"/>
                    </w:rPr>
                  </w:pPr>
                </w:p>
              </w:tc>
              <w:tc>
                <w:tcPr>
                  <w:tcW w:w="1155" w:type="dxa"/>
                  <w:vMerge w:val="continue"/>
                  <w:vAlign w:val="center"/>
                </w:tcPr>
                <w:p>
                  <w:pPr>
                    <w:spacing w:line="300" w:lineRule="exact"/>
                    <w:jc w:val="center"/>
                    <w:rPr>
                      <w:rFonts w:ascii="Times New Roman" w:hAnsi="Times New Roman"/>
                      <w:b/>
                      <w:szCs w:val="21"/>
                    </w:rPr>
                  </w:pPr>
                </w:p>
              </w:tc>
              <w:tc>
                <w:tcPr>
                  <w:tcW w:w="1343" w:type="dxa"/>
                  <w:vAlign w:val="center"/>
                </w:tcPr>
                <w:p>
                  <w:pPr>
                    <w:pStyle w:val="84"/>
                    <w:spacing w:line="300" w:lineRule="exact"/>
                    <w:rPr>
                      <w:rFonts w:ascii="Times New Roman" w:hAnsi="Times New Roman" w:eastAsia="宋体"/>
                      <w:szCs w:val="21"/>
                    </w:rPr>
                  </w:pPr>
                  <w:r>
                    <w:rPr>
                      <w:rFonts w:hint="eastAsia" w:ascii="Times New Roman" w:hAnsi="Times New Roman" w:eastAsia="宋体"/>
                      <w:szCs w:val="21"/>
                    </w:rPr>
                    <w:t>动植物油</w:t>
                  </w:r>
                </w:p>
              </w:tc>
              <w:tc>
                <w:tcPr>
                  <w:tcW w:w="3248" w:type="dxa"/>
                  <w:vMerge w:val="continue"/>
                  <w:vAlign w:val="center"/>
                </w:tcPr>
                <w:p>
                  <w:pPr>
                    <w:spacing w:line="300" w:lineRule="exact"/>
                    <w:jc w:val="center"/>
                    <w:rPr>
                      <w:rFonts w:ascii="Times New Roman" w:hAnsi="Times New Roman"/>
                      <w:b/>
                      <w:szCs w:val="21"/>
                    </w:rPr>
                  </w:pPr>
                </w:p>
              </w:tc>
              <w:tc>
                <w:tcPr>
                  <w:tcW w:w="2404" w:type="dxa"/>
                  <w:vAlign w:val="center"/>
                </w:tcPr>
                <w:p>
                  <w:pPr>
                    <w:spacing w:line="320" w:lineRule="exact"/>
                    <w:ind w:left="-105" w:leftChars="-50" w:right="-105" w:rightChars="-50"/>
                    <w:jc w:val="center"/>
                    <w:rPr>
                      <w:rFonts w:ascii="Times New Roman" w:hAnsi="Times New Roman"/>
                      <w:szCs w:val="21"/>
                    </w:rPr>
                  </w:pPr>
                  <w:r>
                    <w:rPr>
                      <w:rFonts w:hint="eastAsia" w:ascii="Times New Roman" w:hAnsi="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758" w:type="dxa"/>
                  <w:gridSpan w:val="5"/>
                </w:tcPr>
                <w:p>
                  <w:pPr>
                    <w:spacing w:line="300" w:lineRule="exact"/>
                    <w:rPr>
                      <w:rFonts w:ascii="Times New Roman" w:hAnsi="Times New Roman"/>
                      <w:b/>
                      <w:sz w:val="18"/>
                      <w:szCs w:val="18"/>
                    </w:rPr>
                  </w:pPr>
                  <w:r>
                    <w:rPr>
                      <w:rFonts w:ascii="Times New Roman" w:hAnsi="Times New Roman"/>
                      <w:sz w:val="18"/>
                      <w:szCs w:val="18"/>
                      <w:vertAlign w:val="superscript"/>
                    </w:rPr>
                    <w:t>a</w:t>
                  </w:r>
                  <w:r>
                    <w:rPr>
                      <w:rFonts w:ascii="Times New Roman" w:hAnsi="Times New Roman"/>
                      <w:sz w:val="18"/>
                      <w:szCs w:val="18"/>
                    </w:rPr>
                    <w:t>指对应排放口须执行的国家或地方污染物排放标准以及其他按规定商定建设项目水污染物排放控制要求的协议，据此确定的排放浓度限值。</w:t>
                  </w:r>
                </w:p>
              </w:tc>
            </w:tr>
          </w:tbl>
          <w:p>
            <w:pPr>
              <w:spacing w:line="360" w:lineRule="auto"/>
              <w:jc w:val="center"/>
              <w:rPr>
                <w:rFonts w:ascii="Times New Roman" w:hAnsi="Times New Roman"/>
                <w:b/>
                <w:sz w:val="24"/>
              </w:rPr>
            </w:pPr>
          </w:p>
          <w:p>
            <w:pPr>
              <w:spacing w:line="360" w:lineRule="auto"/>
              <w:jc w:val="center"/>
              <w:rPr>
                <w:rFonts w:ascii="Times New Roman" w:hAnsi="Times New Roman"/>
                <w:b/>
                <w:sz w:val="24"/>
              </w:rPr>
            </w:pPr>
            <w:r>
              <w:rPr>
                <w:rFonts w:ascii="Times New Roman" w:hAnsi="Times New Roman"/>
                <w:b/>
                <w:sz w:val="24"/>
              </w:rPr>
              <w:t>表7-</w:t>
            </w:r>
            <w:r>
              <w:rPr>
                <w:rFonts w:hint="eastAsia" w:ascii="Times New Roman" w:hAnsi="Times New Roman"/>
                <w:b/>
                <w:sz w:val="24"/>
                <w:lang w:val="en-US" w:eastAsia="zh-CN"/>
              </w:rPr>
              <w:t>9</w:t>
            </w:r>
            <w:r>
              <w:rPr>
                <w:rFonts w:ascii="Times New Roman" w:hAnsi="Times New Roman"/>
                <w:b/>
                <w:sz w:val="24"/>
              </w:rPr>
              <w:t xml:space="preserve">  废水污染物排放信息表（新建项目）</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1558"/>
              <w:gridCol w:w="1497"/>
              <w:gridCol w:w="1226"/>
              <w:gridCol w:w="1943"/>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24" w:type="dxa"/>
                  <w:vAlign w:val="center"/>
                </w:tcPr>
                <w:p>
                  <w:pPr>
                    <w:spacing w:line="320" w:lineRule="exact"/>
                    <w:jc w:val="center"/>
                    <w:rPr>
                      <w:rFonts w:ascii="Times New Roman" w:hAnsi="Times New Roman"/>
                      <w:b/>
                      <w:szCs w:val="21"/>
                    </w:rPr>
                  </w:pPr>
                  <w:r>
                    <w:rPr>
                      <w:rFonts w:ascii="Times New Roman" w:hAnsi="Times New Roman"/>
                      <w:b/>
                      <w:szCs w:val="21"/>
                    </w:rPr>
                    <w:t>序号</w:t>
                  </w:r>
                </w:p>
              </w:tc>
              <w:tc>
                <w:tcPr>
                  <w:tcW w:w="1558" w:type="dxa"/>
                  <w:vAlign w:val="center"/>
                </w:tcPr>
                <w:p>
                  <w:pPr>
                    <w:spacing w:line="320" w:lineRule="exact"/>
                    <w:jc w:val="center"/>
                    <w:rPr>
                      <w:rFonts w:ascii="Times New Roman" w:hAnsi="Times New Roman"/>
                      <w:b/>
                      <w:szCs w:val="21"/>
                    </w:rPr>
                  </w:pPr>
                  <w:r>
                    <w:rPr>
                      <w:rFonts w:ascii="Times New Roman" w:hAnsi="Times New Roman"/>
                      <w:b/>
                      <w:szCs w:val="21"/>
                    </w:rPr>
                    <w:t>排放口编号</w:t>
                  </w:r>
                </w:p>
              </w:tc>
              <w:tc>
                <w:tcPr>
                  <w:tcW w:w="1497" w:type="dxa"/>
                  <w:vAlign w:val="center"/>
                </w:tcPr>
                <w:p>
                  <w:pPr>
                    <w:spacing w:line="320" w:lineRule="exact"/>
                    <w:jc w:val="center"/>
                    <w:rPr>
                      <w:rFonts w:ascii="Times New Roman" w:hAnsi="Times New Roman"/>
                      <w:b/>
                      <w:szCs w:val="21"/>
                    </w:rPr>
                  </w:pPr>
                  <w:r>
                    <w:rPr>
                      <w:rFonts w:ascii="Times New Roman" w:hAnsi="Times New Roman"/>
                      <w:b/>
                      <w:szCs w:val="21"/>
                    </w:rPr>
                    <w:t>污染物种类</w:t>
                  </w:r>
                </w:p>
              </w:tc>
              <w:tc>
                <w:tcPr>
                  <w:tcW w:w="1226" w:type="dxa"/>
                  <w:vAlign w:val="center"/>
                </w:tcPr>
                <w:p>
                  <w:pPr>
                    <w:spacing w:line="320" w:lineRule="exact"/>
                    <w:jc w:val="center"/>
                    <w:rPr>
                      <w:rFonts w:ascii="Times New Roman" w:hAnsi="Times New Roman"/>
                      <w:b/>
                      <w:szCs w:val="21"/>
                    </w:rPr>
                  </w:pPr>
                  <w:r>
                    <w:rPr>
                      <w:rFonts w:ascii="Times New Roman" w:hAnsi="Times New Roman"/>
                      <w:b/>
                      <w:szCs w:val="21"/>
                    </w:rPr>
                    <w:t>排放浓度（mg/L）</w:t>
                  </w:r>
                </w:p>
              </w:tc>
              <w:tc>
                <w:tcPr>
                  <w:tcW w:w="1943" w:type="dxa"/>
                  <w:vAlign w:val="center"/>
                </w:tcPr>
                <w:p>
                  <w:pPr>
                    <w:spacing w:line="320" w:lineRule="exact"/>
                    <w:jc w:val="center"/>
                    <w:rPr>
                      <w:rFonts w:ascii="Times New Roman" w:hAnsi="Times New Roman"/>
                      <w:b/>
                      <w:szCs w:val="21"/>
                    </w:rPr>
                  </w:pPr>
                  <w:r>
                    <w:rPr>
                      <w:rFonts w:ascii="Times New Roman" w:hAnsi="Times New Roman"/>
                      <w:b/>
                      <w:szCs w:val="21"/>
                    </w:rPr>
                    <w:t>日排放量/（t/d）</w:t>
                  </w:r>
                </w:p>
              </w:tc>
              <w:tc>
                <w:tcPr>
                  <w:tcW w:w="1931" w:type="dxa"/>
                  <w:vAlign w:val="center"/>
                </w:tcPr>
                <w:p>
                  <w:pPr>
                    <w:spacing w:line="320" w:lineRule="exact"/>
                    <w:jc w:val="center"/>
                    <w:rPr>
                      <w:rFonts w:ascii="Times New Roman" w:hAnsi="Times New Roman"/>
                      <w:b/>
                      <w:szCs w:val="21"/>
                    </w:rPr>
                  </w:pPr>
                  <w:r>
                    <w:rPr>
                      <w:rFonts w:ascii="Times New Roman" w:hAnsi="Times New Roman"/>
                      <w:b/>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restart"/>
                  <w:vAlign w:val="center"/>
                </w:tcPr>
                <w:p>
                  <w:pPr>
                    <w:adjustRightInd w:val="0"/>
                    <w:spacing w:line="320" w:lineRule="exact"/>
                    <w:jc w:val="center"/>
                    <w:rPr>
                      <w:rFonts w:ascii="Times New Roman" w:hAnsi="Times New Roman"/>
                      <w:szCs w:val="21"/>
                    </w:rPr>
                  </w:pPr>
                  <w:r>
                    <w:rPr>
                      <w:rFonts w:ascii="Times New Roman" w:hAnsi="Times New Roman"/>
                      <w:szCs w:val="21"/>
                    </w:rPr>
                    <w:t>1</w:t>
                  </w:r>
                </w:p>
              </w:tc>
              <w:tc>
                <w:tcPr>
                  <w:tcW w:w="1558" w:type="dxa"/>
                  <w:vMerge w:val="restart"/>
                  <w:vAlign w:val="center"/>
                </w:tcPr>
                <w:p>
                  <w:pPr>
                    <w:adjustRightInd w:val="0"/>
                    <w:spacing w:line="320" w:lineRule="exact"/>
                    <w:jc w:val="center"/>
                    <w:rPr>
                      <w:rFonts w:ascii="Times New Roman" w:hAnsi="Times New Roman"/>
                      <w:szCs w:val="21"/>
                    </w:rPr>
                  </w:pPr>
                  <w:r>
                    <w:rPr>
                      <w:rFonts w:ascii="Times New Roman" w:hAnsi="Times New Roman"/>
                      <w:szCs w:val="21"/>
                    </w:rPr>
                    <w:t>DW- 001</w:t>
                  </w:r>
                </w:p>
              </w:tc>
              <w:tc>
                <w:tcPr>
                  <w:tcW w:w="1497" w:type="dxa"/>
                  <w:vAlign w:val="center"/>
                </w:tcPr>
                <w:p>
                  <w:pPr>
                    <w:pStyle w:val="100"/>
                    <w:spacing w:before="53" w:line="240" w:lineRule="atLeast"/>
                    <w:jc w:val="center"/>
                    <w:rPr>
                      <w:rFonts w:ascii="Times New Roman" w:hAnsi="Times New Roman"/>
                      <w:sz w:val="21"/>
                      <w:szCs w:val="21"/>
                      <w:lang w:eastAsia="zh-CN"/>
                    </w:rPr>
                  </w:pPr>
                  <w:r>
                    <w:rPr>
                      <w:rFonts w:ascii="Times New Roman" w:hAnsi="Times New Roman"/>
                      <w:sz w:val="21"/>
                      <w:szCs w:val="21"/>
                      <w:lang w:eastAsia="zh-CN"/>
                    </w:rPr>
                    <w:t>COD</w:t>
                  </w:r>
                </w:p>
              </w:tc>
              <w:tc>
                <w:tcPr>
                  <w:tcW w:w="1226"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270</w:t>
                  </w:r>
                </w:p>
              </w:tc>
              <w:tc>
                <w:tcPr>
                  <w:tcW w:w="1943"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0.000259 </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0.0778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vAlign w:val="center"/>
                </w:tcPr>
                <w:p>
                  <w:pPr>
                    <w:adjustRightInd w:val="0"/>
                    <w:spacing w:line="320" w:lineRule="exact"/>
                    <w:jc w:val="center"/>
                    <w:rPr>
                      <w:rFonts w:ascii="Times New Roman" w:hAnsi="Times New Roman"/>
                      <w:szCs w:val="21"/>
                    </w:rPr>
                  </w:pPr>
                </w:p>
              </w:tc>
              <w:tc>
                <w:tcPr>
                  <w:tcW w:w="1558" w:type="dxa"/>
                  <w:vMerge w:val="continue"/>
                  <w:vAlign w:val="center"/>
                </w:tcPr>
                <w:p>
                  <w:pPr>
                    <w:adjustRightInd w:val="0"/>
                    <w:spacing w:line="320" w:lineRule="exact"/>
                    <w:jc w:val="center"/>
                    <w:rPr>
                      <w:rFonts w:ascii="Times New Roman" w:hAnsi="Times New Roman"/>
                      <w:szCs w:val="21"/>
                    </w:rPr>
                  </w:pPr>
                </w:p>
              </w:tc>
              <w:tc>
                <w:tcPr>
                  <w:tcW w:w="1497" w:type="dxa"/>
                  <w:vAlign w:val="center"/>
                </w:tcPr>
                <w:p>
                  <w:pPr>
                    <w:pStyle w:val="100"/>
                    <w:spacing w:before="53" w:line="240" w:lineRule="atLeast"/>
                    <w:jc w:val="center"/>
                    <w:rPr>
                      <w:rFonts w:ascii="Times New Roman" w:hAnsi="Times New Roman"/>
                      <w:sz w:val="21"/>
                      <w:szCs w:val="21"/>
                      <w:vertAlign w:val="subscript"/>
                      <w:lang w:eastAsia="zh-CN"/>
                    </w:rPr>
                  </w:pPr>
                  <w:r>
                    <w:rPr>
                      <w:rFonts w:ascii="Times New Roman" w:hAnsi="Times New Roman"/>
                      <w:sz w:val="21"/>
                      <w:szCs w:val="21"/>
                      <w:lang w:eastAsia="zh-CN"/>
                    </w:rPr>
                    <w:t>SS</w:t>
                  </w:r>
                </w:p>
              </w:tc>
              <w:tc>
                <w:tcPr>
                  <w:tcW w:w="1226"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160</w:t>
                  </w:r>
                </w:p>
              </w:tc>
              <w:tc>
                <w:tcPr>
                  <w:tcW w:w="1943"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0.000154 </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0.0461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vAlign w:val="center"/>
                </w:tcPr>
                <w:p>
                  <w:pPr>
                    <w:adjustRightInd w:val="0"/>
                    <w:spacing w:line="320" w:lineRule="exact"/>
                    <w:jc w:val="center"/>
                    <w:rPr>
                      <w:rFonts w:ascii="Times New Roman" w:hAnsi="Times New Roman"/>
                      <w:szCs w:val="21"/>
                    </w:rPr>
                  </w:pPr>
                </w:p>
              </w:tc>
              <w:tc>
                <w:tcPr>
                  <w:tcW w:w="1558" w:type="dxa"/>
                  <w:vMerge w:val="continue"/>
                  <w:vAlign w:val="center"/>
                </w:tcPr>
                <w:p>
                  <w:pPr>
                    <w:adjustRightInd w:val="0"/>
                    <w:spacing w:line="320" w:lineRule="exact"/>
                    <w:jc w:val="center"/>
                    <w:rPr>
                      <w:rFonts w:ascii="Times New Roman" w:hAnsi="Times New Roman"/>
                      <w:szCs w:val="21"/>
                    </w:rPr>
                  </w:pPr>
                </w:p>
              </w:tc>
              <w:tc>
                <w:tcPr>
                  <w:tcW w:w="1497" w:type="dxa"/>
                  <w:vAlign w:val="center"/>
                </w:tcPr>
                <w:p>
                  <w:pPr>
                    <w:pStyle w:val="100"/>
                    <w:spacing w:before="53" w:line="240" w:lineRule="atLeast"/>
                    <w:jc w:val="center"/>
                    <w:rPr>
                      <w:rFonts w:ascii="Times New Roman" w:hAnsi="Times New Roman"/>
                      <w:sz w:val="21"/>
                      <w:szCs w:val="21"/>
                      <w:lang w:eastAsia="zh-CN"/>
                    </w:rPr>
                  </w:pPr>
                  <w:r>
                    <w:rPr>
                      <w:rFonts w:ascii="Times New Roman" w:hAnsi="Times New Roman"/>
                      <w:sz w:val="21"/>
                      <w:szCs w:val="21"/>
                      <w:lang w:eastAsia="zh-CN"/>
                    </w:rPr>
                    <w:t>氨氮</w:t>
                  </w:r>
                </w:p>
              </w:tc>
              <w:tc>
                <w:tcPr>
                  <w:tcW w:w="1226"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25</w:t>
                  </w:r>
                </w:p>
              </w:tc>
              <w:tc>
                <w:tcPr>
                  <w:tcW w:w="1943"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0.000024 </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0.0072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vAlign w:val="center"/>
                </w:tcPr>
                <w:p>
                  <w:pPr>
                    <w:adjustRightInd w:val="0"/>
                    <w:spacing w:line="320" w:lineRule="exact"/>
                    <w:jc w:val="center"/>
                    <w:rPr>
                      <w:rFonts w:ascii="Times New Roman" w:hAnsi="Times New Roman"/>
                      <w:szCs w:val="21"/>
                    </w:rPr>
                  </w:pPr>
                </w:p>
              </w:tc>
              <w:tc>
                <w:tcPr>
                  <w:tcW w:w="1558" w:type="dxa"/>
                  <w:vMerge w:val="continue"/>
                  <w:vAlign w:val="center"/>
                </w:tcPr>
                <w:p>
                  <w:pPr>
                    <w:adjustRightInd w:val="0"/>
                    <w:spacing w:line="320" w:lineRule="exact"/>
                    <w:jc w:val="center"/>
                    <w:rPr>
                      <w:rFonts w:ascii="Times New Roman" w:hAnsi="Times New Roman"/>
                      <w:szCs w:val="21"/>
                    </w:rPr>
                  </w:pPr>
                </w:p>
              </w:tc>
              <w:tc>
                <w:tcPr>
                  <w:tcW w:w="1497" w:type="dxa"/>
                  <w:vAlign w:val="center"/>
                </w:tcPr>
                <w:p>
                  <w:pPr>
                    <w:pStyle w:val="100"/>
                    <w:spacing w:before="53" w:line="240" w:lineRule="atLeast"/>
                    <w:jc w:val="center"/>
                    <w:rPr>
                      <w:rFonts w:ascii="Times New Roman" w:hAnsi="Times New Roman"/>
                      <w:sz w:val="21"/>
                      <w:szCs w:val="21"/>
                      <w:lang w:eastAsia="zh-CN"/>
                    </w:rPr>
                  </w:pPr>
                  <w:r>
                    <w:rPr>
                      <w:rFonts w:ascii="Times New Roman" w:hAnsi="Times New Roman"/>
                      <w:sz w:val="21"/>
                      <w:szCs w:val="21"/>
                      <w:lang w:eastAsia="zh-CN"/>
                    </w:rPr>
                    <w:t>BOD</w:t>
                  </w:r>
                  <w:r>
                    <w:rPr>
                      <w:rFonts w:ascii="Times New Roman" w:hAnsi="Times New Roman"/>
                      <w:sz w:val="21"/>
                      <w:szCs w:val="21"/>
                      <w:vertAlign w:val="subscript"/>
                      <w:lang w:eastAsia="zh-CN"/>
                    </w:rPr>
                    <w:t>5</w:t>
                  </w:r>
                </w:p>
              </w:tc>
              <w:tc>
                <w:tcPr>
                  <w:tcW w:w="1226" w:type="dxa"/>
                  <w:vAlign w:val="center"/>
                </w:tcPr>
                <w:p>
                  <w:pPr>
                    <w:widowControl/>
                    <w:jc w:val="center"/>
                    <w:textAlignment w:val="center"/>
                    <w:rPr>
                      <w:rFonts w:ascii="Times New Roman" w:hAnsi="Times New Roman"/>
                      <w:szCs w:val="21"/>
                    </w:rPr>
                  </w:pPr>
                  <w:r>
                    <w:rPr>
                      <w:rFonts w:ascii="Times New Roman" w:hAnsi="Times New Roman"/>
                      <w:kern w:val="0"/>
                      <w:szCs w:val="21"/>
                      <w:lang w:bidi="ar"/>
                    </w:rPr>
                    <w:t>135</w:t>
                  </w:r>
                </w:p>
              </w:tc>
              <w:tc>
                <w:tcPr>
                  <w:tcW w:w="1943"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0.000130 </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0.0389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vAlign w:val="center"/>
                </w:tcPr>
                <w:p>
                  <w:pPr>
                    <w:adjustRightInd w:val="0"/>
                    <w:spacing w:line="320" w:lineRule="exact"/>
                    <w:jc w:val="center"/>
                    <w:rPr>
                      <w:rFonts w:ascii="Times New Roman" w:hAnsi="Times New Roman"/>
                      <w:szCs w:val="21"/>
                    </w:rPr>
                  </w:pPr>
                </w:p>
              </w:tc>
              <w:tc>
                <w:tcPr>
                  <w:tcW w:w="1558" w:type="dxa"/>
                  <w:vMerge w:val="continue"/>
                  <w:vAlign w:val="center"/>
                </w:tcPr>
                <w:p>
                  <w:pPr>
                    <w:adjustRightInd w:val="0"/>
                    <w:spacing w:line="320" w:lineRule="exact"/>
                    <w:jc w:val="center"/>
                    <w:rPr>
                      <w:rFonts w:ascii="Times New Roman" w:hAnsi="Times New Roman"/>
                      <w:szCs w:val="21"/>
                    </w:rPr>
                  </w:pPr>
                </w:p>
              </w:tc>
              <w:tc>
                <w:tcPr>
                  <w:tcW w:w="1497" w:type="dxa"/>
                  <w:vAlign w:val="center"/>
                </w:tcPr>
                <w:p>
                  <w:pPr>
                    <w:pStyle w:val="100"/>
                    <w:spacing w:before="53" w:line="240" w:lineRule="atLeast"/>
                    <w:jc w:val="center"/>
                    <w:rPr>
                      <w:rFonts w:ascii="Times New Roman" w:hAnsi="Times New Roman"/>
                      <w:sz w:val="21"/>
                      <w:szCs w:val="21"/>
                      <w:lang w:eastAsia="zh-CN"/>
                    </w:rPr>
                  </w:pPr>
                  <w:r>
                    <w:rPr>
                      <w:rFonts w:hint="eastAsia" w:ascii="Times New Roman" w:hAnsi="Times New Roman"/>
                      <w:sz w:val="21"/>
                      <w:szCs w:val="21"/>
                      <w:lang w:eastAsia="zh-CN"/>
                    </w:rPr>
                    <w:t>动植物油</w:t>
                  </w:r>
                </w:p>
              </w:tc>
              <w:tc>
                <w:tcPr>
                  <w:tcW w:w="1226"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80</w:t>
                  </w:r>
                </w:p>
              </w:tc>
              <w:tc>
                <w:tcPr>
                  <w:tcW w:w="1943"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0.000077 </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0.0230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restart"/>
                  <w:vAlign w:val="center"/>
                </w:tcPr>
                <w:p>
                  <w:pPr>
                    <w:spacing w:line="320" w:lineRule="exact"/>
                    <w:jc w:val="center"/>
                    <w:rPr>
                      <w:rFonts w:ascii="Times New Roman" w:hAnsi="Times New Roman"/>
                      <w:szCs w:val="21"/>
                    </w:rPr>
                  </w:pPr>
                  <w:r>
                    <w:rPr>
                      <w:rFonts w:ascii="Times New Roman" w:hAnsi="Times New Roman"/>
                      <w:szCs w:val="21"/>
                    </w:rPr>
                    <w:t>全厂排放口合计</w:t>
                  </w:r>
                </w:p>
              </w:tc>
              <w:tc>
                <w:tcPr>
                  <w:tcW w:w="4666" w:type="dxa"/>
                  <w:gridSpan w:val="3"/>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COD</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0.0778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vAlign w:val="center"/>
                </w:tcPr>
                <w:p>
                  <w:pPr>
                    <w:spacing w:line="320" w:lineRule="exact"/>
                    <w:jc w:val="center"/>
                    <w:rPr>
                      <w:rFonts w:ascii="Times New Roman" w:hAnsi="Times New Roman"/>
                      <w:szCs w:val="21"/>
                    </w:rPr>
                  </w:pPr>
                </w:p>
              </w:tc>
              <w:tc>
                <w:tcPr>
                  <w:tcW w:w="4666" w:type="dxa"/>
                  <w:gridSpan w:val="3"/>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SS</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0.0461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vAlign w:val="center"/>
                </w:tcPr>
                <w:p>
                  <w:pPr>
                    <w:spacing w:line="320" w:lineRule="exact"/>
                    <w:jc w:val="center"/>
                    <w:rPr>
                      <w:rFonts w:ascii="Times New Roman" w:hAnsi="Times New Roman"/>
                      <w:szCs w:val="21"/>
                    </w:rPr>
                  </w:pPr>
                </w:p>
              </w:tc>
              <w:tc>
                <w:tcPr>
                  <w:tcW w:w="4666" w:type="dxa"/>
                  <w:gridSpan w:val="3"/>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氨氮</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0.0072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vAlign w:val="center"/>
                </w:tcPr>
                <w:p>
                  <w:pPr>
                    <w:spacing w:line="320" w:lineRule="exact"/>
                    <w:jc w:val="center"/>
                    <w:rPr>
                      <w:rFonts w:ascii="Times New Roman" w:hAnsi="Times New Roman"/>
                      <w:szCs w:val="21"/>
                    </w:rPr>
                  </w:pPr>
                </w:p>
              </w:tc>
              <w:tc>
                <w:tcPr>
                  <w:tcW w:w="4666" w:type="dxa"/>
                  <w:gridSpan w:val="3"/>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BOD</w:t>
                  </w:r>
                  <w:r>
                    <w:rPr>
                      <w:rFonts w:ascii="Times New Roman" w:hAnsi="Times New Roman"/>
                      <w:kern w:val="0"/>
                      <w:szCs w:val="21"/>
                      <w:vertAlign w:val="subscript"/>
                      <w:lang w:bidi="ar"/>
                    </w:rPr>
                    <w:t>5</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0.0389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vAlign w:val="center"/>
                </w:tcPr>
                <w:p>
                  <w:pPr>
                    <w:spacing w:line="320" w:lineRule="exact"/>
                    <w:jc w:val="center"/>
                    <w:rPr>
                      <w:rFonts w:ascii="Times New Roman" w:hAnsi="Times New Roman"/>
                      <w:szCs w:val="21"/>
                    </w:rPr>
                  </w:pPr>
                </w:p>
              </w:tc>
              <w:tc>
                <w:tcPr>
                  <w:tcW w:w="4666" w:type="dxa"/>
                  <w:gridSpan w:val="3"/>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动植物油</w:t>
                  </w:r>
                </w:p>
              </w:tc>
              <w:tc>
                <w:tcPr>
                  <w:tcW w:w="1931" w:type="dxa"/>
                  <w:vAlign w:val="center"/>
                </w:tcPr>
                <w:p>
                  <w:pPr>
                    <w:widowControl/>
                    <w:jc w:val="center"/>
                    <w:textAlignment w:val="center"/>
                    <w:rPr>
                      <w:rFonts w:ascii="Times New Roman" w:hAnsi="Times New Roman"/>
                      <w:kern w:val="0"/>
                      <w:szCs w:val="21"/>
                      <w:lang w:bidi="ar"/>
                    </w:rPr>
                  </w:pPr>
                  <w:r>
                    <w:rPr>
                      <w:rFonts w:hint="eastAsia" w:ascii="Times New Roman" w:hAnsi="Times New Roman"/>
                      <w:kern w:val="0"/>
                      <w:szCs w:val="21"/>
                      <w:lang w:bidi="ar"/>
                    </w:rPr>
                    <w:t xml:space="preserve">0.0230 </w:t>
                  </w:r>
                </w:p>
              </w:tc>
            </w:tr>
          </w:tbl>
          <w:p>
            <w:pPr>
              <w:spacing w:line="360" w:lineRule="auto"/>
              <w:ind w:firstLine="480" w:firstLineChars="200"/>
              <w:rPr>
                <w:rFonts w:ascii="Times New Roman" w:hAnsi="Times New Roman"/>
                <w:color w:val="000000"/>
                <w:sz w:val="24"/>
              </w:rPr>
            </w:pPr>
          </w:p>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表7-</w:t>
            </w:r>
            <w:r>
              <w:rPr>
                <w:rFonts w:hint="eastAsia" w:ascii="Times New Roman" w:hAnsi="Times New Roman"/>
                <w:b/>
                <w:color w:val="000000"/>
                <w:sz w:val="24"/>
                <w:szCs w:val="24"/>
                <w:lang w:val="en-US" w:eastAsia="zh-CN"/>
              </w:rPr>
              <w:t>10</w:t>
            </w:r>
            <w:r>
              <w:rPr>
                <w:rFonts w:ascii="Times New Roman" w:hAnsi="Times New Roman"/>
                <w:b/>
                <w:color w:val="000000"/>
                <w:sz w:val="24"/>
                <w:szCs w:val="24"/>
              </w:rPr>
              <w:t xml:space="preserve">  地表水环境影响评价自查表</w:t>
            </w:r>
          </w:p>
          <w:tbl>
            <w:tblPr>
              <w:tblStyle w:val="32"/>
              <w:tblW w:w="0" w:type="auto"/>
              <w:jc w:val="center"/>
              <w:tblLayout w:type="fixed"/>
              <w:tblCellMar>
                <w:top w:w="0" w:type="dxa"/>
                <w:left w:w="108" w:type="dxa"/>
                <w:bottom w:w="0" w:type="dxa"/>
                <w:right w:w="108" w:type="dxa"/>
              </w:tblCellMar>
            </w:tblPr>
            <w:tblGrid>
              <w:gridCol w:w="453"/>
              <w:gridCol w:w="1592"/>
              <w:gridCol w:w="1435"/>
              <w:gridCol w:w="515"/>
              <w:gridCol w:w="78"/>
              <w:gridCol w:w="172"/>
              <w:gridCol w:w="655"/>
              <w:gridCol w:w="811"/>
              <w:gridCol w:w="515"/>
              <w:gridCol w:w="187"/>
              <w:gridCol w:w="281"/>
              <w:gridCol w:w="374"/>
              <w:gridCol w:w="593"/>
              <w:gridCol w:w="1183"/>
            </w:tblGrid>
            <w:tr>
              <w:tblPrEx>
                <w:tblCellMar>
                  <w:top w:w="0" w:type="dxa"/>
                  <w:left w:w="108" w:type="dxa"/>
                  <w:bottom w:w="0" w:type="dxa"/>
                  <w:right w:w="108" w:type="dxa"/>
                </w:tblCellMar>
              </w:tblPrEx>
              <w:trPr>
                <w:trHeight w:val="272" w:hRule="atLeast"/>
                <w:jc w:val="center"/>
              </w:trPr>
              <w:tc>
                <w:tcPr>
                  <w:tcW w:w="204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工作内容</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自查项目</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影</w:t>
                  </w:r>
                </w:p>
                <w:p>
                  <w:pPr>
                    <w:widowControl/>
                    <w:jc w:val="center"/>
                    <w:rPr>
                      <w:rFonts w:ascii="Times New Roman" w:hAnsi="Times New Roman"/>
                      <w:color w:val="000000"/>
                      <w:kern w:val="0"/>
                      <w:szCs w:val="21"/>
                    </w:rPr>
                  </w:pPr>
                  <w:r>
                    <w:rPr>
                      <w:rFonts w:ascii="Times New Roman" w:hAnsi="Times New Roman"/>
                      <w:color w:val="000000"/>
                      <w:kern w:val="0"/>
                      <w:szCs w:val="21"/>
                    </w:rPr>
                    <w:t>响</w:t>
                  </w:r>
                </w:p>
                <w:p>
                  <w:pPr>
                    <w:widowControl/>
                    <w:jc w:val="center"/>
                    <w:rPr>
                      <w:rFonts w:ascii="Times New Roman" w:hAnsi="Times New Roman"/>
                      <w:color w:val="000000"/>
                      <w:kern w:val="0"/>
                      <w:szCs w:val="21"/>
                    </w:rPr>
                  </w:pPr>
                  <w:r>
                    <w:rPr>
                      <w:rFonts w:ascii="Times New Roman" w:hAnsi="Times New Roman"/>
                      <w:color w:val="000000"/>
                      <w:kern w:val="0"/>
                      <w:szCs w:val="21"/>
                    </w:rPr>
                    <w:t>识</w:t>
                  </w:r>
                </w:p>
                <w:p>
                  <w:pPr>
                    <w:widowControl/>
                    <w:jc w:val="center"/>
                    <w:rPr>
                      <w:rFonts w:ascii="Times New Roman" w:hAnsi="Times New Roman"/>
                      <w:color w:val="000000"/>
                      <w:kern w:val="0"/>
                      <w:szCs w:val="21"/>
                    </w:rPr>
                  </w:pPr>
                  <w:r>
                    <w:rPr>
                      <w:rFonts w:ascii="Times New Roman" w:hAnsi="Times New Roman"/>
                      <w:color w:val="000000"/>
                      <w:kern w:val="0"/>
                      <w:szCs w:val="21"/>
                    </w:rPr>
                    <w:t>别</w:t>
                  </w:r>
                </w:p>
              </w:tc>
              <w:tc>
                <w:tcPr>
                  <w:tcW w:w="15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影响类型</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 xml:space="preserve">水污染影响型 </w:t>
                  </w:r>
                  <w:r>
                    <w:rPr>
                      <w:rFonts w:ascii="Times New Roman" w:hAnsi="Times New Roman"/>
                      <w:color w:val="000000"/>
                      <w:kern w:val="0"/>
                      <w:szCs w:val="21"/>
                    </w:rPr>
                    <w:sym w:font="Wingdings 2" w:char="0052"/>
                  </w:r>
                  <w:r>
                    <w:rPr>
                      <w:rFonts w:ascii="Times New Roman" w:hAnsi="Times New Roman"/>
                      <w:color w:val="000000"/>
                      <w:kern w:val="0"/>
                      <w:szCs w:val="21"/>
                    </w:rPr>
                    <w:t>；水文要素影响型 □</w:t>
                  </w:r>
                </w:p>
              </w:tc>
            </w:tr>
            <w:tr>
              <w:tblPrEx>
                <w:tblCellMar>
                  <w:top w:w="0" w:type="dxa"/>
                  <w:left w:w="108" w:type="dxa"/>
                  <w:bottom w:w="0" w:type="dxa"/>
                  <w:right w:w="108" w:type="dxa"/>
                </w:tblCellMar>
              </w:tblPrEx>
              <w:trPr>
                <w:trHeight w:val="272"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水环境保护目标</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饮用水水源保护区□；饮用水取水口□；涉水的自然保护区□；重要湿地□；重点保护与珍稀水生生物的栖息地□；重要水生生物的自然产卵场及索饵场、越冬场和洄游通道、天然渔场等渔业水体□；涉水的风景名胜区□；其他</w:t>
                  </w:r>
                  <w:r>
                    <w:rPr>
                      <w:rFonts w:ascii="Times New Roman" w:hAnsi="Times New Roman"/>
                      <w:color w:val="000000"/>
                      <w:kern w:val="0"/>
                      <w:szCs w:val="21"/>
                    </w:rPr>
                    <w:sym w:font="Wingdings 2" w:char="0052"/>
                  </w:r>
                </w:p>
              </w:tc>
            </w:tr>
            <w:tr>
              <w:tblPrEx>
                <w:tblCellMar>
                  <w:top w:w="0" w:type="dxa"/>
                  <w:left w:w="108" w:type="dxa"/>
                  <w:bottom w:w="0" w:type="dxa"/>
                  <w:right w:w="108" w:type="dxa"/>
                </w:tblCellMar>
              </w:tblPrEx>
              <w:trPr>
                <w:trHeight w:val="201"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影响途径</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水污染影响型</w:t>
                  </w:r>
                  <w:r>
                    <w:rPr>
                      <w:rFonts w:ascii="Times New Roman" w:hAnsi="Times New Roman"/>
                      <w:color w:val="000000"/>
                      <w:kern w:val="0"/>
                      <w:szCs w:val="21"/>
                    </w:rPr>
                    <w:sym w:font="Wingdings 2" w:char="0052"/>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水文要素影响型</w:t>
                  </w:r>
                </w:p>
              </w:tc>
            </w:tr>
            <w:tr>
              <w:tblPrEx>
                <w:tblCellMar>
                  <w:top w:w="0" w:type="dxa"/>
                  <w:left w:w="108" w:type="dxa"/>
                  <w:bottom w:w="0" w:type="dxa"/>
                  <w:right w:w="108" w:type="dxa"/>
                </w:tblCellMar>
              </w:tblPrEx>
              <w:trPr>
                <w:trHeight w:val="131"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直接排放</w:t>
                  </w:r>
                  <w:r>
                    <w:rPr>
                      <w:rFonts w:ascii="Times New Roman" w:hAnsi="Times New Roman"/>
                      <w:color w:val="000000"/>
                      <w:kern w:val="0"/>
                      <w:szCs w:val="21"/>
                    </w:rPr>
                    <w:sym w:font="Wingdings 2" w:char="00A3"/>
                  </w:r>
                  <w:r>
                    <w:rPr>
                      <w:rFonts w:ascii="Times New Roman" w:hAnsi="Times New Roman"/>
                      <w:color w:val="000000"/>
                      <w:kern w:val="0"/>
                      <w:szCs w:val="21"/>
                    </w:rPr>
                    <w:t>；间接排放</w:t>
                  </w:r>
                  <w:r>
                    <w:rPr>
                      <w:rFonts w:ascii="Times New Roman" w:hAnsi="Times New Roman"/>
                      <w:color w:val="000000"/>
                      <w:kern w:val="0"/>
                      <w:szCs w:val="21"/>
                    </w:rPr>
                    <w:sym w:font="Wingdings 2" w:char="0052"/>
                  </w:r>
                  <w:r>
                    <w:rPr>
                      <w:rFonts w:ascii="Times New Roman" w:hAnsi="Times New Roman"/>
                      <w:color w:val="000000"/>
                      <w:kern w:val="0"/>
                      <w:szCs w:val="21"/>
                    </w:rPr>
                    <w:t>；其他□</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水温 □；径流 □；水域面积 □</w:t>
                  </w:r>
                </w:p>
              </w:tc>
            </w:tr>
            <w:tr>
              <w:tblPrEx>
                <w:tblCellMar>
                  <w:top w:w="0" w:type="dxa"/>
                  <w:left w:w="108" w:type="dxa"/>
                  <w:bottom w:w="0" w:type="dxa"/>
                  <w:right w:w="108" w:type="dxa"/>
                </w:tblCellMar>
              </w:tblPrEx>
              <w:trPr>
                <w:trHeight w:val="272"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影响因子</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持久性污染物</w:t>
                  </w:r>
                  <w:r>
                    <w:rPr>
                      <w:rFonts w:ascii="Times New Roman" w:hAnsi="Times New Roman"/>
                      <w:color w:val="000000"/>
                      <w:kern w:val="0"/>
                      <w:szCs w:val="21"/>
                    </w:rPr>
                    <w:sym w:font="Wingdings 2" w:char="00A3"/>
                  </w:r>
                  <w:r>
                    <w:rPr>
                      <w:rFonts w:ascii="Times New Roman" w:hAnsi="Times New Roman"/>
                      <w:color w:val="000000"/>
                      <w:kern w:val="0"/>
                      <w:szCs w:val="21"/>
                    </w:rPr>
                    <w:t>；有毒有害污染物□；非持久性污染物</w:t>
                  </w:r>
                  <w:r>
                    <w:rPr>
                      <w:rFonts w:ascii="Times New Roman" w:hAnsi="Times New Roman"/>
                      <w:color w:val="000000"/>
                      <w:kern w:val="0"/>
                      <w:szCs w:val="21"/>
                    </w:rPr>
                    <w:sym w:font="Wingdings 2" w:char="0052"/>
                  </w:r>
                  <w:r>
                    <w:rPr>
                      <w:rFonts w:ascii="Times New Roman" w:hAnsi="Times New Roman"/>
                      <w:color w:val="000000"/>
                      <w:kern w:val="0"/>
                      <w:szCs w:val="21"/>
                    </w:rPr>
                    <w:t>；pH值</w:t>
                  </w:r>
                  <w:r>
                    <w:rPr>
                      <w:rFonts w:ascii="Times New Roman" w:hAnsi="Times New Roman"/>
                      <w:color w:val="000000"/>
                      <w:kern w:val="0"/>
                      <w:szCs w:val="21"/>
                    </w:rPr>
                    <w:sym w:font="Wingdings 2" w:char="0052"/>
                  </w:r>
                  <w:r>
                    <w:rPr>
                      <w:rFonts w:ascii="Times New Roman" w:hAnsi="Times New Roman"/>
                      <w:color w:val="000000"/>
                      <w:kern w:val="0"/>
                      <w:szCs w:val="21"/>
                    </w:rPr>
                    <w:t>；热污染□；富营养化□；其他□</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水温 □；水位（水深） □；流速 □；流量 □；其他 □</w:t>
                  </w:r>
                </w:p>
              </w:tc>
            </w:tr>
            <w:tr>
              <w:tblPrEx>
                <w:tblCellMar>
                  <w:top w:w="0" w:type="dxa"/>
                  <w:left w:w="108" w:type="dxa"/>
                  <w:bottom w:w="0" w:type="dxa"/>
                  <w:right w:w="108" w:type="dxa"/>
                </w:tblCellMar>
              </w:tblPrEx>
              <w:trPr>
                <w:trHeight w:val="175" w:hRule="atLeast"/>
                <w:jc w:val="center"/>
              </w:trPr>
              <w:tc>
                <w:tcPr>
                  <w:tcW w:w="2045" w:type="dxa"/>
                  <w:gridSpan w:val="2"/>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评价等级</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水污染影响型</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水文要素影响型</w:t>
                  </w:r>
                </w:p>
              </w:tc>
            </w:tr>
            <w:tr>
              <w:tblPrEx>
                <w:tblCellMar>
                  <w:top w:w="0" w:type="dxa"/>
                  <w:left w:w="108" w:type="dxa"/>
                  <w:bottom w:w="0" w:type="dxa"/>
                  <w:right w:w="108" w:type="dxa"/>
                </w:tblCellMar>
              </w:tblPrEx>
              <w:trPr>
                <w:trHeight w:val="157" w:hRule="atLeast"/>
                <w:jc w:val="center"/>
              </w:trPr>
              <w:tc>
                <w:tcPr>
                  <w:tcW w:w="2045" w:type="dxa"/>
                  <w:gridSpan w:val="2"/>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一级</w:t>
                  </w:r>
                  <w:r>
                    <w:rPr>
                      <w:rFonts w:ascii="Times New Roman" w:hAnsi="Times New Roman"/>
                      <w:color w:val="000000"/>
                      <w:kern w:val="0"/>
                      <w:szCs w:val="21"/>
                    </w:rPr>
                    <w:sym w:font="Wingdings 2" w:char="00A3"/>
                  </w:r>
                  <w:r>
                    <w:rPr>
                      <w:rFonts w:ascii="Times New Roman" w:hAnsi="Times New Roman"/>
                      <w:color w:val="000000"/>
                      <w:kern w:val="0"/>
                      <w:szCs w:val="21"/>
                    </w:rPr>
                    <w:t xml:space="preserve">；二级□；三级A </w:t>
                  </w:r>
                  <w:r>
                    <w:rPr>
                      <w:rFonts w:ascii="Times New Roman" w:hAnsi="Times New Roman"/>
                      <w:color w:val="000000"/>
                      <w:kern w:val="0"/>
                      <w:szCs w:val="21"/>
                    </w:rPr>
                    <w:sym w:font="Wingdings 2" w:char="00A3"/>
                  </w:r>
                  <w:r>
                    <w:rPr>
                      <w:rFonts w:ascii="Times New Roman" w:hAnsi="Times New Roman"/>
                      <w:color w:val="000000"/>
                      <w:kern w:val="0"/>
                      <w:szCs w:val="21"/>
                    </w:rPr>
                    <w:t xml:space="preserve">；三级B </w:t>
                  </w:r>
                  <w:r>
                    <w:rPr>
                      <w:rFonts w:ascii="Times New Roman" w:hAnsi="Times New Roman"/>
                      <w:color w:val="000000"/>
                      <w:kern w:val="0"/>
                      <w:szCs w:val="21"/>
                    </w:rPr>
                    <w:sym w:font="Wingdings 2" w:char="0052"/>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一级 □；二级 □；三级 □</w:t>
                  </w:r>
                </w:p>
              </w:tc>
            </w:tr>
            <w:tr>
              <w:tblPrEx>
                <w:tblCellMar>
                  <w:top w:w="0" w:type="dxa"/>
                  <w:left w:w="108" w:type="dxa"/>
                  <w:bottom w:w="0" w:type="dxa"/>
                  <w:right w:w="108" w:type="dxa"/>
                </w:tblCellMar>
              </w:tblPrEx>
              <w:trPr>
                <w:trHeight w:val="157" w:hRule="atLeast"/>
                <w:jc w:val="center"/>
              </w:trPr>
              <w:tc>
                <w:tcPr>
                  <w:tcW w:w="453"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现</w:t>
                  </w:r>
                </w:p>
                <w:p>
                  <w:pPr>
                    <w:widowControl/>
                    <w:jc w:val="center"/>
                    <w:rPr>
                      <w:rFonts w:ascii="Times New Roman" w:hAnsi="Times New Roman"/>
                      <w:color w:val="000000"/>
                      <w:kern w:val="0"/>
                      <w:szCs w:val="21"/>
                    </w:rPr>
                  </w:pPr>
                  <w:r>
                    <w:rPr>
                      <w:rFonts w:ascii="Times New Roman" w:hAnsi="Times New Roman"/>
                      <w:color w:val="000000"/>
                      <w:kern w:val="0"/>
                      <w:szCs w:val="21"/>
                    </w:rPr>
                    <w:t>状</w:t>
                  </w:r>
                </w:p>
                <w:p>
                  <w:pPr>
                    <w:widowControl/>
                    <w:jc w:val="center"/>
                    <w:rPr>
                      <w:rFonts w:ascii="Times New Roman" w:hAnsi="Times New Roman"/>
                      <w:color w:val="000000"/>
                      <w:kern w:val="0"/>
                      <w:szCs w:val="21"/>
                    </w:rPr>
                  </w:pPr>
                  <w:r>
                    <w:rPr>
                      <w:rFonts w:ascii="Times New Roman" w:hAnsi="Times New Roman"/>
                      <w:color w:val="000000"/>
                      <w:kern w:val="0"/>
                      <w:szCs w:val="21"/>
                    </w:rPr>
                    <w:t>调</w:t>
                  </w:r>
                </w:p>
                <w:p>
                  <w:pPr>
                    <w:widowControl/>
                    <w:jc w:val="center"/>
                    <w:rPr>
                      <w:rFonts w:ascii="Times New Roman" w:hAnsi="Times New Roman"/>
                      <w:color w:val="000000"/>
                      <w:kern w:val="0"/>
                      <w:szCs w:val="21"/>
                    </w:rPr>
                  </w:pPr>
                  <w:r>
                    <w:rPr>
                      <w:rFonts w:ascii="Times New Roman" w:hAnsi="Times New Roman"/>
                      <w:color w:val="000000"/>
                      <w:kern w:val="0"/>
                      <w:szCs w:val="21"/>
                    </w:rPr>
                    <w:t>查</w:t>
                  </w: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区域污染源</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调查项目</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数据来源</w:t>
                  </w:r>
                </w:p>
              </w:tc>
            </w:tr>
            <w:tr>
              <w:tblPrEx>
                <w:tblCellMar>
                  <w:top w:w="0" w:type="dxa"/>
                  <w:left w:w="108" w:type="dxa"/>
                  <w:bottom w:w="0" w:type="dxa"/>
                  <w:right w:w="108" w:type="dxa"/>
                </w:tblCellMar>
              </w:tblPrEx>
              <w:trPr>
                <w:trHeight w:val="175"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2028"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已建□；在建□；拟建</w:t>
                  </w:r>
                  <w:r>
                    <w:rPr>
                      <w:rFonts w:ascii="Times New Roman" w:hAnsi="Times New Roman"/>
                      <w:color w:val="000000"/>
                      <w:kern w:val="0"/>
                      <w:szCs w:val="21"/>
                    </w:rPr>
                    <w:sym w:font="Wingdings 2" w:char="00A3"/>
                  </w:r>
                  <w:r>
                    <w:rPr>
                      <w:rFonts w:ascii="Times New Roman" w:hAnsi="Times New Roman"/>
                      <w:color w:val="000000"/>
                      <w:kern w:val="0"/>
                      <w:szCs w:val="21"/>
                    </w:rPr>
                    <w:t>；其他□</w:t>
                  </w:r>
                </w:p>
              </w:tc>
              <w:tc>
                <w:tcPr>
                  <w:tcW w:w="1638"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拟替代的污染源</w:t>
                  </w:r>
                  <w:r>
                    <w:rPr>
                      <w:rFonts w:ascii="Times New Roman" w:hAnsi="Times New Roman"/>
                      <w:color w:val="000000"/>
                      <w:kern w:val="0"/>
                      <w:szCs w:val="21"/>
                    </w:rPr>
                    <w:sym w:font="Wingdings 2" w:char="0052"/>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排污许可证□；环评□；环保验收□；既有实测</w:t>
                  </w:r>
                  <w:r>
                    <w:rPr>
                      <w:rFonts w:ascii="Times New Roman" w:hAnsi="Times New Roman"/>
                      <w:color w:val="000000"/>
                      <w:kern w:val="0"/>
                      <w:szCs w:val="21"/>
                    </w:rPr>
                    <w:sym w:font="Wingdings 2" w:char="00A3"/>
                  </w:r>
                  <w:r>
                    <w:rPr>
                      <w:rFonts w:ascii="Times New Roman" w:hAnsi="Times New Roman"/>
                      <w:color w:val="000000"/>
                      <w:kern w:val="0"/>
                      <w:szCs w:val="21"/>
                    </w:rPr>
                    <w:t>；现场监测 □；入河排放口数据 □；其他 □</w:t>
                  </w:r>
                </w:p>
              </w:tc>
            </w:tr>
            <w:tr>
              <w:tblPrEx>
                <w:tblCellMar>
                  <w:top w:w="0" w:type="dxa"/>
                  <w:left w:w="108" w:type="dxa"/>
                  <w:bottom w:w="0" w:type="dxa"/>
                  <w:right w:w="108" w:type="dxa"/>
                </w:tblCellMar>
              </w:tblPrEx>
              <w:trPr>
                <w:trHeight w:val="184"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受影响水体水环境质量</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调查时期</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数据来源</w:t>
                  </w:r>
                </w:p>
              </w:tc>
            </w:tr>
            <w:tr>
              <w:tblPrEx>
                <w:tblCellMar>
                  <w:top w:w="0" w:type="dxa"/>
                  <w:left w:w="108" w:type="dxa"/>
                  <w:bottom w:w="0" w:type="dxa"/>
                  <w:right w:w="108" w:type="dxa"/>
                </w:tblCellMar>
              </w:tblPrEx>
              <w:trPr>
                <w:trHeight w:val="90"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丰水期□；平水期□；枯水期</w:t>
                  </w:r>
                  <w:r>
                    <w:rPr>
                      <w:rFonts w:ascii="Times New Roman" w:hAnsi="Times New Roman"/>
                      <w:color w:val="000000"/>
                      <w:kern w:val="0"/>
                      <w:szCs w:val="21"/>
                    </w:rPr>
                    <w:sym w:font="Wingdings 2" w:char="0052"/>
                  </w:r>
                  <w:r>
                    <w:rPr>
                      <w:rFonts w:ascii="Times New Roman" w:hAnsi="Times New Roman"/>
                      <w:color w:val="000000"/>
                      <w:kern w:val="0"/>
                      <w:szCs w:val="21"/>
                    </w:rPr>
                    <w:t>；冰封期□；春季□；夏季□；秋季□；冬季□</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生态环境保护主管部门 □；补充监测 □；其他</w:t>
                  </w:r>
                  <w:r>
                    <w:rPr>
                      <w:rFonts w:ascii="Times New Roman" w:hAnsi="Times New Roman"/>
                      <w:color w:val="000000"/>
                      <w:kern w:val="0"/>
                      <w:szCs w:val="21"/>
                    </w:rPr>
                    <w:sym w:font="Wingdings 2" w:char="0052"/>
                  </w:r>
                </w:p>
              </w:tc>
            </w:tr>
            <w:tr>
              <w:tblPrEx>
                <w:tblCellMar>
                  <w:top w:w="0" w:type="dxa"/>
                  <w:left w:w="108" w:type="dxa"/>
                  <w:bottom w:w="0" w:type="dxa"/>
                  <w:right w:w="108" w:type="dxa"/>
                </w:tblCellMar>
              </w:tblPrEx>
              <w:trPr>
                <w:trHeight w:val="614"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区域水资源开发利用状况</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 xml:space="preserve">未开发 □；开发量40%以下 </w:t>
                  </w:r>
                  <w:r>
                    <w:rPr>
                      <w:rFonts w:ascii="Times New Roman" w:hAnsi="Times New Roman"/>
                      <w:color w:val="000000"/>
                      <w:kern w:val="0"/>
                      <w:szCs w:val="21"/>
                    </w:rPr>
                    <w:sym w:font="Wingdings 2" w:char="0052"/>
                  </w:r>
                  <w:r>
                    <w:rPr>
                      <w:rFonts w:ascii="Times New Roman" w:hAnsi="Times New Roman"/>
                      <w:color w:val="000000"/>
                      <w:kern w:val="0"/>
                      <w:szCs w:val="21"/>
                    </w:rPr>
                    <w:t>；开发量 40%以上 □</w:t>
                  </w:r>
                </w:p>
              </w:tc>
            </w:tr>
            <w:tr>
              <w:trPr>
                <w:trHeight w:val="248"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水文情势调查</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调查时期</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数据来源</w:t>
                  </w:r>
                </w:p>
              </w:tc>
            </w:tr>
            <w:tr>
              <w:tblPrEx>
                <w:tblCellMar>
                  <w:top w:w="0" w:type="dxa"/>
                  <w:left w:w="108" w:type="dxa"/>
                  <w:bottom w:w="0" w:type="dxa"/>
                  <w:right w:w="108" w:type="dxa"/>
                </w:tblCellMar>
              </w:tblPrEx>
              <w:trPr>
                <w:trHeight w:val="328"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丰水期□；平水期□；枯水期</w:t>
                  </w:r>
                  <w:r>
                    <w:rPr>
                      <w:rFonts w:ascii="Times New Roman" w:hAnsi="Times New Roman"/>
                      <w:color w:val="000000"/>
                      <w:kern w:val="0"/>
                      <w:szCs w:val="21"/>
                    </w:rPr>
                    <w:sym w:font="Wingdings 2" w:char="0052"/>
                  </w:r>
                  <w:r>
                    <w:rPr>
                      <w:rFonts w:ascii="Times New Roman" w:hAnsi="Times New Roman"/>
                      <w:color w:val="000000"/>
                      <w:kern w:val="0"/>
                      <w:szCs w:val="21"/>
                    </w:rPr>
                    <w:t>；冰封期□；春季□；夏季□；秋季□；冬季□</w:t>
                  </w:r>
                </w:p>
              </w:tc>
              <w:tc>
                <w:tcPr>
                  <w:tcW w:w="3133"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水行政主管部门 □；补充监测 □；其他 □</w:t>
                  </w:r>
                </w:p>
              </w:tc>
            </w:tr>
            <w:tr>
              <w:tblPrEx>
                <w:tblCellMar>
                  <w:top w:w="0" w:type="dxa"/>
                  <w:left w:w="108" w:type="dxa"/>
                  <w:bottom w:w="0" w:type="dxa"/>
                  <w:right w:w="108" w:type="dxa"/>
                </w:tblCellMar>
              </w:tblPrEx>
              <w:trPr>
                <w:trHeight w:val="119" w:hRule="atLeast"/>
                <w:jc w:val="center"/>
              </w:trPr>
              <w:tc>
                <w:tcPr>
                  <w:tcW w:w="453" w:type="dxa"/>
                  <w:vMerge w:val="continue"/>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补充监测</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监测时期</w:t>
                  </w:r>
                </w:p>
              </w:tc>
              <w:tc>
                <w:tcPr>
                  <w:tcW w:w="1357" w:type="dxa"/>
                  <w:gridSpan w:val="4"/>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监测因子</w:t>
                  </w:r>
                </w:p>
              </w:tc>
              <w:tc>
                <w:tcPr>
                  <w:tcW w:w="1776" w:type="dxa"/>
                  <w:gridSpan w:val="2"/>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监测断面或点位</w:t>
                  </w:r>
                </w:p>
              </w:tc>
            </w:tr>
            <w:tr>
              <w:trPr>
                <w:trHeight w:val="217" w:hRule="atLeast"/>
                <w:jc w:val="center"/>
              </w:trPr>
              <w:tc>
                <w:tcPr>
                  <w:tcW w:w="453" w:type="dxa"/>
                  <w:vMerge w:val="continue"/>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丰水期□；平水期□；枯水期</w:t>
                  </w:r>
                  <w:r>
                    <w:rPr>
                      <w:rFonts w:ascii="Times New Roman" w:hAnsi="Times New Roman"/>
                      <w:color w:val="000000"/>
                      <w:kern w:val="0"/>
                      <w:szCs w:val="21"/>
                    </w:rPr>
                    <w:sym w:font="Wingdings 2" w:char="0052"/>
                  </w:r>
                  <w:r>
                    <w:rPr>
                      <w:rFonts w:ascii="Times New Roman" w:hAnsi="Times New Roman"/>
                      <w:color w:val="000000"/>
                      <w:kern w:val="0"/>
                      <w:szCs w:val="21"/>
                    </w:rPr>
                    <w:t>；冰封期□；春季□；夏季□；秋季□；冬季□</w:t>
                  </w:r>
                </w:p>
              </w:tc>
              <w:tc>
                <w:tcPr>
                  <w:tcW w:w="1357" w:type="dxa"/>
                  <w:gridSpan w:val="4"/>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p>
              </w:tc>
              <w:tc>
                <w:tcPr>
                  <w:tcW w:w="1776" w:type="dxa"/>
                  <w:gridSpan w:val="2"/>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监测断面或点位个数（0）个</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影</w:t>
                  </w:r>
                </w:p>
                <w:p>
                  <w:pPr>
                    <w:widowControl/>
                    <w:jc w:val="center"/>
                    <w:rPr>
                      <w:rFonts w:ascii="Times New Roman" w:hAnsi="Times New Roman"/>
                      <w:color w:val="000000"/>
                      <w:kern w:val="0"/>
                      <w:szCs w:val="21"/>
                    </w:rPr>
                  </w:pPr>
                  <w:r>
                    <w:rPr>
                      <w:rFonts w:ascii="Times New Roman" w:hAnsi="Times New Roman"/>
                      <w:color w:val="000000"/>
                      <w:kern w:val="0"/>
                      <w:szCs w:val="21"/>
                    </w:rPr>
                    <w:t>响</w:t>
                  </w:r>
                </w:p>
                <w:p>
                  <w:pPr>
                    <w:widowControl/>
                    <w:jc w:val="center"/>
                    <w:rPr>
                      <w:rFonts w:ascii="Times New Roman" w:hAnsi="Times New Roman"/>
                      <w:color w:val="000000"/>
                      <w:kern w:val="0"/>
                      <w:szCs w:val="21"/>
                    </w:rPr>
                  </w:pPr>
                  <w:r>
                    <w:rPr>
                      <w:rFonts w:ascii="Times New Roman" w:hAnsi="Times New Roman"/>
                      <w:color w:val="000000"/>
                      <w:kern w:val="0"/>
                      <w:szCs w:val="21"/>
                    </w:rPr>
                    <w:t>评</w:t>
                  </w:r>
                </w:p>
                <w:p>
                  <w:pPr>
                    <w:widowControl/>
                    <w:jc w:val="center"/>
                    <w:rPr>
                      <w:rFonts w:ascii="Times New Roman" w:hAnsi="Times New Roman"/>
                      <w:color w:val="000000"/>
                      <w:kern w:val="0"/>
                      <w:szCs w:val="21"/>
                    </w:rPr>
                  </w:pPr>
                  <w:r>
                    <w:rPr>
                      <w:rFonts w:ascii="Times New Roman" w:hAnsi="Times New Roman"/>
                      <w:color w:val="000000"/>
                      <w:kern w:val="0"/>
                      <w:szCs w:val="21"/>
                    </w:rPr>
                    <w:t>价</w:t>
                  </w:r>
                </w:p>
              </w:tc>
              <w:tc>
                <w:tcPr>
                  <w:tcW w:w="1592" w:type="dxa"/>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水污染控制和水环境影响减缓措施有效性评价</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 xml:space="preserve">区（流）域水环境质量改善目标 </w:t>
                  </w:r>
                  <w:r>
                    <w:rPr>
                      <w:rFonts w:ascii="Times New Roman" w:hAnsi="Times New Roman"/>
                      <w:color w:val="000000"/>
                      <w:kern w:val="0"/>
                      <w:szCs w:val="21"/>
                    </w:rPr>
                    <w:sym w:font="Wingdings 2" w:char="0052"/>
                  </w:r>
                  <w:r>
                    <w:rPr>
                      <w:rFonts w:ascii="Times New Roman" w:hAnsi="Times New Roman"/>
                      <w:color w:val="000000"/>
                      <w:kern w:val="0"/>
                      <w:szCs w:val="21"/>
                    </w:rPr>
                    <w:t>；替代削减源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水环境影响评价</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排放口混合区外满足水环境管理要求 </w:t>
                  </w:r>
                  <w:r>
                    <w:rPr>
                      <w:rFonts w:ascii="Times New Roman" w:hAnsi="Times New Roman"/>
                      <w:color w:val="000000"/>
                      <w:kern w:val="0"/>
                      <w:szCs w:val="21"/>
                    </w:rPr>
                    <w:sym w:font="Wingdings 2" w:char="0052"/>
                  </w:r>
                </w:p>
                <w:p>
                  <w:pPr>
                    <w:widowControl/>
                    <w:jc w:val="left"/>
                    <w:rPr>
                      <w:rFonts w:ascii="Times New Roman" w:hAnsi="Times New Roman"/>
                      <w:color w:val="000000"/>
                      <w:kern w:val="0"/>
                      <w:szCs w:val="21"/>
                    </w:rPr>
                  </w:pPr>
                  <w:r>
                    <w:rPr>
                      <w:rFonts w:ascii="Times New Roman" w:hAnsi="Times New Roman"/>
                      <w:color w:val="000000"/>
                      <w:kern w:val="0"/>
                      <w:szCs w:val="21"/>
                    </w:rPr>
                    <w:t>水环境功能区或水功能区、近岸海域环境功能区水质达标 □</w:t>
                  </w:r>
                </w:p>
                <w:p>
                  <w:pPr>
                    <w:widowControl/>
                    <w:jc w:val="left"/>
                    <w:rPr>
                      <w:rFonts w:ascii="Times New Roman" w:hAnsi="Times New Roman"/>
                      <w:color w:val="000000"/>
                      <w:kern w:val="0"/>
                      <w:szCs w:val="21"/>
                    </w:rPr>
                  </w:pPr>
                  <w:r>
                    <w:rPr>
                      <w:rFonts w:ascii="Times New Roman" w:hAnsi="Times New Roman"/>
                      <w:color w:val="000000"/>
                      <w:kern w:val="0"/>
                      <w:szCs w:val="21"/>
                    </w:rPr>
                    <w:t>满足水环境保护目标水域水环境质量要求 □</w:t>
                  </w:r>
                </w:p>
                <w:p>
                  <w:pPr>
                    <w:widowControl/>
                    <w:jc w:val="left"/>
                    <w:rPr>
                      <w:rFonts w:ascii="Times New Roman" w:hAnsi="Times New Roman"/>
                      <w:color w:val="000000"/>
                      <w:kern w:val="0"/>
                      <w:szCs w:val="21"/>
                    </w:rPr>
                  </w:pPr>
                  <w:r>
                    <w:rPr>
                      <w:rFonts w:ascii="Times New Roman" w:hAnsi="Times New Roman"/>
                      <w:color w:val="000000"/>
                      <w:kern w:val="0"/>
                      <w:szCs w:val="21"/>
                    </w:rPr>
                    <w:t>水环境控制单元或断面水质达标 □</w:t>
                  </w:r>
                </w:p>
                <w:p>
                  <w:pPr>
                    <w:widowControl/>
                    <w:jc w:val="left"/>
                    <w:rPr>
                      <w:rFonts w:ascii="Times New Roman" w:hAnsi="Times New Roman"/>
                      <w:color w:val="000000"/>
                      <w:kern w:val="0"/>
                      <w:szCs w:val="21"/>
                    </w:rPr>
                  </w:pPr>
                  <w:r>
                    <w:rPr>
                      <w:rFonts w:ascii="Times New Roman" w:hAnsi="Times New Roman"/>
                      <w:color w:val="000000"/>
                      <w:kern w:val="0"/>
                      <w:szCs w:val="21"/>
                    </w:rPr>
                    <w:t>满足重点水污染物排放总量控制指标要求，重点行业建设项目， 主要污染物排放满足等量或减量替代要求 □</w:t>
                  </w:r>
                </w:p>
                <w:p>
                  <w:pPr>
                    <w:widowControl/>
                    <w:jc w:val="left"/>
                    <w:rPr>
                      <w:rFonts w:ascii="Times New Roman" w:hAnsi="Times New Roman"/>
                      <w:color w:val="000000"/>
                      <w:kern w:val="0"/>
                      <w:szCs w:val="21"/>
                    </w:rPr>
                  </w:pPr>
                  <w:r>
                    <w:rPr>
                      <w:rFonts w:ascii="Times New Roman" w:hAnsi="Times New Roman"/>
                      <w:color w:val="000000"/>
                      <w:kern w:val="0"/>
                      <w:szCs w:val="21"/>
                    </w:rPr>
                    <w:t>满足区（流）域水环境质量改善目标要求 □</w:t>
                  </w:r>
                </w:p>
                <w:p>
                  <w:pPr>
                    <w:widowControl/>
                    <w:jc w:val="left"/>
                    <w:rPr>
                      <w:rFonts w:ascii="Times New Roman" w:hAnsi="Times New Roman"/>
                      <w:color w:val="000000"/>
                      <w:kern w:val="0"/>
                      <w:szCs w:val="21"/>
                    </w:rPr>
                  </w:pPr>
                  <w:r>
                    <w:rPr>
                      <w:rFonts w:ascii="Times New Roman" w:hAnsi="Times New Roman"/>
                      <w:color w:val="000000"/>
                      <w:kern w:val="0"/>
                      <w:szCs w:val="21"/>
                    </w:rPr>
                    <w:t>水文要素影响型建设项目同时应包括水文情势变化评价、主要水文特征值影响评价、生态流量符合性评价 □</w:t>
                  </w:r>
                </w:p>
                <w:p>
                  <w:pPr>
                    <w:widowControl/>
                    <w:jc w:val="left"/>
                    <w:rPr>
                      <w:rFonts w:ascii="Times New Roman" w:hAnsi="Times New Roman"/>
                      <w:color w:val="000000"/>
                      <w:kern w:val="0"/>
                      <w:szCs w:val="21"/>
                    </w:rPr>
                  </w:pPr>
                  <w:r>
                    <w:rPr>
                      <w:rFonts w:ascii="Times New Roman" w:hAnsi="Times New Roman"/>
                      <w:color w:val="000000"/>
                      <w:kern w:val="0"/>
                      <w:szCs w:val="21"/>
                    </w:rPr>
                    <w:t>对于新设或调整入河（湖库、近岸海域）排放口的建设项目，应包括排放口设置的环境合理性评价 □</w:t>
                  </w:r>
                </w:p>
                <w:p>
                  <w:pPr>
                    <w:widowControl/>
                    <w:jc w:val="left"/>
                    <w:rPr>
                      <w:rFonts w:ascii="Times New Roman" w:hAnsi="Times New Roman"/>
                      <w:color w:val="000000"/>
                      <w:kern w:val="0"/>
                      <w:szCs w:val="21"/>
                    </w:rPr>
                  </w:pPr>
                  <w:r>
                    <w:rPr>
                      <w:rFonts w:ascii="Times New Roman" w:hAnsi="Times New Roman"/>
                      <w:color w:val="000000"/>
                      <w:kern w:val="0"/>
                      <w:szCs w:val="21"/>
                    </w:rPr>
                    <w:t>满足生态保护红线、水环境质量底线、资源利用上线和环境准入清单管理要求 □</w:t>
                  </w:r>
                </w:p>
              </w:tc>
            </w:tr>
            <w:tr>
              <w:tblPrEx>
                <w:tblCellMar>
                  <w:top w:w="0" w:type="dxa"/>
                  <w:left w:w="108" w:type="dxa"/>
                  <w:bottom w:w="0" w:type="dxa"/>
                  <w:right w:w="108" w:type="dxa"/>
                </w:tblCellMar>
              </w:tblPrEx>
              <w:trPr>
                <w:trHeight w:val="245"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污染源排放量核算</w:t>
                  </w:r>
                </w:p>
              </w:tc>
              <w:tc>
                <w:tcPr>
                  <w:tcW w:w="1950" w:type="dxa"/>
                  <w:gridSpan w:val="2"/>
                  <w:tcBorders>
                    <w:top w:val="single" w:color="000000" w:sz="8" w:space="0"/>
                    <w:left w:val="single" w:color="000000" w:sz="8" w:space="0"/>
                    <w:bottom w:val="single" w:color="auto" w:sz="4"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污染物名称</w:t>
                  </w:r>
                </w:p>
              </w:tc>
              <w:tc>
                <w:tcPr>
                  <w:tcW w:w="2699" w:type="dxa"/>
                  <w:gridSpan w:val="7"/>
                  <w:tcBorders>
                    <w:top w:val="single" w:color="000000" w:sz="8" w:space="0"/>
                    <w:left w:val="single" w:color="auto" w:sz="4" w:space="0"/>
                    <w:bottom w:val="single" w:color="auto" w:sz="4"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排放量/（t/a）</w:t>
                  </w:r>
                </w:p>
              </w:tc>
              <w:tc>
                <w:tcPr>
                  <w:tcW w:w="2150" w:type="dxa"/>
                  <w:gridSpan w:val="3"/>
                  <w:tcBorders>
                    <w:top w:val="single" w:color="000000" w:sz="8" w:space="0"/>
                    <w:left w:val="single" w:color="auto" w:sz="4" w:space="0"/>
                    <w:bottom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排放浓度/（mg/L）</w:t>
                  </w:r>
                </w:p>
              </w:tc>
            </w:tr>
            <w:tr>
              <w:tblPrEx>
                <w:tblCellMar>
                  <w:top w:w="0" w:type="dxa"/>
                  <w:left w:w="108" w:type="dxa"/>
                  <w:bottom w:w="0" w:type="dxa"/>
                  <w:right w:w="108" w:type="dxa"/>
                </w:tblCellMar>
              </w:tblPrEx>
              <w:trPr>
                <w:trHeight w:val="87"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950" w:type="dxa"/>
                  <w:gridSpan w:val="2"/>
                  <w:tcBorders>
                    <w:top w:val="single" w:color="auto" w:sz="4"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c>
                <w:tcPr>
                  <w:tcW w:w="2699" w:type="dxa"/>
                  <w:gridSpan w:val="7"/>
                  <w:tcBorders>
                    <w:top w:val="single" w:color="auto" w:sz="4"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c>
                <w:tcPr>
                  <w:tcW w:w="2150" w:type="dxa"/>
                  <w:gridSpan w:val="3"/>
                  <w:tcBorders>
                    <w:top w:val="single" w:color="auto" w:sz="4"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r>
            <w:tr>
              <w:tblPrEx>
                <w:tblCellMar>
                  <w:top w:w="0" w:type="dxa"/>
                  <w:left w:w="108" w:type="dxa"/>
                  <w:bottom w:w="0" w:type="dxa"/>
                  <w:right w:w="108" w:type="dxa"/>
                </w:tblCellMar>
              </w:tblPrEx>
              <w:trPr>
                <w:trHeight w:val="90"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替代源排放情况</w:t>
                  </w:r>
                </w:p>
              </w:tc>
              <w:tc>
                <w:tcPr>
                  <w:tcW w:w="1435" w:type="dxa"/>
                  <w:tcBorders>
                    <w:top w:val="single" w:color="000000" w:sz="8" w:space="0"/>
                    <w:left w:val="single" w:color="000000" w:sz="8" w:space="0"/>
                    <w:bottom w:val="single" w:color="auto" w:sz="4"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污染源名称</w:t>
                  </w:r>
                </w:p>
              </w:tc>
              <w:tc>
                <w:tcPr>
                  <w:tcW w:w="1420" w:type="dxa"/>
                  <w:gridSpan w:val="4"/>
                  <w:tcBorders>
                    <w:top w:val="single" w:color="000000" w:sz="8" w:space="0"/>
                    <w:left w:val="single" w:color="auto" w:sz="4" w:space="0"/>
                    <w:bottom w:val="single" w:color="auto" w:sz="4"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排污许可证编号</w:t>
                  </w:r>
                </w:p>
              </w:tc>
              <w:tc>
                <w:tcPr>
                  <w:tcW w:w="1326" w:type="dxa"/>
                  <w:gridSpan w:val="2"/>
                  <w:tcBorders>
                    <w:top w:val="single" w:color="000000" w:sz="8" w:space="0"/>
                    <w:left w:val="single" w:color="auto" w:sz="4" w:space="0"/>
                    <w:bottom w:val="single" w:color="auto" w:sz="4"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污染物名称</w:t>
                  </w:r>
                </w:p>
              </w:tc>
              <w:tc>
                <w:tcPr>
                  <w:tcW w:w="1435" w:type="dxa"/>
                  <w:gridSpan w:val="4"/>
                  <w:tcBorders>
                    <w:top w:val="single" w:color="000000" w:sz="8" w:space="0"/>
                    <w:left w:val="single" w:color="auto" w:sz="4" w:space="0"/>
                    <w:bottom w:val="single" w:color="auto" w:sz="4"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排放量/（t/a）</w:t>
                  </w:r>
                </w:p>
              </w:tc>
              <w:tc>
                <w:tcPr>
                  <w:tcW w:w="1183" w:type="dxa"/>
                  <w:tcBorders>
                    <w:top w:val="single" w:color="000000" w:sz="8" w:space="0"/>
                    <w:left w:val="single" w:color="auto" w:sz="4" w:space="0"/>
                    <w:bottom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排放浓度/（mg/L）</w:t>
                  </w:r>
                </w:p>
              </w:tc>
            </w:tr>
            <w:tr>
              <w:tblPrEx>
                <w:tblCellMar>
                  <w:top w:w="0" w:type="dxa"/>
                  <w:left w:w="108" w:type="dxa"/>
                  <w:bottom w:w="0" w:type="dxa"/>
                  <w:right w:w="108" w:type="dxa"/>
                </w:tblCellMar>
              </w:tblPrEx>
              <w:trPr>
                <w:trHeight w:val="228"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1435" w:type="dxa"/>
                  <w:tcBorders>
                    <w:top w:val="single" w:color="auto" w:sz="4"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 xml:space="preserve"> ）</w:t>
                  </w:r>
                </w:p>
              </w:tc>
              <w:tc>
                <w:tcPr>
                  <w:tcW w:w="1420" w:type="dxa"/>
                  <w:gridSpan w:val="4"/>
                  <w:tcBorders>
                    <w:top w:val="single" w:color="auto" w:sz="4"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c>
                <w:tcPr>
                  <w:tcW w:w="1326" w:type="dxa"/>
                  <w:gridSpan w:val="2"/>
                  <w:tcBorders>
                    <w:top w:val="single" w:color="auto" w:sz="4"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c>
                <w:tcPr>
                  <w:tcW w:w="1435" w:type="dxa"/>
                  <w:gridSpan w:val="4"/>
                  <w:tcBorders>
                    <w:top w:val="single" w:color="auto" w:sz="4"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c>
                <w:tcPr>
                  <w:tcW w:w="1183" w:type="dxa"/>
                  <w:tcBorders>
                    <w:top w:val="single" w:color="auto" w:sz="4"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0</w:t>
                  </w:r>
                  <w:r>
                    <w:rPr>
                      <w:rFonts w:ascii="Times New Roman" w:hAnsi="Times New Roman"/>
                      <w:color w:val="000000"/>
                      <w:kern w:val="0"/>
                      <w:szCs w:val="21"/>
                    </w:rPr>
                    <w:t>）</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生态流量确定</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生态流量：一般水期（）m</w:t>
                  </w:r>
                  <w:r>
                    <w:rPr>
                      <w:rFonts w:ascii="Times New Roman" w:hAnsi="Times New Roman"/>
                      <w:color w:val="000000"/>
                      <w:kern w:val="0"/>
                      <w:szCs w:val="21"/>
                      <w:vertAlign w:val="superscript"/>
                    </w:rPr>
                    <w:t>3</w:t>
                  </w:r>
                  <w:r>
                    <w:rPr>
                      <w:rFonts w:ascii="Times New Roman" w:hAnsi="Times New Roman"/>
                      <w:color w:val="000000"/>
                      <w:kern w:val="0"/>
                      <w:szCs w:val="21"/>
                    </w:rPr>
                    <w:t>/s；鱼类繁殖期（ ）m</w:t>
                  </w:r>
                  <w:r>
                    <w:rPr>
                      <w:rFonts w:ascii="Times New Roman" w:hAnsi="Times New Roman"/>
                      <w:color w:val="000000"/>
                      <w:kern w:val="0"/>
                      <w:szCs w:val="21"/>
                      <w:vertAlign w:val="superscript"/>
                    </w:rPr>
                    <w:t>3</w:t>
                  </w:r>
                  <w:r>
                    <w:rPr>
                      <w:rFonts w:ascii="Times New Roman" w:hAnsi="Times New Roman"/>
                      <w:color w:val="000000"/>
                      <w:kern w:val="0"/>
                      <w:szCs w:val="21"/>
                    </w:rPr>
                    <w:t>/s；其他（ ）m</w:t>
                  </w:r>
                  <w:r>
                    <w:rPr>
                      <w:rFonts w:ascii="Times New Roman" w:hAnsi="Times New Roman"/>
                      <w:color w:val="000000"/>
                      <w:kern w:val="0"/>
                      <w:szCs w:val="21"/>
                      <w:vertAlign w:val="superscript"/>
                    </w:rPr>
                    <w:t>3</w:t>
                  </w:r>
                  <w:r>
                    <w:rPr>
                      <w:rFonts w:ascii="Times New Roman" w:hAnsi="Times New Roman"/>
                      <w:color w:val="000000"/>
                      <w:kern w:val="0"/>
                      <w:szCs w:val="21"/>
                    </w:rPr>
                    <w:t>/s</w:t>
                  </w:r>
                </w:p>
                <w:p>
                  <w:pPr>
                    <w:widowControl/>
                    <w:jc w:val="left"/>
                    <w:rPr>
                      <w:rFonts w:ascii="Times New Roman" w:hAnsi="Times New Roman"/>
                      <w:color w:val="000000"/>
                      <w:kern w:val="0"/>
                      <w:szCs w:val="21"/>
                    </w:rPr>
                  </w:pPr>
                  <w:r>
                    <w:rPr>
                      <w:rFonts w:ascii="Times New Roman" w:hAnsi="Times New Roman"/>
                      <w:color w:val="000000"/>
                      <w:kern w:val="0"/>
                      <w:szCs w:val="21"/>
                    </w:rPr>
                    <w:t>生态水位：一般水期（）m；鱼类繁殖期（）m；其他（ ）m</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防</w:t>
                  </w:r>
                </w:p>
                <w:p>
                  <w:pPr>
                    <w:widowControl/>
                    <w:jc w:val="center"/>
                    <w:rPr>
                      <w:rFonts w:ascii="Times New Roman" w:hAnsi="Times New Roman"/>
                      <w:color w:val="000000"/>
                      <w:kern w:val="0"/>
                      <w:szCs w:val="21"/>
                    </w:rPr>
                  </w:pPr>
                  <w:r>
                    <w:rPr>
                      <w:rFonts w:ascii="Times New Roman" w:hAnsi="Times New Roman"/>
                      <w:color w:val="000000"/>
                      <w:kern w:val="0"/>
                      <w:szCs w:val="21"/>
                    </w:rPr>
                    <w:t>治</w:t>
                  </w:r>
                </w:p>
                <w:p>
                  <w:pPr>
                    <w:widowControl/>
                    <w:jc w:val="center"/>
                    <w:rPr>
                      <w:rFonts w:ascii="Times New Roman" w:hAnsi="Times New Roman"/>
                      <w:color w:val="000000"/>
                      <w:kern w:val="0"/>
                      <w:szCs w:val="21"/>
                    </w:rPr>
                  </w:pPr>
                  <w:r>
                    <w:rPr>
                      <w:rFonts w:ascii="Times New Roman" w:hAnsi="Times New Roman"/>
                      <w:color w:val="000000"/>
                      <w:kern w:val="0"/>
                      <w:szCs w:val="21"/>
                    </w:rPr>
                    <w:t>措</w:t>
                  </w:r>
                </w:p>
                <w:p>
                  <w:pPr>
                    <w:widowControl/>
                    <w:jc w:val="center"/>
                    <w:rPr>
                      <w:rFonts w:ascii="Times New Roman" w:hAnsi="Times New Roman"/>
                      <w:color w:val="000000"/>
                      <w:kern w:val="0"/>
                      <w:szCs w:val="21"/>
                    </w:rPr>
                  </w:pPr>
                  <w:r>
                    <w:rPr>
                      <w:rFonts w:ascii="Times New Roman" w:hAnsi="Times New Roman"/>
                      <w:color w:val="000000"/>
                      <w:kern w:val="0"/>
                      <w:szCs w:val="21"/>
                    </w:rPr>
                    <w:t>施</w:t>
                  </w:r>
                </w:p>
              </w:tc>
              <w:tc>
                <w:tcPr>
                  <w:tcW w:w="1592" w:type="dxa"/>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环保措施</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污水处理设施 </w:t>
                  </w:r>
                  <w:r>
                    <w:rPr>
                      <w:rFonts w:ascii="Times New Roman" w:hAnsi="Times New Roman"/>
                      <w:color w:val="000000"/>
                      <w:kern w:val="0"/>
                      <w:szCs w:val="21"/>
                    </w:rPr>
                    <w:sym w:font="Wingdings 2" w:char="0052"/>
                  </w:r>
                  <w:r>
                    <w:rPr>
                      <w:rFonts w:ascii="Times New Roman" w:hAnsi="Times New Roman"/>
                      <w:color w:val="000000"/>
                      <w:kern w:val="0"/>
                      <w:szCs w:val="21"/>
                    </w:rPr>
                    <w:t>；水文减缓设施 □；生态流量保障设施 □；区域削减 □；依托其他工程措施 □；其他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restart"/>
                  <w:tcBorders>
                    <w:top w:val="single" w:color="000000" w:sz="8" w:space="0"/>
                    <w:left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监测计划</w:t>
                  </w: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环境质量</w:t>
                  </w:r>
                </w:p>
              </w:tc>
              <w:tc>
                <w:tcPr>
                  <w:tcW w:w="2431" w:type="dxa"/>
                  <w:gridSpan w:val="4"/>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污染源</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left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监测方式</w:t>
                  </w: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 xml:space="preserve">手动 </w:t>
                  </w:r>
                  <w:r>
                    <w:rPr>
                      <w:rFonts w:ascii="Times New Roman" w:hAnsi="Times New Roman"/>
                      <w:color w:val="000000"/>
                      <w:kern w:val="0"/>
                      <w:szCs w:val="21"/>
                    </w:rPr>
                    <w:sym w:font="Wingdings 2" w:char="00A3"/>
                  </w:r>
                  <w:r>
                    <w:rPr>
                      <w:rFonts w:ascii="Times New Roman" w:hAnsi="Times New Roman"/>
                      <w:color w:val="000000"/>
                      <w:kern w:val="0"/>
                      <w:szCs w:val="21"/>
                    </w:rPr>
                    <w:t xml:space="preserve">；自动 </w:t>
                  </w:r>
                  <w:r>
                    <w:rPr>
                      <w:rFonts w:ascii="Times New Roman" w:hAnsi="Times New Roman"/>
                      <w:color w:val="000000"/>
                      <w:kern w:val="0"/>
                      <w:szCs w:val="21"/>
                    </w:rPr>
                    <w:sym w:font="Wingdings 2" w:char="00A3"/>
                  </w:r>
                  <w:r>
                    <w:rPr>
                      <w:rFonts w:ascii="Times New Roman" w:hAnsi="Times New Roman"/>
                      <w:color w:val="000000"/>
                      <w:kern w:val="0"/>
                      <w:szCs w:val="21"/>
                    </w:rPr>
                    <w:t xml:space="preserve">；无监测 </w:t>
                  </w:r>
                  <w:r>
                    <w:rPr>
                      <w:rFonts w:ascii="Times New Roman" w:hAnsi="Times New Roman"/>
                      <w:color w:val="000000"/>
                      <w:kern w:val="0"/>
                      <w:szCs w:val="21"/>
                    </w:rPr>
                    <w:sym w:font="Wingdings 2" w:char="0052"/>
                  </w:r>
                </w:p>
              </w:tc>
              <w:tc>
                <w:tcPr>
                  <w:tcW w:w="2431" w:type="dxa"/>
                  <w:gridSpan w:val="4"/>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 xml:space="preserve">手动 </w:t>
                  </w:r>
                  <w:r>
                    <w:rPr>
                      <w:rFonts w:ascii="Times New Roman" w:hAnsi="Times New Roman"/>
                      <w:color w:val="000000"/>
                      <w:kern w:val="0"/>
                      <w:szCs w:val="21"/>
                    </w:rPr>
                    <w:sym w:font="Wingdings 2" w:char="0052"/>
                  </w:r>
                  <w:r>
                    <w:rPr>
                      <w:rFonts w:ascii="Times New Roman" w:hAnsi="Times New Roman"/>
                      <w:color w:val="000000"/>
                      <w:kern w:val="0"/>
                      <w:szCs w:val="21"/>
                    </w:rPr>
                    <w:t>；自动 □；无监测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left w:val="single" w:color="auto" w:sz="4"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监测点位</w:t>
                  </w: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p>
              </w:tc>
              <w:tc>
                <w:tcPr>
                  <w:tcW w:w="2431" w:type="dxa"/>
                  <w:gridSpan w:val="4"/>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vMerge w:val="continue"/>
                  <w:tcBorders>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监测因子</w:t>
                  </w: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p>
              </w:tc>
              <w:tc>
                <w:tcPr>
                  <w:tcW w:w="2431" w:type="dxa"/>
                  <w:gridSpan w:val="4"/>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ascii="Times New Roman" w:hAnsi="Times New Roman"/>
                      <w:color w:val="000000"/>
                      <w:szCs w:val="21"/>
                    </w:rPr>
                    <w:t>COD、BOD</w:t>
                  </w:r>
                  <w:r>
                    <w:rPr>
                      <w:rFonts w:ascii="Times New Roman" w:hAnsi="Times New Roman"/>
                      <w:color w:val="000000"/>
                      <w:szCs w:val="21"/>
                      <w:vertAlign w:val="subscript"/>
                    </w:rPr>
                    <w:t>5</w:t>
                  </w:r>
                  <w:r>
                    <w:rPr>
                      <w:rFonts w:ascii="Times New Roman" w:hAnsi="Times New Roman"/>
                      <w:color w:val="000000"/>
                      <w:szCs w:val="21"/>
                    </w:rPr>
                    <w:t>、SS、NH</w:t>
                  </w:r>
                  <w:r>
                    <w:rPr>
                      <w:rFonts w:ascii="Times New Roman" w:hAnsi="Times New Roman"/>
                      <w:color w:val="000000"/>
                      <w:szCs w:val="21"/>
                      <w:vertAlign w:val="subscript"/>
                    </w:rPr>
                    <w:t>3</w:t>
                  </w:r>
                  <w:r>
                    <w:rPr>
                      <w:rFonts w:ascii="Times New Roman" w:hAnsi="Times New Roman"/>
                      <w:color w:val="000000"/>
                      <w:szCs w:val="21"/>
                    </w:rPr>
                    <w:t>-N</w:t>
                  </w:r>
                  <w:r>
                    <w:rPr>
                      <w:rFonts w:hint="eastAsia" w:ascii="Times New Roman" w:hAnsi="Times New Roman"/>
                      <w:color w:val="000000"/>
                      <w:szCs w:val="21"/>
                    </w:rPr>
                    <w:t>、动植物油</w:t>
                  </w:r>
                  <w:r>
                    <w:rPr>
                      <w:rFonts w:ascii="Times New Roman" w:hAnsi="Times New Roman"/>
                      <w:color w:val="000000"/>
                      <w:kern w:val="0"/>
                      <w:szCs w:val="21"/>
                    </w:rPr>
                    <w:t xml:space="preserve">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bottom w:val="single" w:color="000000" w:sz="8" w:space="0"/>
                    <w:right w:val="single" w:color="auto" w:sz="4" w:space="0"/>
                  </w:tcBorders>
                  <w:shd w:val="clear" w:color="auto" w:fill="FFFFFF"/>
                  <w:vAlign w:val="center"/>
                </w:tcPr>
                <w:p>
                  <w:pPr>
                    <w:widowControl/>
                    <w:jc w:val="center"/>
                    <w:rPr>
                      <w:rFonts w:ascii="Times New Roman" w:hAnsi="Times New Roman"/>
                      <w:color w:val="000000"/>
                      <w:kern w:val="0"/>
                      <w:szCs w:val="21"/>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污染物排放清单</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sym w:font="Wingdings 2" w:char="0052"/>
                  </w:r>
                </w:p>
              </w:tc>
            </w:tr>
            <w:tr>
              <w:tblPrEx>
                <w:tblCellMar>
                  <w:top w:w="0" w:type="dxa"/>
                  <w:left w:w="108" w:type="dxa"/>
                  <w:bottom w:w="0" w:type="dxa"/>
                  <w:right w:w="108" w:type="dxa"/>
                </w:tblCellMar>
              </w:tblPrEx>
              <w:trPr>
                <w:trHeight w:val="272" w:hRule="atLeast"/>
                <w:jc w:val="center"/>
              </w:trPr>
              <w:tc>
                <w:tcPr>
                  <w:tcW w:w="204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评价结论</w:t>
                  </w:r>
                </w:p>
              </w:tc>
              <w:tc>
                <w:tcPr>
                  <w:tcW w:w="6799" w:type="dxa"/>
                  <w:gridSpan w:val="12"/>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 xml:space="preserve">可以接受 </w:t>
                  </w:r>
                  <w:r>
                    <w:rPr>
                      <w:rFonts w:ascii="Times New Roman" w:hAnsi="Times New Roman"/>
                      <w:color w:val="000000"/>
                      <w:kern w:val="0"/>
                      <w:szCs w:val="21"/>
                    </w:rPr>
                    <w:sym w:font="Wingdings 2" w:char="0052"/>
                  </w:r>
                  <w:r>
                    <w:rPr>
                      <w:rFonts w:ascii="Times New Roman" w:hAnsi="Times New Roman"/>
                      <w:color w:val="000000"/>
                      <w:kern w:val="0"/>
                      <w:szCs w:val="21"/>
                    </w:rPr>
                    <w:t>；不可以接受 □</w:t>
                  </w:r>
                </w:p>
              </w:tc>
            </w:tr>
            <w:tr>
              <w:tblPrEx>
                <w:tblCellMar>
                  <w:top w:w="0" w:type="dxa"/>
                  <w:left w:w="108" w:type="dxa"/>
                  <w:bottom w:w="0" w:type="dxa"/>
                  <w:right w:w="108" w:type="dxa"/>
                </w:tblCellMar>
              </w:tblPrEx>
              <w:trPr>
                <w:trHeight w:val="247" w:hRule="atLeast"/>
                <w:jc w:val="center"/>
              </w:trPr>
              <w:tc>
                <w:tcPr>
                  <w:tcW w:w="8844" w:type="dxa"/>
                  <w:gridSpan w:val="14"/>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注：“□”为勾选项，可√；“（ ）”为内容填写项；“备注”为其他补充内容</w:t>
                  </w:r>
                </w:p>
              </w:tc>
            </w:tr>
          </w:tbl>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2"/>
              </w:rPr>
            </w:pPr>
          </w:p>
          <w:p>
            <w:pPr>
              <w:spacing w:line="360" w:lineRule="auto"/>
              <w:ind w:firstLine="480" w:firstLineChars="200"/>
              <w:rPr>
                <w:rFonts w:ascii="Times New Roman" w:hAnsi="Times New Roman"/>
                <w:color w:val="000000"/>
                <w:sz w:val="24"/>
                <w:szCs w:val="22"/>
              </w:rPr>
            </w:pPr>
          </w:p>
          <w:p>
            <w:pPr>
              <w:spacing w:line="360" w:lineRule="auto"/>
              <w:ind w:firstLine="480" w:firstLineChars="200"/>
              <w:rPr>
                <w:rFonts w:ascii="Times New Roman" w:hAnsi="Times New Roman"/>
                <w:color w:val="000000"/>
                <w:sz w:val="24"/>
                <w:szCs w:val="22"/>
              </w:rPr>
            </w:pPr>
          </w:p>
          <w:p>
            <w:pPr>
              <w:spacing w:line="360" w:lineRule="auto"/>
              <w:ind w:firstLine="480" w:firstLineChars="200"/>
              <w:rPr>
                <w:rFonts w:ascii="Times New Roman" w:hAnsi="Times New Roman"/>
                <w:color w:val="000000"/>
                <w:sz w:val="24"/>
                <w:szCs w:val="22"/>
              </w:rPr>
            </w:pPr>
          </w:p>
          <w:p>
            <w:pPr>
              <w:spacing w:line="360" w:lineRule="auto"/>
              <w:ind w:firstLine="480" w:firstLineChars="200"/>
              <w:rPr>
                <w:rFonts w:ascii="Times New Roman" w:hAnsi="Times New Roman"/>
                <w:color w:val="000000"/>
                <w:sz w:val="24"/>
                <w:szCs w:val="22"/>
              </w:rPr>
            </w:pPr>
          </w:p>
          <w:p>
            <w:pPr>
              <w:spacing w:line="360" w:lineRule="auto"/>
              <w:ind w:firstLine="480" w:firstLineChars="200"/>
              <w:rPr>
                <w:rFonts w:hint="eastAsia" w:ascii="Times New Roman" w:hAnsi="Times New Roman" w:eastAsia="宋体" w:cs="Times New Roman"/>
                <w:color w:val="000000"/>
                <w:sz w:val="24"/>
                <w:szCs w:val="22"/>
              </w:rPr>
            </w:pPr>
            <w:r>
              <w:rPr>
                <w:rFonts w:hint="eastAsia" w:ascii="Times New Roman" w:hAnsi="Times New Roman" w:eastAsia="宋体" w:cs="Times New Roman"/>
                <w:color w:val="000000"/>
                <w:sz w:val="24"/>
                <w:szCs w:val="22"/>
              </w:rPr>
              <w:t>二、大气环境影响分析</w:t>
            </w:r>
          </w:p>
          <w:p>
            <w:pPr>
              <w:spacing w:line="360" w:lineRule="auto"/>
              <w:ind w:firstLine="480" w:firstLineChars="200"/>
              <w:rPr>
                <w:rFonts w:hint="default" w:ascii="Times New Roman" w:hAnsi="Times New Roman" w:eastAsia="宋体" w:cs="Times New Roman"/>
                <w:color w:val="000000"/>
                <w:sz w:val="24"/>
                <w:szCs w:val="22"/>
              </w:rPr>
            </w:pPr>
            <w:bookmarkStart w:id="6" w:name="_Toc401754141"/>
            <w:bookmarkStart w:id="7" w:name="_Toc14365"/>
            <w:bookmarkStart w:id="8" w:name="_Toc234318280"/>
            <w:r>
              <w:rPr>
                <w:rFonts w:hint="default" w:ascii="Times New Roman" w:hAnsi="Times New Roman" w:eastAsia="宋体" w:cs="Times New Roman"/>
                <w:color w:val="000000"/>
                <w:sz w:val="24"/>
                <w:szCs w:val="22"/>
              </w:rPr>
              <w:t>1、预测模式</w:t>
            </w:r>
            <w:bookmarkEnd w:id="6"/>
            <w:bookmarkEnd w:id="7"/>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根据工程分析内容，本次环评筛选出的评价因子为</w:t>
            </w:r>
            <w:r>
              <w:rPr>
                <w:rFonts w:hint="eastAsia" w:ascii="Times New Roman" w:hAnsi="Times New Roman" w:eastAsia="宋体" w:cs="Times New Roman"/>
                <w:color w:val="000000"/>
                <w:sz w:val="24"/>
                <w:szCs w:val="22"/>
                <w:lang w:val="en-US" w:eastAsia="zh-CN"/>
              </w:rPr>
              <w:t>非甲烷总烃</w:t>
            </w:r>
            <w:r>
              <w:rPr>
                <w:rFonts w:hint="default" w:ascii="Times New Roman" w:hAnsi="Times New Roman" w:eastAsia="宋体" w:cs="Times New Roman"/>
                <w:color w:val="000000"/>
                <w:sz w:val="24"/>
                <w:szCs w:val="22"/>
              </w:rPr>
              <w:t>。本次预测废气排放的最大落地浓度及其距离</w:t>
            </w:r>
            <w:r>
              <w:rPr>
                <w:rFonts w:hint="default" w:ascii="Times New Roman" w:hAnsi="Times New Roman" w:eastAsia="宋体" w:cs="Times New Roman"/>
                <w:color w:val="000000"/>
                <w:sz w:val="24"/>
                <w:szCs w:val="22"/>
                <w:lang w:eastAsia="zh-CN"/>
              </w:rPr>
              <w:t>、</w:t>
            </w:r>
            <w:r>
              <w:rPr>
                <w:rFonts w:hint="default" w:ascii="Times New Roman" w:hAnsi="Times New Roman" w:eastAsia="宋体" w:cs="Times New Roman"/>
                <w:color w:val="000000"/>
                <w:sz w:val="24"/>
                <w:szCs w:val="22"/>
                <w:lang w:val="en-US" w:eastAsia="zh-CN"/>
              </w:rPr>
              <w:t>环境防护距离</w:t>
            </w:r>
            <w:r>
              <w:rPr>
                <w:rFonts w:hint="default" w:ascii="Times New Roman" w:hAnsi="Times New Roman" w:eastAsia="宋体" w:cs="Times New Roman"/>
                <w:color w:val="000000"/>
                <w:sz w:val="24"/>
                <w:szCs w:val="22"/>
              </w:rPr>
              <w:t>等。</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①预测模式</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本项目采用《环境影响评价技术导则-大气环境》(HJ2.2-2018)推荐的估算模式系统进行预测。根据《环境影响评价技术导则-大气环境》（HJ2.2-2018），选择推荐模式中的估算模式，结合工程分析结果，计算各污染物的最大影响程度和影响范围。</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估算模式是一种单源预测模式，可计算点源、面源和体源等污染源的最大地面浓度，以及建筑物下洗和熏烟等特殊条件下的最大地面浓度，估算模式中嵌入了多种预设的气象组合条件，包括一些最不利的气象条件，此类气象条件在某个地区有可能发生，也有可能不发生。经估算模式计算出的最大地面浓度大于进一步预测模式的计算结果。对于小于1小时的短期非正常排放，可采用估算模式进行预测。</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②污染源强</w:t>
            </w:r>
          </w:p>
          <w:p>
            <w:pPr>
              <w:spacing w:line="360" w:lineRule="auto"/>
              <w:ind w:firstLine="480" w:firstLineChars="200"/>
              <w:rPr>
                <w:rFonts w:hint="default" w:ascii="Times New Roman" w:hAnsi="Times New Roman" w:eastAsia="宋体" w:cs="Times New Roman"/>
                <w:color w:val="000000"/>
                <w:sz w:val="24"/>
                <w:szCs w:val="22"/>
                <w:lang w:val="zh-CN"/>
              </w:rPr>
            </w:pPr>
            <w:r>
              <w:rPr>
                <w:rFonts w:hint="default" w:ascii="Times New Roman" w:hAnsi="Times New Roman" w:eastAsia="宋体" w:cs="Times New Roman"/>
                <w:color w:val="000000"/>
                <w:sz w:val="24"/>
                <w:szCs w:val="22"/>
                <w:lang w:val="zh-CN"/>
              </w:rPr>
              <w:t>根据工程分析，本项目排放的废气主要来自</w:t>
            </w:r>
            <w:r>
              <w:rPr>
                <w:rFonts w:hint="eastAsia" w:ascii="Times New Roman" w:hAnsi="Times New Roman" w:eastAsia="宋体" w:cs="Times New Roman"/>
                <w:color w:val="000000"/>
                <w:sz w:val="24"/>
                <w:szCs w:val="22"/>
                <w:lang w:val="en-US" w:eastAsia="zh-CN"/>
              </w:rPr>
              <w:t>站场</w:t>
            </w:r>
            <w:r>
              <w:rPr>
                <w:rFonts w:hint="default" w:ascii="Times New Roman" w:hAnsi="Times New Roman" w:eastAsia="宋体" w:cs="Times New Roman"/>
                <w:color w:val="000000"/>
                <w:sz w:val="24"/>
                <w:szCs w:val="22"/>
                <w:lang w:val="zh-CN"/>
              </w:rPr>
              <w:t>无组织排放</w:t>
            </w:r>
            <w:r>
              <w:rPr>
                <w:rFonts w:hint="eastAsia" w:ascii="Times New Roman" w:hAnsi="Times New Roman" w:eastAsia="宋体" w:cs="Times New Roman"/>
                <w:color w:val="000000"/>
                <w:sz w:val="24"/>
                <w:szCs w:val="22"/>
                <w:lang w:val="en-US" w:eastAsia="zh-CN"/>
              </w:rPr>
              <w:t>的非甲烷总烃</w:t>
            </w:r>
            <w:r>
              <w:rPr>
                <w:rFonts w:hint="default" w:ascii="Times New Roman" w:hAnsi="Times New Roman" w:eastAsia="宋体" w:cs="Times New Roman"/>
                <w:color w:val="000000"/>
                <w:sz w:val="24"/>
                <w:szCs w:val="22"/>
                <w:lang w:val="zh-CN"/>
              </w:rPr>
              <w:t>，排放参数见下表。</w:t>
            </w:r>
          </w:p>
          <w:p>
            <w:pPr>
              <w:spacing w:line="36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表7-</w:t>
            </w:r>
            <w:r>
              <w:rPr>
                <w:rFonts w:hint="default" w:ascii="Times New Roman" w:hAnsi="Times New Roman" w:cs="Times New Roman"/>
                <w:b/>
                <w:color w:val="auto"/>
                <w:sz w:val="24"/>
                <w:lang w:val="en-US" w:eastAsia="zh-CN"/>
              </w:rPr>
              <w:t>1</w:t>
            </w:r>
            <w:r>
              <w:rPr>
                <w:rFonts w:hint="eastAsia" w:ascii="Times New Roman" w:hAnsi="Times New Roman" w:cs="Times New Roman"/>
                <w:b/>
                <w:color w:val="auto"/>
                <w:sz w:val="24"/>
                <w:lang w:val="en-US" w:eastAsia="zh-CN"/>
              </w:rPr>
              <w:t>1</w:t>
            </w:r>
            <w:r>
              <w:rPr>
                <w:rFonts w:hint="default" w:ascii="Times New Roman" w:hAnsi="Times New Roman" w:cs="Times New Roman"/>
                <w:b/>
                <w:color w:val="auto"/>
                <w:sz w:val="24"/>
              </w:rPr>
              <w:t xml:space="preserve">  </w:t>
            </w:r>
            <w:r>
              <w:rPr>
                <w:rFonts w:hint="default" w:ascii="Times New Roman" w:hAnsi="Times New Roman" w:cs="Times New Roman"/>
                <w:b/>
                <w:bCs/>
                <w:color w:val="auto"/>
                <w:sz w:val="24"/>
                <w:szCs w:val="24"/>
              </w:rPr>
              <w:t>项目无组织排放源及废气排放情况一览表</w:t>
            </w:r>
          </w:p>
          <w:tbl>
            <w:tblPr>
              <w:tblStyle w:val="32"/>
              <w:tblW w:w="9071" w:type="dxa"/>
              <w:jc w:val="center"/>
              <w:tblLayout w:type="fixed"/>
              <w:tblCellMar>
                <w:top w:w="0" w:type="dxa"/>
                <w:left w:w="108" w:type="dxa"/>
                <w:bottom w:w="0" w:type="dxa"/>
                <w:right w:w="108" w:type="dxa"/>
              </w:tblCellMar>
            </w:tblPr>
            <w:tblGrid>
              <w:gridCol w:w="556"/>
              <w:gridCol w:w="684"/>
              <w:gridCol w:w="655"/>
              <w:gridCol w:w="692"/>
              <w:gridCol w:w="739"/>
              <w:gridCol w:w="698"/>
              <w:gridCol w:w="593"/>
              <w:gridCol w:w="824"/>
              <w:gridCol w:w="765"/>
              <w:gridCol w:w="727"/>
              <w:gridCol w:w="573"/>
              <w:gridCol w:w="727"/>
              <w:gridCol w:w="838"/>
            </w:tblGrid>
            <w:tr>
              <w:tblPrEx>
                <w:tblCellMar>
                  <w:top w:w="0" w:type="dxa"/>
                  <w:left w:w="108" w:type="dxa"/>
                  <w:bottom w:w="0" w:type="dxa"/>
                  <w:right w:w="108" w:type="dxa"/>
                </w:tblCellMar>
              </w:tblPrEx>
              <w:trPr>
                <w:trHeight w:val="660" w:hRule="atLeast"/>
                <w:jc w:val="center"/>
              </w:trPr>
              <w:tc>
                <w:tcPr>
                  <w:tcW w:w="556"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编号</w:t>
                  </w:r>
                </w:p>
              </w:tc>
              <w:tc>
                <w:tcPr>
                  <w:tcW w:w="684"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134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面源起点坐标</w:t>
                  </w:r>
                </w:p>
              </w:tc>
              <w:tc>
                <w:tcPr>
                  <w:tcW w:w="739"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面源海拔高度/m</w:t>
                  </w:r>
                </w:p>
              </w:tc>
              <w:tc>
                <w:tcPr>
                  <w:tcW w:w="698"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w:t>
                  </w:r>
                </w:p>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长度/m</w:t>
                  </w:r>
                </w:p>
              </w:tc>
              <w:tc>
                <w:tcPr>
                  <w:tcW w:w="593"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面源宽度/m</w:t>
                  </w:r>
                </w:p>
              </w:tc>
              <w:tc>
                <w:tcPr>
                  <w:tcW w:w="824"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与正北向夹角/°</w:t>
                  </w:r>
                </w:p>
              </w:tc>
              <w:tc>
                <w:tcPr>
                  <w:tcW w:w="765"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面源有效排放高度/m</w:t>
                  </w:r>
                </w:p>
              </w:tc>
              <w:tc>
                <w:tcPr>
                  <w:tcW w:w="727"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年排放小时数/h</w:t>
                  </w:r>
                </w:p>
              </w:tc>
              <w:tc>
                <w:tcPr>
                  <w:tcW w:w="573"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w:t>
                  </w:r>
                </w:p>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工况</w:t>
                  </w:r>
                </w:p>
              </w:tc>
              <w:tc>
                <w:tcPr>
                  <w:tcW w:w="15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污染物排放速率（kg/h）</w:t>
                  </w:r>
                </w:p>
              </w:tc>
            </w:tr>
            <w:tr>
              <w:tblPrEx>
                <w:tblCellMar>
                  <w:top w:w="0" w:type="dxa"/>
                  <w:left w:w="108" w:type="dxa"/>
                  <w:bottom w:w="0" w:type="dxa"/>
                  <w:right w:w="108" w:type="dxa"/>
                </w:tblCellMar>
              </w:tblPrEx>
              <w:trPr>
                <w:trHeight w:val="80" w:hRule="atLeast"/>
                <w:jc w:val="center"/>
              </w:trPr>
              <w:tc>
                <w:tcPr>
                  <w:tcW w:w="556"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b/>
                      <w:color w:val="auto"/>
                      <w:szCs w:val="21"/>
                    </w:rPr>
                  </w:pPr>
                </w:p>
              </w:tc>
              <w:tc>
                <w:tcPr>
                  <w:tcW w:w="684"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b/>
                      <w:color w:val="auto"/>
                      <w:szCs w:val="21"/>
                    </w:rPr>
                  </w:pPr>
                </w:p>
              </w:tc>
              <w:tc>
                <w:tcPr>
                  <w:tcW w:w="655" w:type="dxa"/>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X</w:t>
                  </w:r>
                </w:p>
              </w:tc>
              <w:tc>
                <w:tcPr>
                  <w:tcW w:w="692" w:type="dxa"/>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Y</w:t>
                  </w:r>
                </w:p>
              </w:tc>
              <w:tc>
                <w:tcPr>
                  <w:tcW w:w="739"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698"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59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765"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727"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57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c>
                <w:tcPr>
                  <w:tcW w:w="15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color w:val="auto"/>
                      <w:szCs w:val="21"/>
                    </w:rPr>
                  </w:pPr>
                </w:p>
              </w:tc>
            </w:tr>
            <w:tr>
              <w:tblPrEx>
                <w:tblCellMar>
                  <w:top w:w="0" w:type="dxa"/>
                  <w:left w:w="108" w:type="dxa"/>
                  <w:bottom w:w="0" w:type="dxa"/>
                  <w:right w:w="108" w:type="dxa"/>
                </w:tblCellMar>
              </w:tblPrEx>
              <w:trPr>
                <w:trHeight w:val="526" w:hRule="atLeast"/>
                <w:jc w:val="center"/>
              </w:trPr>
              <w:tc>
                <w:tcPr>
                  <w:tcW w:w="556"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84"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高安站</w:t>
                  </w:r>
                </w:p>
              </w:tc>
              <w:tc>
                <w:tcPr>
                  <w:tcW w:w="655"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ind w:left="-42" w:leftChars="-20" w:right="-42" w:rightChars="-2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118.106364504</w:t>
                  </w:r>
                </w:p>
              </w:tc>
              <w:tc>
                <w:tcPr>
                  <w:tcW w:w="692"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31.211982576</w:t>
                  </w:r>
                </w:p>
              </w:tc>
              <w:tc>
                <w:tcPr>
                  <w:tcW w:w="739"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9.49</w:t>
                  </w:r>
                </w:p>
              </w:tc>
              <w:tc>
                <w:tcPr>
                  <w:tcW w:w="698"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r>
                    <w:rPr>
                      <w:rFonts w:hint="eastAsia" w:ascii="Times New Roman" w:hAnsi="Times New Roman" w:cs="Times New Roman"/>
                      <w:color w:val="auto"/>
                      <w:szCs w:val="21"/>
                      <w:lang w:val="en-US" w:eastAsia="zh-CN"/>
                    </w:rPr>
                    <w:t>25</w:t>
                  </w:r>
                </w:p>
              </w:tc>
              <w:tc>
                <w:tcPr>
                  <w:tcW w:w="593" w:type="dxa"/>
                  <w:tcBorders>
                    <w:top w:val="single" w:color="auto" w:sz="4" w:space="0"/>
                    <w:left w:val="single" w:color="auto" w:sz="4" w:space="0"/>
                    <w:right w:val="single" w:color="auto" w:sz="4" w:space="0"/>
                  </w:tcBorders>
                  <w:noWrap w:val="0"/>
                  <w:vAlign w:val="center"/>
                </w:tcPr>
                <w:p>
                  <w:pPr>
                    <w:pStyle w:val="59"/>
                    <w:autoSpaceDE w:val="0"/>
                    <w:autoSpaceDN w:val="0"/>
                    <w:adjustRightInd w:val="0"/>
                    <w:spacing w:line="320" w:lineRule="exac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66</w:t>
                  </w:r>
                </w:p>
              </w:tc>
              <w:tc>
                <w:tcPr>
                  <w:tcW w:w="824" w:type="dxa"/>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76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w:t>
                  </w:r>
                </w:p>
              </w:tc>
              <w:tc>
                <w:tcPr>
                  <w:tcW w:w="727" w:type="dxa"/>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876</w:t>
                  </w:r>
                  <w:r>
                    <w:rPr>
                      <w:rFonts w:hint="default" w:ascii="Times New Roman" w:hAnsi="Times New Roman" w:cs="Times New Roman"/>
                      <w:color w:val="auto"/>
                      <w:szCs w:val="21"/>
                    </w:rPr>
                    <w:t>0</w:t>
                  </w:r>
                </w:p>
              </w:tc>
              <w:tc>
                <w:tcPr>
                  <w:tcW w:w="57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正常</w:t>
                  </w:r>
                </w:p>
              </w:tc>
              <w:tc>
                <w:tcPr>
                  <w:tcW w:w="72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非甲烷总烃</w:t>
                  </w:r>
                </w:p>
              </w:tc>
              <w:tc>
                <w:tcPr>
                  <w:tcW w:w="8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rPr>
                  </w:pPr>
                  <w:r>
                    <w:rPr>
                      <w:rFonts w:hint="default" w:ascii="Times New Roman" w:hAnsi="Times New Roman" w:eastAsia="等线" w:cs="Times New Roman"/>
                      <w:i w:val="0"/>
                      <w:color w:val="auto"/>
                      <w:kern w:val="0"/>
                      <w:sz w:val="21"/>
                      <w:szCs w:val="21"/>
                      <w:u w:val="none"/>
                      <w:lang w:val="en-US" w:eastAsia="zh-CN" w:bidi="ar"/>
                    </w:rPr>
                    <w:t>0.</w:t>
                  </w:r>
                  <w:r>
                    <w:rPr>
                      <w:rFonts w:hint="eastAsia" w:ascii="Times New Roman" w:hAnsi="Times New Roman" w:eastAsia="等线" w:cs="Times New Roman"/>
                      <w:i w:val="0"/>
                      <w:color w:val="auto"/>
                      <w:kern w:val="0"/>
                      <w:sz w:val="21"/>
                      <w:szCs w:val="21"/>
                      <w:u w:val="none"/>
                      <w:lang w:val="en-US" w:eastAsia="zh-CN" w:bidi="ar"/>
                    </w:rPr>
                    <w:t>007</w:t>
                  </w:r>
                </w:p>
              </w:tc>
            </w:tr>
            <w:tr>
              <w:tblPrEx>
                <w:tblCellMar>
                  <w:top w:w="0" w:type="dxa"/>
                  <w:left w:w="108" w:type="dxa"/>
                  <w:bottom w:w="0" w:type="dxa"/>
                  <w:right w:w="108" w:type="dxa"/>
                </w:tblCellMar>
              </w:tblPrEx>
              <w:trPr>
                <w:trHeight w:val="454"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w:t>
                  </w:r>
                </w:p>
              </w:tc>
              <w:tc>
                <w:tcPr>
                  <w:tcW w:w="68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横山站</w:t>
                  </w:r>
                </w:p>
              </w:tc>
              <w:tc>
                <w:tcPr>
                  <w:tcW w:w="6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42" w:leftChars="-20" w:right="-42" w:rightChars="-20"/>
                    <w:jc w:val="center"/>
                    <w:rPr>
                      <w:rFonts w:hint="default" w:ascii="Times New Roman" w:hAnsi="Times New Roman" w:cs="Times New Roman"/>
                      <w:color w:val="auto"/>
                      <w:szCs w:val="21"/>
                    </w:rPr>
                  </w:pPr>
                  <w:r>
                    <w:rPr>
                      <w:rFonts w:hint="default" w:ascii="Times New Roman" w:hAnsi="Times New Roman" w:cs="Times New Roman"/>
                      <w:color w:val="auto"/>
                      <w:szCs w:val="21"/>
                    </w:rPr>
                    <w:t>118.154858843</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31.201854555</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7.67</w:t>
                  </w:r>
                </w:p>
              </w:tc>
              <w:tc>
                <w:tcPr>
                  <w:tcW w:w="69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98</w:t>
                  </w:r>
                </w:p>
              </w:tc>
              <w:tc>
                <w:tcPr>
                  <w:tcW w:w="593" w:type="dxa"/>
                  <w:tcBorders>
                    <w:top w:val="single" w:color="auto" w:sz="4" w:space="0"/>
                    <w:left w:val="single" w:color="auto" w:sz="4" w:space="0"/>
                    <w:bottom w:val="single" w:color="auto" w:sz="4" w:space="0"/>
                    <w:right w:val="single" w:color="auto" w:sz="4" w:space="0"/>
                  </w:tcBorders>
                  <w:noWrap w:val="0"/>
                  <w:vAlign w:val="center"/>
                </w:tcPr>
                <w:p>
                  <w:pPr>
                    <w:pStyle w:val="59"/>
                    <w:autoSpaceDE w:val="0"/>
                    <w:autoSpaceDN w:val="0"/>
                    <w:adjustRightInd w:val="0"/>
                    <w:spacing w:line="320" w:lineRule="exact"/>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84</w:t>
                  </w:r>
                </w:p>
              </w:tc>
              <w:tc>
                <w:tcPr>
                  <w:tcW w:w="8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w:t>
                  </w:r>
                </w:p>
              </w:tc>
              <w:tc>
                <w:tcPr>
                  <w:tcW w:w="76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w:t>
                  </w:r>
                </w:p>
              </w:tc>
              <w:tc>
                <w:tcPr>
                  <w:tcW w:w="727" w:type="dxa"/>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8760</w:t>
                  </w:r>
                </w:p>
              </w:tc>
              <w:tc>
                <w:tcPr>
                  <w:tcW w:w="57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正常</w:t>
                  </w:r>
                </w:p>
              </w:tc>
              <w:tc>
                <w:tcPr>
                  <w:tcW w:w="72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非甲烷总烃</w:t>
                  </w:r>
                </w:p>
              </w:tc>
              <w:tc>
                <w:tcPr>
                  <w:tcW w:w="8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0.</w:t>
                  </w:r>
                  <w:r>
                    <w:rPr>
                      <w:rFonts w:hint="eastAsia" w:ascii="Times New Roman" w:hAnsi="Times New Roman" w:eastAsia="等线" w:cs="Times New Roman"/>
                      <w:i w:val="0"/>
                      <w:color w:val="auto"/>
                      <w:kern w:val="0"/>
                      <w:sz w:val="21"/>
                      <w:szCs w:val="21"/>
                      <w:u w:val="none"/>
                      <w:lang w:val="en-US" w:eastAsia="zh-CN" w:bidi="ar"/>
                    </w:rPr>
                    <w:t>007</w:t>
                  </w:r>
                </w:p>
              </w:tc>
            </w:tr>
          </w:tbl>
          <w:p>
            <w:pPr>
              <w:spacing w:line="360" w:lineRule="auto"/>
              <w:jc w:val="center"/>
              <w:rPr>
                <w:rFonts w:hint="default" w:ascii="Times New Roman" w:hAnsi="Times New Roman" w:eastAsia="宋体" w:cs="Times New Roman"/>
                <w:b/>
                <w:color w:val="000000"/>
                <w:sz w:val="24"/>
                <w:szCs w:val="24"/>
              </w:rPr>
            </w:pP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2"/>
              </w:rPr>
              <w:t>③</w:t>
            </w:r>
            <w:r>
              <w:rPr>
                <w:rFonts w:hint="default" w:ascii="Times New Roman" w:hAnsi="Times New Roman" w:cs="Times New Roman"/>
                <w:sz w:val="24"/>
                <w:szCs w:val="24"/>
              </w:rPr>
              <w:t>预测模型参数</w:t>
            </w:r>
          </w:p>
          <w:p>
            <w:pPr>
              <w:spacing w:line="360" w:lineRule="auto"/>
              <w:jc w:val="center"/>
              <w:rPr>
                <w:rFonts w:hint="default" w:ascii="Times New Roman" w:hAnsi="Times New Roman" w:cs="Times New Roman"/>
                <w:b/>
                <w:bCs/>
                <w:sz w:val="24"/>
                <w:szCs w:val="24"/>
              </w:rPr>
            </w:pPr>
          </w:p>
          <w:p>
            <w:pPr>
              <w:spacing w:line="360" w:lineRule="auto"/>
              <w:jc w:val="center"/>
              <w:rPr>
                <w:rFonts w:hint="default" w:ascii="Times New Roman" w:hAnsi="Times New Roman" w:cs="Times New Roman"/>
                <w:b/>
                <w:bCs/>
                <w:sz w:val="24"/>
                <w:szCs w:val="24"/>
              </w:rPr>
            </w:pPr>
          </w:p>
          <w:p>
            <w:pPr>
              <w:spacing w:line="360" w:lineRule="auto"/>
              <w:jc w:val="center"/>
              <w:rPr>
                <w:rFonts w:hint="default" w:ascii="Times New Roman" w:hAnsi="Times New Roman" w:cs="Times New Roman"/>
                <w:b/>
                <w:bCs/>
                <w:sz w:val="24"/>
                <w:szCs w:val="24"/>
              </w:rPr>
            </w:pPr>
          </w:p>
          <w:p>
            <w:pPr>
              <w:spacing w:line="360" w:lineRule="auto"/>
              <w:jc w:val="center"/>
              <w:rPr>
                <w:rFonts w:hint="default" w:ascii="Times New Roman" w:hAnsi="Times New Roman" w:cs="Times New Roman"/>
                <w:b/>
                <w:bCs/>
                <w:sz w:val="24"/>
                <w:szCs w:val="24"/>
              </w:rPr>
            </w:pPr>
          </w:p>
          <w:p>
            <w:pPr>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表7-</w:t>
            </w: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rPr>
              <w:t xml:space="preserve">  估算模型参数表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03"/>
              <w:gridCol w:w="107"/>
              <w:gridCol w:w="3230"/>
              <w:gridCol w:w="29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5540" w:type="dxa"/>
                  <w:gridSpan w:val="3"/>
                  <w:tcBorders>
                    <w:bottom w:val="single" w:color="auto" w:sz="4" w:space="0"/>
                  </w:tcBorders>
                  <w:noWrap w:val="0"/>
                  <w:vAlign w:val="center"/>
                </w:tcPr>
                <w:p>
                  <w:pPr>
                    <w:pStyle w:val="54"/>
                    <w:rPr>
                      <w:rFonts w:hint="default" w:ascii="Times New Roman" w:hAnsi="Times New Roman" w:cs="Times New Roman"/>
                      <w:b/>
                      <w:bCs/>
                    </w:rPr>
                  </w:pPr>
                  <w:r>
                    <w:rPr>
                      <w:rFonts w:hint="default" w:ascii="Times New Roman" w:hAnsi="Times New Roman" w:cs="Times New Roman"/>
                      <w:b/>
                      <w:bCs/>
                    </w:rPr>
                    <w:t>参数</w:t>
                  </w:r>
                </w:p>
              </w:tc>
              <w:tc>
                <w:tcPr>
                  <w:tcW w:w="2964" w:type="dxa"/>
                  <w:noWrap w:val="0"/>
                  <w:vAlign w:val="center"/>
                </w:tcPr>
                <w:p>
                  <w:pPr>
                    <w:pStyle w:val="54"/>
                    <w:rPr>
                      <w:rFonts w:hint="default" w:ascii="Times New Roman" w:hAnsi="Times New Roman" w:cs="Times New Roman"/>
                      <w:b/>
                      <w:bCs/>
                    </w:rPr>
                  </w:pPr>
                  <w:r>
                    <w:rPr>
                      <w:rFonts w:hint="default" w:ascii="Times New Roman" w:hAnsi="Times New Roman" w:cs="Times New Roman"/>
                      <w:b/>
                      <w:bCs/>
                    </w:rPr>
                    <w:t>取值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2203" w:type="dxa"/>
                  <w:vMerge w:val="restart"/>
                  <w:tcBorders>
                    <w:top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城市/农村选项</w:t>
                  </w:r>
                </w:p>
              </w:tc>
              <w:tc>
                <w:tcPr>
                  <w:tcW w:w="3337" w:type="dxa"/>
                  <w:gridSpan w:val="2"/>
                  <w:tcBorders>
                    <w:top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城市/农村</w:t>
                  </w:r>
                </w:p>
              </w:tc>
              <w:tc>
                <w:tcPr>
                  <w:tcW w:w="2964" w:type="dxa"/>
                  <w:tcBorders>
                    <w:top w:val="single" w:color="auto" w:sz="4" w:space="0"/>
                    <w:bottom w:val="single" w:color="auto" w:sz="4" w:space="0"/>
                  </w:tcBorders>
                  <w:noWrap w:val="0"/>
                  <w:vAlign w:val="center"/>
                </w:tcPr>
                <w:p>
                  <w:pPr>
                    <w:pStyle w:val="155"/>
                    <w:ind w:firstLine="0" w:firstLineChars="0"/>
                    <w:jc w:val="center"/>
                    <w:rPr>
                      <w:rFonts w:hint="default" w:ascii="Times New Roman" w:hAnsi="Times New Roman" w:eastAsia="宋体" w:cs="Times New Roman"/>
                      <w:lang w:eastAsia="zh-CN"/>
                    </w:rPr>
                  </w:pPr>
                  <w:r>
                    <w:rPr>
                      <w:rFonts w:hint="eastAsia" w:ascii="Times New Roman" w:hAnsi="Times New Roman" w:eastAsia="宋体" w:cs="Times New Roman"/>
                      <w:color w:val="auto"/>
                      <w:lang w:val="en-US" w:eastAsia="zh-CN"/>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203" w:type="dxa"/>
                  <w:vMerge w:val="continue"/>
                  <w:noWrap w:val="0"/>
                  <w:vAlign w:val="center"/>
                </w:tcPr>
                <w:p>
                  <w:pPr>
                    <w:pStyle w:val="54"/>
                    <w:rPr>
                      <w:rFonts w:hint="default" w:ascii="Times New Roman" w:hAnsi="Times New Roman" w:cs="Times New Roman"/>
                    </w:rPr>
                  </w:pPr>
                </w:p>
              </w:tc>
              <w:tc>
                <w:tcPr>
                  <w:tcW w:w="3337" w:type="dxa"/>
                  <w:gridSpan w:val="2"/>
                  <w:noWrap w:val="0"/>
                  <w:vAlign w:val="center"/>
                </w:tcPr>
                <w:p>
                  <w:pPr>
                    <w:pStyle w:val="54"/>
                    <w:rPr>
                      <w:rFonts w:hint="default" w:ascii="Times New Roman" w:hAnsi="Times New Roman" w:cs="Times New Roman"/>
                    </w:rPr>
                  </w:pPr>
                  <w:r>
                    <w:rPr>
                      <w:rFonts w:hint="default" w:ascii="Times New Roman" w:hAnsi="Times New Roman" w:cs="Times New Roman"/>
                    </w:rPr>
                    <w:t>人口数（城市选项时）</w:t>
                  </w:r>
                </w:p>
              </w:tc>
              <w:tc>
                <w:tcPr>
                  <w:tcW w:w="2964" w:type="dxa"/>
                  <w:tcBorders>
                    <w:top w:val="single" w:color="auto" w:sz="4" w:space="0"/>
                  </w:tcBorders>
                  <w:noWrap w:val="0"/>
                  <w:vAlign w:val="center"/>
                </w:tcPr>
                <w:p>
                  <w:pPr>
                    <w:pStyle w:val="155"/>
                    <w:ind w:firstLine="0" w:firstLineChars="0"/>
                    <w:jc w:val="center"/>
                    <w:rPr>
                      <w:rFonts w:hint="default" w:ascii="Times New Roman" w:hAnsi="Times New Roman" w:cs="Times New Roman"/>
                    </w:rPr>
                  </w:pPr>
                  <w:r>
                    <w:rPr>
                      <w:rFonts w:hint="eastAsia" w:ascii="Times New Roman" w:hAnsi="Times New Roman" w:eastAsia="宋体" w:cs="Times New Roman"/>
                      <w:color w:val="auto"/>
                      <w:lang w:val="en-US" w:eastAsia="zh-CN"/>
                    </w:rPr>
                    <w:t>369.6万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540" w:type="dxa"/>
                  <w:gridSpan w:val="3"/>
                  <w:noWrap w:val="0"/>
                  <w:vAlign w:val="center"/>
                </w:tcPr>
                <w:p>
                  <w:pPr>
                    <w:pStyle w:val="54"/>
                    <w:rPr>
                      <w:rFonts w:hint="default" w:ascii="Times New Roman" w:hAnsi="Times New Roman" w:cs="Times New Roman"/>
                    </w:rPr>
                  </w:pPr>
                  <w:r>
                    <w:rPr>
                      <w:rFonts w:hint="default" w:ascii="Times New Roman" w:hAnsi="Times New Roman" w:cs="Times New Roman"/>
                    </w:rPr>
                    <w:t>最高环境温度</w:t>
                  </w:r>
                </w:p>
              </w:tc>
              <w:tc>
                <w:tcPr>
                  <w:tcW w:w="2964" w:type="dxa"/>
                  <w:noWrap w:val="0"/>
                  <w:vAlign w:val="center"/>
                </w:tcPr>
                <w:p>
                  <w:pPr>
                    <w:pStyle w:val="155"/>
                    <w:ind w:firstLine="0" w:firstLineChars="0"/>
                    <w:jc w:val="center"/>
                    <w:rPr>
                      <w:rFonts w:hint="default" w:ascii="Times New Roman" w:hAnsi="Times New Roman" w:cs="Times New Roman"/>
                      <w:lang w:val="en-US"/>
                    </w:rPr>
                  </w:pPr>
                  <w:r>
                    <w:rPr>
                      <w:rFonts w:hint="eastAsia"/>
                      <w:color w:val="auto"/>
                      <w:lang w:val="en-US" w:eastAsia="zh-CN"/>
                    </w:rPr>
                    <w:t>41.4℃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540" w:type="dxa"/>
                  <w:gridSpan w:val="3"/>
                  <w:noWrap w:val="0"/>
                  <w:vAlign w:val="center"/>
                </w:tcPr>
                <w:p>
                  <w:pPr>
                    <w:pStyle w:val="54"/>
                    <w:rPr>
                      <w:rFonts w:hint="default" w:ascii="Times New Roman" w:hAnsi="Times New Roman" w:cs="Times New Roman"/>
                    </w:rPr>
                  </w:pPr>
                  <w:r>
                    <w:rPr>
                      <w:rFonts w:hint="default" w:ascii="Times New Roman" w:hAnsi="Times New Roman" w:cs="Times New Roman"/>
                    </w:rPr>
                    <w:t>最低环境温度</w:t>
                  </w:r>
                </w:p>
              </w:tc>
              <w:tc>
                <w:tcPr>
                  <w:tcW w:w="2964" w:type="dxa"/>
                  <w:noWrap w:val="0"/>
                  <w:vAlign w:val="center"/>
                </w:tcPr>
                <w:p>
                  <w:pPr>
                    <w:pStyle w:val="155"/>
                    <w:ind w:firstLine="0" w:firstLineChars="0"/>
                    <w:jc w:val="center"/>
                    <w:rPr>
                      <w:rFonts w:hint="default" w:ascii="Times New Roman" w:hAnsi="Times New Roman" w:eastAsia="宋体" w:cs="Times New Roman"/>
                      <w:lang w:val="en-US" w:eastAsia="zh-CN"/>
                    </w:rPr>
                  </w:pPr>
                  <w:r>
                    <w:rPr>
                      <w:rFonts w:hint="eastAsia"/>
                      <w:color w:val="auto"/>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540" w:type="dxa"/>
                  <w:gridSpan w:val="3"/>
                  <w:noWrap w:val="0"/>
                  <w:vAlign w:val="center"/>
                </w:tcPr>
                <w:p>
                  <w:pPr>
                    <w:pStyle w:val="54"/>
                    <w:rPr>
                      <w:rFonts w:hint="default" w:ascii="Times New Roman" w:hAnsi="Times New Roman" w:cs="Times New Roman"/>
                    </w:rPr>
                  </w:pPr>
                  <w:r>
                    <w:rPr>
                      <w:rFonts w:hint="default" w:ascii="Times New Roman" w:hAnsi="Times New Roman" w:cs="Times New Roman"/>
                    </w:rPr>
                    <w:t>土地利用类型</w:t>
                  </w:r>
                </w:p>
              </w:tc>
              <w:tc>
                <w:tcPr>
                  <w:tcW w:w="2964" w:type="dxa"/>
                  <w:noWrap w:val="0"/>
                  <w:vAlign w:val="center"/>
                </w:tcPr>
                <w:p>
                  <w:pPr>
                    <w:pStyle w:val="155"/>
                    <w:ind w:firstLine="0" w:firstLineChars="0"/>
                    <w:jc w:val="center"/>
                    <w:rPr>
                      <w:rFonts w:hint="default" w:ascii="Times New Roman" w:hAnsi="Times New Roman" w:eastAsia="宋体" w:cs="Times New Roman"/>
                      <w:lang w:val="en-US" w:eastAsia="zh-CN"/>
                    </w:rPr>
                  </w:pPr>
                  <w:r>
                    <w:rPr>
                      <w:rFonts w:hint="eastAsia"/>
                      <w:lang w:val="en-US" w:eastAsia="zh-CN"/>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540" w:type="dxa"/>
                  <w:gridSpan w:val="3"/>
                  <w:noWrap w:val="0"/>
                  <w:vAlign w:val="center"/>
                </w:tcPr>
                <w:p>
                  <w:pPr>
                    <w:pStyle w:val="54"/>
                    <w:rPr>
                      <w:rFonts w:hint="default" w:ascii="Times New Roman" w:hAnsi="Times New Roman" w:cs="Times New Roman"/>
                    </w:rPr>
                  </w:pPr>
                  <w:r>
                    <w:rPr>
                      <w:rFonts w:hint="default" w:ascii="Times New Roman" w:hAnsi="Times New Roman" w:cs="Times New Roman"/>
                    </w:rPr>
                    <w:t>区域湿度条件</w:t>
                  </w:r>
                </w:p>
              </w:tc>
              <w:tc>
                <w:tcPr>
                  <w:tcW w:w="2964" w:type="dxa"/>
                  <w:noWrap w:val="0"/>
                  <w:vAlign w:val="center"/>
                </w:tcPr>
                <w:p>
                  <w:pPr>
                    <w:pStyle w:val="155"/>
                    <w:ind w:firstLine="0" w:firstLineChars="0"/>
                    <w:jc w:val="center"/>
                    <w:rPr>
                      <w:rFonts w:hint="default" w:ascii="Times New Roman" w:hAnsi="Times New Roman" w:cs="Times New Roman"/>
                    </w:rPr>
                  </w:pPr>
                  <w:r>
                    <w:rPr>
                      <w:rFonts w:hint="eastAsia"/>
                      <w:color w:val="auto"/>
                      <w:lang w:val="en-US" w:eastAsia="zh-CN"/>
                    </w:rPr>
                    <w:t>中等潮湿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10" w:type="dxa"/>
                  <w:gridSpan w:val="2"/>
                  <w:vMerge w:val="restart"/>
                  <w:tcBorders>
                    <w:righ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是否考虑地形</w:t>
                  </w:r>
                </w:p>
              </w:tc>
              <w:tc>
                <w:tcPr>
                  <w:tcW w:w="3230" w:type="dxa"/>
                  <w:tcBorders>
                    <w:lef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考虑地形</w:t>
                  </w:r>
                </w:p>
              </w:tc>
              <w:tc>
                <w:tcPr>
                  <w:tcW w:w="2964" w:type="dxa"/>
                  <w:noWrap w:val="0"/>
                  <w:vAlign w:val="center"/>
                </w:tcPr>
                <w:p>
                  <w:pPr>
                    <w:pStyle w:val="54"/>
                    <w:rPr>
                      <w:rFonts w:hint="default" w:ascii="Times New Roman" w:hAnsi="Times New Roman" w:cs="Times New Roman"/>
                    </w:rPr>
                  </w:pPr>
                  <w:r>
                    <w:rPr>
                      <w:rFonts w:hint="default" w:ascii="Times New Roman" w:hAnsi="Times New Roman" w:cs="Times New Roma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10" w:type="dxa"/>
                  <w:gridSpan w:val="2"/>
                  <w:vMerge w:val="continue"/>
                  <w:tcBorders>
                    <w:right w:val="single" w:color="auto" w:sz="4" w:space="0"/>
                  </w:tcBorders>
                  <w:noWrap w:val="0"/>
                  <w:vAlign w:val="center"/>
                </w:tcPr>
                <w:p>
                  <w:pPr>
                    <w:pStyle w:val="54"/>
                    <w:rPr>
                      <w:rFonts w:hint="default" w:ascii="Times New Roman" w:hAnsi="Times New Roman" w:cs="Times New Roman"/>
                    </w:rPr>
                  </w:pPr>
                </w:p>
              </w:tc>
              <w:tc>
                <w:tcPr>
                  <w:tcW w:w="3230" w:type="dxa"/>
                  <w:tcBorders>
                    <w:lef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 xml:space="preserve">地形数据分辨率/m </w:t>
                  </w:r>
                </w:p>
              </w:tc>
              <w:tc>
                <w:tcPr>
                  <w:tcW w:w="2964" w:type="dxa"/>
                  <w:noWrap w:val="0"/>
                  <w:vAlign w:val="center"/>
                </w:tcPr>
                <w:p>
                  <w:pPr>
                    <w:pStyle w:val="54"/>
                    <w:rPr>
                      <w:rFonts w:hint="default" w:ascii="Times New Roman" w:hAnsi="Times New Roman" w:eastAsia="宋体" w:cs="Times New Roman"/>
                      <w:lang w:val="en-US" w:eastAsia="zh-CN"/>
                    </w:rPr>
                  </w:pPr>
                  <w:r>
                    <w:rPr>
                      <w:rFonts w:hint="default" w:ascii="Times New Roman" w:hAnsi="Times New Roman" w:cs="Times New Roman"/>
                      <w:lang w:val="en-US" w:eastAsia="zh-CN"/>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10" w:type="dxa"/>
                  <w:gridSpan w:val="2"/>
                  <w:vMerge w:val="restart"/>
                  <w:tcBorders>
                    <w:righ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是否考虑岸线熏烟</w:t>
                  </w:r>
                </w:p>
              </w:tc>
              <w:tc>
                <w:tcPr>
                  <w:tcW w:w="3230" w:type="dxa"/>
                  <w:tcBorders>
                    <w:lef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 xml:space="preserve">考虑岸线熏烟 </w:t>
                  </w:r>
                </w:p>
              </w:tc>
              <w:tc>
                <w:tcPr>
                  <w:tcW w:w="2964" w:type="dxa"/>
                  <w:noWrap w:val="0"/>
                  <w:vAlign w:val="center"/>
                </w:tcPr>
                <w:p>
                  <w:pPr>
                    <w:pStyle w:val="54"/>
                    <w:rPr>
                      <w:rFonts w:hint="default" w:ascii="Times New Roman" w:hAnsi="Times New Roman" w:cs="Times New Roman"/>
                    </w:rPr>
                  </w:pPr>
                  <w:r>
                    <w:rPr>
                      <w:rFonts w:hint="default" w:ascii="Times New Roman" w:hAnsi="Times New Roman" w:cs="Times New Roma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10" w:type="dxa"/>
                  <w:gridSpan w:val="2"/>
                  <w:vMerge w:val="continue"/>
                  <w:tcBorders>
                    <w:right w:val="single" w:color="auto" w:sz="4" w:space="0"/>
                  </w:tcBorders>
                  <w:noWrap w:val="0"/>
                  <w:vAlign w:val="center"/>
                </w:tcPr>
                <w:p>
                  <w:pPr>
                    <w:pStyle w:val="54"/>
                    <w:rPr>
                      <w:rFonts w:hint="default" w:ascii="Times New Roman" w:hAnsi="Times New Roman" w:cs="Times New Roman"/>
                    </w:rPr>
                  </w:pPr>
                </w:p>
              </w:tc>
              <w:tc>
                <w:tcPr>
                  <w:tcW w:w="3230" w:type="dxa"/>
                  <w:tcBorders>
                    <w:lef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 xml:space="preserve">岸线距离/km  </w:t>
                  </w:r>
                </w:p>
              </w:tc>
              <w:tc>
                <w:tcPr>
                  <w:tcW w:w="2964" w:type="dxa"/>
                  <w:noWrap w:val="0"/>
                  <w:vAlign w:val="center"/>
                </w:tcPr>
                <w:p>
                  <w:pPr>
                    <w:pStyle w:val="54"/>
                    <w:rPr>
                      <w:rFonts w:hint="default" w:ascii="Times New Roman" w:hAnsi="Times New Roman" w:cs="Times New Roman"/>
                    </w:rPr>
                  </w:pPr>
                  <w:r>
                    <w:rPr>
                      <w:rFonts w:hint="default" w:ascii="Times New Roman" w:hAnsi="Times New Roman" w:cs="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10" w:type="dxa"/>
                  <w:gridSpan w:val="2"/>
                  <w:vMerge w:val="continue"/>
                  <w:tcBorders>
                    <w:right w:val="single" w:color="auto" w:sz="4" w:space="0"/>
                  </w:tcBorders>
                  <w:noWrap w:val="0"/>
                  <w:vAlign w:val="center"/>
                </w:tcPr>
                <w:p>
                  <w:pPr>
                    <w:pStyle w:val="54"/>
                    <w:rPr>
                      <w:rFonts w:hint="default" w:ascii="Times New Roman" w:hAnsi="Times New Roman" w:cs="Times New Roman"/>
                    </w:rPr>
                  </w:pPr>
                </w:p>
              </w:tc>
              <w:tc>
                <w:tcPr>
                  <w:tcW w:w="3230" w:type="dxa"/>
                  <w:tcBorders>
                    <w:left w:val="single" w:color="auto" w:sz="4" w:space="0"/>
                  </w:tcBorders>
                  <w:noWrap w:val="0"/>
                  <w:vAlign w:val="center"/>
                </w:tcPr>
                <w:p>
                  <w:pPr>
                    <w:pStyle w:val="54"/>
                    <w:rPr>
                      <w:rFonts w:hint="default" w:ascii="Times New Roman" w:hAnsi="Times New Roman" w:cs="Times New Roman"/>
                    </w:rPr>
                  </w:pPr>
                  <w:r>
                    <w:rPr>
                      <w:rFonts w:hint="default" w:ascii="Times New Roman" w:hAnsi="Times New Roman" w:cs="Times New Roman"/>
                    </w:rPr>
                    <w:t xml:space="preserve">岸线方向/° </w:t>
                  </w:r>
                </w:p>
              </w:tc>
              <w:tc>
                <w:tcPr>
                  <w:tcW w:w="2964" w:type="dxa"/>
                  <w:noWrap w:val="0"/>
                  <w:vAlign w:val="center"/>
                </w:tcPr>
                <w:p>
                  <w:pPr>
                    <w:pStyle w:val="54"/>
                    <w:rPr>
                      <w:rFonts w:hint="default" w:ascii="Times New Roman" w:hAnsi="Times New Roman" w:cs="Times New Roman"/>
                    </w:rPr>
                  </w:pPr>
                  <w:r>
                    <w:rPr>
                      <w:rFonts w:hint="default" w:ascii="Times New Roman" w:hAnsi="Times New Roman" w:cs="Times New Roman"/>
                    </w:rPr>
                    <w:t>/</w:t>
                  </w:r>
                </w:p>
              </w:tc>
            </w:tr>
          </w:tbl>
          <w:p>
            <w:pPr>
              <w:pStyle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④预测结果</w:t>
            </w:r>
          </w:p>
          <w:p>
            <w:pPr>
              <w:pStyle w:val="20"/>
              <w:keepNext w:val="0"/>
              <w:keepLines w:val="0"/>
              <w:pageBreakBefore w:val="0"/>
              <w:widowControl w:val="0"/>
              <w:tabs>
                <w:tab w:val="left" w:pos="0"/>
              </w:tabs>
              <w:kinsoku/>
              <w:wordWrap/>
              <w:overflowPunct/>
              <w:topLinePunct w:val="0"/>
              <w:autoSpaceDE/>
              <w:autoSpaceDN/>
              <w:bidi w:val="0"/>
              <w:adjustRightInd/>
              <w:snapToGrid/>
              <w:spacing w:after="0" w:line="360" w:lineRule="auto"/>
              <w:ind w:left="0" w:leftChars="0" w:firstLine="0" w:firstLineChars="0"/>
              <w:jc w:val="center"/>
              <w:textAlignment w:val="auto"/>
              <w:rPr>
                <w:rFonts w:hint="default" w:ascii="Times New Roman" w:hAnsi="Times New Roman" w:cs="Times New Roman"/>
                <w:b/>
                <w:bCs/>
                <w:color w:val="000000"/>
              </w:rPr>
            </w:pPr>
            <w:r>
              <w:rPr>
                <w:rFonts w:hint="default" w:ascii="Times New Roman" w:hAnsi="Times New Roman" w:cs="Times New Roman"/>
                <w:b/>
                <w:bCs/>
                <w:color w:val="000000"/>
                <w:sz w:val="24"/>
                <w:szCs w:val="22"/>
              </w:rPr>
              <w:t>表7-</w:t>
            </w:r>
            <w:r>
              <w:rPr>
                <w:rFonts w:hint="default" w:ascii="Times New Roman" w:hAnsi="Times New Roman" w:cs="Times New Roman"/>
                <w:b/>
                <w:bCs/>
                <w:color w:val="000000"/>
                <w:sz w:val="24"/>
                <w:szCs w:val="22"/>
                <w:lang w:val="en-US" w:eastAsia="zh-CN"/>
              </w:rPr>
              <w:t>1</w:t>
            </w:r>
            <w:r>
              <w:rPr>
                <w:rFonts w:hint="eastAsia" w:ascii="Times New Roman" w:hAnsi="Times New Roman" w:cs="Times New Roman"/>
                <w:b/>
                <w:bCs/>
                <w:color w:val="000000"/>
                <w:sz w:val="24"/>
                <w:szCs w:val="22"/>
                <w:lang w:val="en-US" w:eastAsia="zh-CN"/>
              </w:rPr>
              <w:t>3</w:t>
            </w:r>
            <w:r>
              <w:rPr>
                <w:rFonts w:hint="default" w:ascii="Times New Roman" w:hAnsi="Times New Roman" w:cs="Times New Roman"/>
                <w:b/>
                <w:bCs/>
                <w:color w:val="000000"/>
                <w:sz w:val="24"/>
                <w:szCs w:val="22"/>
                <w:lang w:val="en-US" w:eastAsia="zh-CN"/>
              </w:rPr>
              <w:t xml:space="preserve"> </w:t>
            </w:r>
            <w:r>
              <w:rPr>
                <w:rFonts w:hint="default" w:ascii="Times New Roman" w:hAnsi="Times New Roman" w:cs="Times New Roman"/>
                <w:b/>
                <w:bCs/>
                <w:color w:val="000000"/>
                <w:sz w:val="24"/>
                <w:szCs w:val="22"/>
              </w:rPr>
              <w:t xml:space="preserve"> </w:t>
            </w:r>
            <w:r>
              <w:rPr>
                <w:rFonts w:hint="eastAsia" w:ascii="Times New Roman" w:hAnsi="Times New Roman" w:cs="Times New Roman"/>
                <w:b/>
                <w:bCs/>
                <w:color w:val="000000"/>
                <w:sz w:val="24"/>
                <w:szCs w:val="22"/>
                <w:lang w:val="en-US" w:eastAsia="zh-CN"/>
              </w:rPr>
              <w:t>高安站、横山站非甲烷总烃无</w:t>
            </w:r>
            <w:r>
              <w:rPr>
                <w:rFonts w:hint="default" w:ascii="Times New Roman" w:hAnsi="Times New Roman" w:cs="Times New Roman"/>
                <w:b/>
                <w:bCs/>
                <w:color w:val="000000"/>
                <w:sz w:val="24"/>
                <w:szCs w:val="22"/>
                <w:lang w:val="en-US" w:eastAsia="zh-CN"/>
              </w:rPr>
              <w:t>组织排废气</w:t>
            </w:r>
            <w:r>
              <w:rPr>
                <w:rFonts w:hint="default" w:ascii="Times New Roman" w:hAnsi="Times New Roman" w:cs="Times New Roman"/>
                <w:b/>
                <w:bCs/>
                <w:color w:val="000000"/>
                <w:sz w:val="24"/>
                <w:szCs w:val="22"/>
              </w:rPr>
              <w:t>估算模式计算结果一览表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3199"/>
              <w:gridCol w:w="3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974" w:type="dxa"/>
                  <w:vMerge w:val="restart"/>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b/>
                      <w:bCs/>
                      <w:color w:val="000000"/>
                      <w:sz w:val="21"/>
                      <w:szCs w:val="21"/>
                      <w:lang w:bidi="ar"/>
                    </w:rPr>
                  </w:pPr>
                  <w:r>
                    <w:rPr>
                      <w:rFonts w:hint="default" w:ascii="Times New Roman" w:hAnsi="Times New Roman" w:cs="Times New Roman"/>
                      <w:b/>
                      <w:bCs/>
                      <w:color w:val="000000"/>
                      <w:sz w:val="21"/>
                      <w:szCs w:val="21"/>
                      <w:lang w:bidi="ar"/>
                    </w:rPr>
                    <w:t>下方向距离(m)</w:t>
                  </w:r>
                </w:p>
              </w:tc>
              <w:tc>
                <w:tcPr>
                  <w:tcW w:w="6530" w:type="dxa"/>
                  <w:gridSpan w:val="2"/>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eastAsia="宋体" w:cs="Times New Roman"/>
                      <w:b/>
                      <w:bCs/>
                      <w:color w:val="000000"/>
                      <w:sz w:val="21"/>
                      <w:szCs w:val="21"/>
                      <w:lang w:val="en-US" w:eastAsia="zh-CN" w:bidi="ar"/>
                    </w:rPr>
                  </w:pPr>
                  <w:r>
                    <w:rPr>
                      <w:rFonts w:hint="default" w:ascii="Times New Roman" w:hAnsi="Times New Roman" w:eastAsia="宋体" w:cs="Times New Roman"/>
                      <w:b/>
                      <w:bCs/>
                      <w:color w:val="000000"/>
                      <w:sz w:val="21"/>
                      <w:szCs w:val="21"/>
                      <w:lang w:val="en-US" w:eastAsia="zh-CN" w:bidi="ar"/>
                    </w:rPr>
                    <w:t>非甲烷总烃无组织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974" w:type="dxa"/>
                  <w:vMerge w:val="continue"/>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b/>
                      <w:bCs/>
                      <w:color w:val="000000"/>
                      <w:sz w:val="21"/>
                      <w:szCs w:val="21"/>
                      <w:lang w:bidi="ar"/>
                    </w:rPr>
                  </w:pPr>
                </w:p>
              </w:tc>
              <w:tc>
                <w:tcPr>
                  <w:tcW w:w="3199"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b/>
                      <w:bCs/>
                      <w:color w:val="000000"/>
                      <w:sz w:val="21"/>
                      <w:szCs w:val="21"/>
                      <w:lang w:bidi="ar"/>
                    </w:rPr>
                  </w:pPr>
                  <w:r>
                    <w:rPr>
                      <w:rFonts w:hint="default" w:ascii="Times New Roman" w:hAnsi="Times New Roman" w:cs="Times New Roman"/>
                      <w:b/>
                      <w:bCs/>
                      <w:color w:val="000000"/>
                      <w:sz w:val="21"/>
                      <w:szCs w:val="21"/>
                      <w:lang w:bidi="ar"/>
                    </w:rPr>
                    <w:t>预测质量浓度（mg/m</w:t>
                  </w:r>
                  <w:r>
                    <w:rPr>
                      <w:rFonts w:hint="default" w:ascii="Times New Roman" w:hAnsi="Times New Roman" w:cs="Times New Roman"/>
                      <w:b/>
                      <w:bCs/>
                      <w:color w:val="000000"/>
                      <w:sz w:val="21"/>
                      <w:szCs w:val="21"/>
                      <w:vertAlign w:val="superscript"/>
                      <w:lang w:bidi="ar"/>
                    </w:rPr>
                    <w:t>3</w:t>
                  </w:r>
                  <w:r>
                    <w:rPr>
                      <w:rFonts w:hint="default" w:ascii="Times New Roman" w:hAnsi="Times New Roman" w:cs="Times New Roman"/>
                      <w:b/>
                      <w:bCs/>
                      <w:color w:val="000000"/>
                      <w:sz w:val="21"/>
                      <w:szCs w:val="21"/>
                      <w:lang w:bidi="ar"/>
                    </w:rPr>
                    <w:t>）</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b/>
                      <w:bCs/>
                      <w:color w:val="000000"/>
                      <w:sz w:val="21"/>
                      <w:szCs w:val="21"/>
                      <w:lang w:bidi="ar"/>
                    </w:rPr>
                  </w:pPr>
                  <w:r>
                    <w:rPr>
                      <w:rFonts w:hint="default" w:ascii="Times New Roman" w:hAnsi="Times New Roman" w:cs="Times New Roman"/>
                      <w:b/>
                      <w:bCs/>
                      <w:color w:val="000000"/>
                      <w:sz w:val="21"/>
                      <w:szCs w:val="21"/>
                      <w:lang w:bidi="ar"/>
                    </w:rPr>
                    <w:t>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0.000003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0.003776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shd w:val="clear" w:color="auto" w:fill="A4A4A4"/>
                  <w:noWrap w:val="0"/>
                  <w:vAlign w:val="center"/>
                </w:tcPr>
                <w:p>
                  <w:pPr>
                    <w:pStyle w:val="30"/>
                    <w:autoSpaceDE w:val="0"/>
                    <w:autoSpaceDN w:val="0"/>
                    <w:adjustRightInd w:val="0"/>
                    <w:jc w:val="center"/>
                    <w:rPr>
                      <w:rFonts w:hint="default" w:ascii="Times New Roman" w:hAnsi="Times New Roman" w:eastAsia="宋体" w:cs="Times New Roman"/>
                      <w:color w:val="000000"/>
                      <w:sz w:val="21"/>
                      <w:szCs w:val="21"/>
                      <w:lang w:val="en-US" w:eastAsia="zh-CN" w:bidi="ar"/>
                    </w:rPr>
                  </w:pPr>
                  <w:r>
                    <w:rPr>
                      <w:rFonts w:hint="default" w:ascii="Times New Roman" w:hAnsi="Times New Roman" w:cs="Times New Roman"/>
                      <w:color w:val="000000"/>
                      <w:sz w:val="21"/>
                      <w:szCs w:val="21"/>
                      <w:lang w:val="en-US" w:eastAsia="zh-CN" w:bidi="ar"/>
                    </w:rPr>
                    <w:t>63</w:t>
                  </w:r>
                </w:p>
              </w:tc>
              <w:tc>
                <w:tcPr>
                  <w:tcW w:w="3199" w:type="dxa"/>
                  <w:tcBorders>
                    <w:top w:val="single" w:color="auto" w:sz="4" w:space="0"/>
                    <w:left w:val="single" w:color="auto" w:sz="4" w:space="0"/>
                    <w:bottom w:val="single" w:color="auto" w:sz="4" w:space="0"/>
                    <w:right w:val="single" w:color="auto" w:sz="4" w:space="0"/>
                  </w:tcBorders>
                  <w:shd w:val="clear" w:color="auto" w:fill="A4A4A4"/>
                  <w:noWrap w:val="0"/>
                  <w:vAlign w:val="center"/>
                </w:tcPr>
                <w:p>
                  <w:pPr>
                    <w:widowControl/>
                    <w:jc w:val="center"/>
                    <w:textAlignment w:val="center"/>
                    <w:rPr>
                      <w:rFonts w:hint="default" w:ascii="Times New Roman" w:hAnsi="Times New Roman" w:cs="Times New Roman"/>
                    </w:rPr>
                  </w:pPr>
                  <w:r>
                    <w:rPr>
                      <w:rFonts w:hint="default" w:ascii="Times New Roman" w:hAnsi="Times New Roman" w:cs="Times New Roman"/>
                    </w:rPr>
                    <w:t>0.004668</w:t>
                  </w:r>
                </w:p>
              </w:tc>
              <w:tc>
                <w:tcPr>
                  <w:tcW w:w="3331" w:type="dxa"/>
                  <w:tcBorders>
                    <w:top w:val="single" w:color="auto" w:sz="4" w:space="0"/>
                    <w:left w:val="single" w:color="auto" w:sz="4" w:space="0"/>
                    <w:bottom w:val="single" w:color="auto" w:sz="4" w:space="0"/>
                    <w:right w:val="single" w:color="auto" w:sz="4" w:space="0"/>
                  </w:tcBorders>
                  <w:shd w:val="clear" w:color="auto" w:fill="A4A4A4"/>
                  <w:noWrap w:val="0"/>
                  <w:vAlign w:val="center"/>
                </w:tcPr>
                <w:p>
                  <w:pPr>
                    <w:widowControl/>
                    <w:jc w:val="center"/>
                    <w:textAlignment w:val="center"/>
                    <w:rPr>
                      <w:rFonts w:hint="default" w:ascii="Times New Roman" w:hAnsi="Times New Roman" w:cs="Times New Roman"/>
                    </w:rPr>
                  </w:pPr>
                  <w:r>
                    <w:rPr>
                      <w:rFonts w:hint="default" w:ascii="Times New Roman" w:hAnsi="Times New Roman" w:cs="Times New Roman"/>
                    </w:rPr>
                    <w:t>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0.004431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0.003441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0.002585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0.001974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0.001546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0.001241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0.001046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0.000942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0.000845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300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0.000759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325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0.000684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349</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0.000617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350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0.00056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375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0.00051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400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0.000466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425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0.000427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450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0.000393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475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0.000363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500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0.000337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525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0.000313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550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0.000291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575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0.000272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600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0.000255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625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650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0.000225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675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0.000213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700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0.000201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725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750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775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0.000171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800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0.000163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825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0.000155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850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0.000148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875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0.000141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900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0.000135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925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0.000129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950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0.000124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975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0.000119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1000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0.000114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1025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1050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0.000106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1075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0.000102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1100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0.000098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1125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0.000095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1150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0.000092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1175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0.000088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1200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0.000086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1225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0.000083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1275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1300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0.000078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1325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0.000075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1350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0.000073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1375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0.000071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1400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0.000069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1425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0.000067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1450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0.000065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1475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0.000063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1500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0.000062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1525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1550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1575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1600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1625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1650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1675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1700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1725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1750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1775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1800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1825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1850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1875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1900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1925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1950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1975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2000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2025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2050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2075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2100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0.000036</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2125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2150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0.000035</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2175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0.000034</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2200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2225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2250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2275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0.000032</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2300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2325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0.000031</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2350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2375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0.00003</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2400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0.000029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2425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0.000029</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2450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0.000028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2475</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0.000028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2500</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0.000027</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下风向最大距离</w:t>
                  </w:r>
                </w:p>
              </w:tc>
              <w:tc>
                <w:tcPr>
                  <w:tcW w:w="319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0.004668</w:t>
                  </w:r>
                </w:p>
              </w:tc>
              <w:tc>
                <w:tcPr>
                  <w:tcW w:w="333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974" w:type="dxa"/>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D10%最远距离</w:t>
                  </w:r>
                </w:p>
              </w:tc>
              <w:tc>
                <w:tcPr>
                  <w:tcW w:w="6530" w:type="dxa"/>
                  <w:gridSpan w:val="2"/>
                  <w:tcBorders>
                    <w:top w:val="single" w:color="auto" w:sz="4" w:space="0"/>
                    <w:left w:val="single" w:color="auto" w:sz="4" w:space="0"/>
                    <w:bottom w:val="single" w:color="auto" w:sz="4" w:space="0"/>
                    <w:right w:val="single" w:color="auto" w:sz="4" w:space="0"/>
                  </w:tcBorders>
                  <w:noWrap w:val="0"/>
                  <w:vAlign w:val="center"/>
                </w:tcPr>
                <w:p>
                  <w:pPr>
                    <w:pStyle w:val="30"/>
                    <w:autoSpaceDE w:val="0"/>
                    <w:autoSpaceDN w:val="0"/>
                    <w:adjustRightInd w:val="0"/>
                    <w:jc w:val="center"/>
                    <w:rPr>
                      <w:rFonts w:hint="default" w:ascii="Times New Roman" w:hAnsi="Times New Roman" w:cs="Times New Roman"/>
                      <w:color w:val="000000"/>
                      <w:sz w:val="21"/>
                      <w:szCs w:val="21"/>
                      <w:lang w:bidi="ar"/>
                    </w:rPr>
                  </w:pPr>
                  <w:r>
                    <w:rPr>
                      <w:rFonts w:hint="default" w:ascii="Times New Roman" w:hAnsi="Times New Roman" w:cs="Times New Roman"/>
                      <w:color w:val="000000"/>
                      <w:sz w:val="21"/>
                      <w:szCs w:val="21"/>
                      <w:lang w:bidi="ar"/>
                    </w:rPr>
                    <w:t>—</w:t>
                  </w:r>
                </w:p>
              </w:tc>
            </w:tr>
          </w:tbl>
          <w:p>
            <w:pPr>
              <w:ind w:firstLine="422" w:firstLineChars="200"/>
              <w:rPr>
                <w:rFonts w:hint="default" w:ascii="Times New Roman" w:hAnsi="Times New Roman" w:cs="Times New Roman"/>
                <w:b/>
                <w:bCs/>
                <w:szCs w:val="21"/>
              </w:rPr>
            </w:pPr>
            <w:r>
              <w:rPr>
                <w:rFonts w:hint="default" w:ascii="Times New Roman" w:hAnsi="Times New Roman" w:cs="Times New Roman"/>
                <w:b/>
                <w:bCs/>
                <w:szCs w:val="21"/>
              </w:rPr>
              <w:t>注：带底纹处为下风向最大地面浓度处对应的预测结果。</w:t>
            </w:r>
          </w:p>
          <w:p>
            <w:pPr>
              <w:spacing w:line="360" w:lineRule="auto"/>
              <w:ind w:firstLine="480" w:firstLineChars="200"/>
              <w:rPr>
                <w:rFonts w:hint="eastAsia" w:ascii="Times New Roman" w:hAnsi="Times New Roman"/>
                <w:color w:val="000000"/>
                <w:sz w:val="24"/>
                <w:szCs w:val="22"/>
              </w:rPr>
            </w:pP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⑤预测结果</w:t>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按照《环境影响评价技术导则大气环境》（HJ2.2-2018），评价等级的确定应关注项目排放的可能对人体健康或生态环境有严重危害的特殊项目，根据工程分析的结果选取废气</w:t>
            </w:r>
            <w:r>
              <w:rPr>
                <w:rFonts w:hint="eastAsia" w:ascii="Times New Roman" w:hAnsi="Times New Roman" w:cs="Times New Roman"/>
                <w:color w:val="000000"/>
                <w:sz w:val="24"/>
                <w:szCs w:val="24"/>
                <w:lang w:val="en-US" w:eastAsia="zh-CN"/>
              </w:rPr>
              <w:t>非甲烷总烃1</w:t>
            </w:r>
            <w:r>
              <w:rPr>
                <w:rFonts w:hint="default" w:ascii="Times New Roman" w:hAnsi="Times New Roman" w:cs="Times New Roman"/>
                <w:color w:val="000000"/>
                <w:sz w:val="24"/>
                <w:szCs w:val="22"/>
              </w:rPr>
              <w:t>个因子，分别计算最大地面浓度占标率Pi（第i个污染物）及第i个污染物的地面浓度达标准限值10%时所对应的最远距离D10%，其中Pi定义为：</w:t>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Pi＝(Ci/C0i)×100%</w:t>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式中：Pi－第i个污染物的最大地面浓度占标率，%；</w:t>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Ci－采用估算模式计算出的第i个污染物的最大地面浓度，mg/m</w:t>
            </w:r>
            <w:r>
              <w:rPr>
                <w:rFonts w:hint="default" w:ascii="Times New Roman" w:hAnsi="Times New Roman" w:cs="Times New Roman"/>
                <w:color w:val="000000"/>
                <w:sz w:val="24"/>
                <w:szCs w:val="22"/>
                <w:vertAlign w:val="superscript"/>
              </w:rPr>
              <w:t>3</w:t>
            </w:r>
            <w:r>
              <w:rPr>
                <w:rFonts w:hint="default" w:ascii="Times New Roman" w:hAnsi="Times New Roman" w:cs="Times New Roman"/>
                <w:color w:val="000000"/>
                <w:sz w:val="24"/>
                <w:szCs w:val="22"/>
              </w:rPr>
              <w:t>；</w:t>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C0i－第i个污染物的环境空气质量标准，mg/m</w:t>
            </w:r>
            <w:r>
              <w:rPr>
                <w:rFonts w:hint="default" w:ascii="Times New Roman" w:hAnsi="Times New Roman" w:cs="Times New Roman"/>
                <w:color w:val="000000"/>
                <w:sz w:val="24"/>
                <w:szCs w:val="22"/>
                <w:vertAlign w:val="superscript"/>
              </w:rPr>
              <w:t>3</w:t>
            </w:r>
            <w:r>
              <w:rPr>
                <w:rFonts w:hint="default" w:ascii="Times New Roman" w:hAnsi="Times New Roman" w:cs="Times New Roman"/>
                <w:color w:val="000000"/>
                <w:sz w:val="24"/>
                <w:szCs w:val="22"/>
              </w:rPr>
              <w:t>；</w:t>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C0i－一般选用GB 3095 中1h 平均取样时间的二级标准的质量浓度限值；对于没有小时浓度限值的污染物，可取日平均浓度限值的三倍值。</w:t>
            </w:r>
            <w:r>
              <w:rPr>
                <w:rFonts w:hint="default" w:ascii="Times New Roman" w:hAnsi="Times New Roman" w:cs="Times New Roman"/>
                <w:color w:val="000000"/>
                <w:sz w:val="24"/>
                <w:szCs w:val="22"/>
              </w:rPr>
              <w:tab/>
            </w: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评价工作等级的判定依据见下表。</w:t>
            </w:r>
          </w:p>
          <w:p>
            <w:pPr>
              <w:pStyle w:val="91"/>
              <w:spacing w:line="360" w:lineRule="auto"/>
              <w:rPr>
                <w:rFonts w:hint="default" w:ascii="Times New Roman" w:hAnsi="Times New Roman" w:eastAsia="宋体" w:cs="Times New Roman"/>
                <w:b/>
                <w:bCs/>
                <w:color w:val="000000"/>
                <w:spacing w:val="0"/>
                <w:kern w:val="2"/>
                <w:sz w:val="24"/>
                <w:szCs w:val="22"/>
              </w:rPr>
            </w:pPr>
            <w:r>
              <w:rPr>
                <w:rFonts w:hint="default" w:ascii="Times New Roman" w:hAnsi="Times New Roman" w:eastAsia="宋体" w:cs="Times New Roman"/>
                <w:b/>
                <w:bCs/>
                <w:color w:val="000000"/>
                <w:spacing w:val="0"/>
                <w:kern w:val="2"/>
                <w:sz w:val="24"/>
                <w:szCs w:val="22"/>
              </w:rPr>
              <w:t>表7-</w:t>
            </w:r>
            <w:r>
              <w:rPr>
                <w:rFonts w:hint="eastAsia" w:ascii="Times New Roman" w:hAnsi="Times New Roman" w:eastAsia="宋体" w:cs="Times New Roman"/>
                <w:b/>
                <w:bCs/>
                <w:color w:val="000000"/>
                <w:spacing w:val="0"/>
                <w:kern w:val="2"/>
                <w:sz w:val="24"/>
                <w:szCs w:val="22"/>
                <w:lang w:val="en-US" w:eastAsia="zh-CN"/>
              </w:rPr>
              <w:t>14</w:t>
            </w:r>
            <w:r>
              <w:rPr>
                <w:rFonts w:hint="default" w:ascii="Times New Roman" w:hAnsi="Times New Roman" w:eastAsia="宋体" w:cs="Times New Roman"/>
                <w:b/>
                <w:bCs/>
                <w:color w:val="000000"/>
                <w:spacing w:val="0"/>
                <w:kern w:val="2"/>
                <w:sz w:val="24"/>
                <w:szCs w:val="22"/>
              </w:rPr>
              <w:t xml:space="preserve"> 评价工作等级</w:t>
            </w:r>
          </w:p>
          <w:tbl>
            <w:tblPr>
              <w:tblStyle w:val="32"/>
              <w:tblW w:w="0" w:type="auto"/>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2916"/>
              <w:gridCol w:w="5928"/>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2916" w:type="dxa"/>
                  <w:tcBorders>
                    <w:top w:val="single" w:color="auto" w:sz="4" w:space="0"/>
                    <w:lef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评价工作等级</w:t>
                  </w:r>
                </w:p>
              </w:tc>
              <w:tc>
                <w:tcPr>
                  <w:tcW w:w="5928" w:type="dxa"/>
                  <w:tcBorders>
                    <w:top w:val="single" w:color="auto" w:sz="4" w:space="0"/>
                    <w:righ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评价工作等级判据</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2916" w:type="dxa"/>
                  <w:tcBorders>
                    <w:lef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一级</w:t>
                  </w:r>
                </w:p>
              </w:tc>
              <w:tc>
                <w:tcPr>
                  <w:tcW w:w="5928" w:type="dxa"/>
                  <w:tcBorders>
                    <w:righ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Pmax≥10%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2916" w:type="dxa"/>
                  <w:tcBorders>
                    <w:lef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二级</w:t>
                  </w:r>
                </w:p>
              </w:tc>
              <w:tc>
                <w:tcPr>
                  <w:tcW w:w="5928" w:type="dxa"/>
                  <w:tcBorders>
                    <w:righ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1%≤Pmax&lt;10%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2916" w:type="dxa"/>
                  <w:tcBorders>
                    <w:left w:val="single" w:color="auto" w:sz="4" w:space="0"/>
                    <w:bottom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三级</w:t>
                  </w:r>
                </w:p>
              </w:tc>
              <w:tc>
                <w:tcPr>
                  <w:tcW w:w="5928" w:type="dxa"/>
                  <w:tcBorders>
                    <w:bottom w:val="single" w:color="auto" w:sz="4" w:space="0"/>
                    <w:right w:val="single" w:color="auto" w:sz="4" w:space="0"/>
                  </w:tcBorders>
                  <w:noWrap w:val="0"/>
                  <w:vAlign w:val="top"/>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Pmax&lt;1%</w:t>
                  </w:r>
                </w:p>
              </w:tc>
            </w:tr>
          </w:tbl>
          <w:p>
            <w:pPr>
              <w:spacing w:line="360" w:lineRule="auto"/>
              <w:ind w:firstLine="480" w:firstLineChars="200"/>
              <w:rPr>
                <w:rFonts w:hint="default" w:ascii="Times New Roman" w:hAnsi="Times New Roman" w:cs="Times New Roman"/>
                <w:color w:val="000000"/>
                <w:sz w:val="24"/>
                <w:szCs w:val="22"/>
              </w:rPr>
            </w:pPr>
          </w:p>
          <w:p>
            <w:pPr>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同一个项目有多个污染源(两个及以上)时，则按各污染源分别确定评价等级，并取评价等级最高者作为项目的评价等级。</w:t>
            </w:r>
          </w:p>
          <w:p>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采用导则的估算模式对</w:t>
            </w:r>
            <w:r>
              <w:rPr>
                <w:rFonts w:hint="eastAsia" w:ascii="Times New Roman" w:hAnsi="Times New Roman" w:cs="Times New Roman"/>
                <w:color w:val="000000"/>
                <w:sz w:val="24"/>
                <w:szCs w:val="24"/>
                <w:lang w:val="en-US" w:eastAsia="zh-CN"/>
              </w:rPr>
              <w:t>非甲烷总烃</w:t>
            </w:r>
            <w:r>
              <w:rPr>
                <w:rFonts w:hint="default" w:ascii="Times New Roman" w:hAnsi="Times New Roman" w:cs="Times New Roman"/>
                <w:color w:val="000000"/>
                <w:sz w:val="24"/>
              </w:rPr>
              <w:t>无组织排放最大小时落地浓度及其出现的距离进行预测。预测结果如下，具体见下表。</w:t>
            </w:r>
          </w:p>
          <w:p>
            <w:pPr>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表7-</w:t>
            </w:r>
            <w:r>
              <w:rPr>
                <w:rFonts w:hint="eastAsia" w:ascii="Times New Roman" w:hAnsi="Times New Roman" w:cs="Times New Roman"/>
                <w:b/>
                <w:bCs/>
                <w:sz w:val="24"/>
                <w:szCs w:val="24"/>
                <w:lang w:val="en-US" w:eastAsia="zh-CN"/>
              </w:rPr>
              <w:t>15</w:t>
            </w:r>
            <w:r>
              <w:rPr>
                <w:rFonts w:hint="default" w:ascii="Times New Roman" w:hAnsi="Times New Roman" w:cs="Times New Roman"/>
                <w:b/>
                <w:bCs/>
                <w:sz w:val="24"/>
                <w:szCs w:val="24"/>
              </w:rPr>
              <w:t xml:space="preserve">  估算模式计算结果统计</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214"/>
              <w:gridCol w:w="1469"/>
              <w:gridCol w:w="1246"/>
              <w:gridCol w:w="1557"/>
              <w:gridCol w:w="1447"/>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分类</w:t>
                  </w:r>
                </w:p>
              </w:tc>
              <w:tc>
                <w:tcPr>
                  <w:tcW w:w="1214" w:type="dxa"/>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污染源</w:t>
                  </w:r>
                </w:p>
              </w:tc>
              <w:tc>
                <w:tcPr>
                  <w:tcW w:w="1469" w:type="dxa"/>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污染物</w:t>
                  </w:r>
                </w:p>
              </w:tc>
              <w:tc>
                <w:tcPr>
                  <w:tcW w:w="1246" w:type="dxa"/>
                  <w:noWrap w:val="0"/>
                  <w:vAlign w:val="center"/>
                </w:tcPr>
                <w:p>
                  <w:pPr>
                    <w:spacing w:line="240" w:lineRule="atLeast"/>
                    <w:jc w:val="center"/>
                    <w:rPr>
                      <w:rFonts w:hint="default" w:ascii="Times New Roman" w:hAnsi="Times New Roman" w:cs="Times New Roman"/>
                    </w:rPr>
                  </w:pPr>
                  <w:r>
                    <w:rPr>
                      <w:rFonts w:hint="default" w:ascii="Times New Roman" w:hAnsi="Times New Roman" w:cs="Times New Roman"/>
                    </w:rPr>
                    <w:t>最远落地距离（m）</w:t>
                  </w:r>
                </w:p>
              </w:tc>
              <w:tc>
                <w:tcPr>
                  <w:tcW w:w="1557" w:type="dxa"/>
                  <w:noWrap w:val="0"/>
                  <w:vAlign w:val="center"/>
                </w:tcPr>
                <w:p>
                  <w:pPr>
                    <w:spacing w:line="240" w:lineRule="atLeast"/>
                    <w:jc w:val="center"/>
                    <w:rPr>
                      <w:rFonts w:hint="default" w:ascii="Times New Roman" w:hAnsi="Times New Roman" w:cs="Times New Roman"/>
                    </w:rPr>
                  </w:pPr>
                  <w:r>
                    <w:rPr>
                      <w:rFonts w:hint="default" w:ascii="Times New Roman" w:hAnsi="Times New Roman" w:cs="Times New Roman"/>
                    </w:rPr>
                    <w:t>最大地面浓度</w:t>
                  </w:r>
                </w:p>
                <w:p>
                  <w:pPr>
                    <w:pStyle w:val="27"/>
                    <w:spacing w:line="240" w:lineRule="atLeast"/>
                    <w:ind w:leftChars="0" w:firstLine="0" w:firstLineChars="0"/>
                    <w:jc w:val="center"/>
                    <w:rPr>
                      <w:rFonts w:hint="default" w:ascii="Times New Roman" w:hAnsi="Times New Roman" w:cs="Times New Roman"/>
                    </w:rPr>
                  </w:pPr>
                  <w:r>
                    <w:rPr>
                      <w:rFonts w:hint="default" w:ascii="Times New Roman" w:hAnsi="Times New Roman" w:cs="Times New Roman"/>
                      <w:color w:val="000000"/>
                      <w:szCs w:val="21"/>
                    </w:rPr>
                    <w:t>（mg/m</w:t>
                  </w:r>
                  <w:r>
                    <w:rPr>
                      <w:rFonts w:hint="default" w:ascii="Times New Roman" w:hAnsi="Times New Roman" w:cs="Times New Roman"/>
                      <w:color w:val="000000"/>
                      <w:szCs w:val="21"/>
                      <w:vertAlign w:val="superscript"/>
                    </w:rPr>
                    <w:t>3</w:t>
                  </w:r>
                  <w:r>
                    <w:rPr>
                      <w:rFonts w:hint="default" w:ascii="Times New Roman" w:hAnsi="Times New Roman" w:cs="Times New Roman"/>
                      <w:color w:val="000000"/>
                      <w:szCs w:val="21"/>
                    </w:rPr>
                    <w:t>）</w:t>
                  </w:r>
                </w:p>
              </w:tc>
              <w:tc>
                <w:tcPr>
                  <w:tcW w:w="1447" w:type="dxa"/>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rPr>
                    <w:t>最大地面浓度占标率%</w:t>
                  </w:r>
                </w:p>
              </w:tc>
              <w:tc>
                <w:tcPr>
                  <w:tcW w:w="1122" w:type="dxa"/>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noWrap w:val="0"/>
                  <w:vAlign w:val="center"/>
                </w:tcPr>
                <w:p>
                  <w:pPr>
                    <w:spacing w:line="240" w:lineRule="atLeast"/>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无</w:t>
                  </w:r>
                  <w:r>
                    <w:rPr>
                      <w:rFonts w:hint="default" w:ascii="Times New Roman" w:hAnsi="Times New Roman" w:cs="Times New Roman"/>
                      <w:color w:val="000000"/>
                      <w:szCs w:val="21"/>
                    </w:rPr>
                    <w:t>组织</w:t>
                  </w:r>
                </w:p>
              </w:tc>
              <w:tc>
                <w:tcPr>
                  <w:tcW w:w="1214" w:type="dxa"/>
                  <w:noWrap w:val="0"/>
                  <w:vAlign w:val="center"/>
                </w:tcPr>
                <w:p>
                  <w:pPr>
                    <w:spacing w:line="240" w:lineRule="atLeast"/>
                    <w:jc w:val="center"/>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高安、横山站</w:t>
                  </w:r>
                </w:p>
              </w:tc>
              <w:tc>
                <w:tcPr>
                  <w:tcW w:w="1469" w:type="dxa"/>
                  <w:noWrap w:val="0"/>
                  <w:vAlign w:val="center"/>
                </w:tcPr>
                <w:p>
                  <w:pPr>
                    <w:spacing w:line="240" w:lineRule="atLeast"/>
                    <w:ind w:firstLine="0" w:firstLineChars="0"/>
                    <w:jc w:val="center"/>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非甲烷总烃</w:t>
                  </w:r>
                </w:p>
              </w:tc>
              <w:tc>
                <w:tcPr>
                  <w:tcW w:w="1246" w:type="dxa"/>
                  <w:noWrap w:val="0"/>
                  <w:vAlign w:val="center"/>
                </w:tcPr>
                <w:p>
                  <w:pPr>
                    <w:pStyle w:val="30"/>
                    <w:autoSpaceDE w:val="0"/>
                    <w:autoSpaceDN w:val="0"/>
                    <w:adjustRightInd w:val="0"/>
                    <w:jc w:val="center"/>
                    <w:rPr>
                      <w:rFonts w:hint="default" w:ascii="Times New Roman" w:hAnsi="Times New Roman" w:eastAsia="宋体" w:cs="Times New Roman"/>
                      <w:lang w:val="en-US" w:eastAsia="zh-CN"/>
                    </w:rPr>
                  </w:pPr>
                  <w:r>
                    <w:rPr>
                      <w:rFonts w:hint="default" w:ascii="Times New Roman" w:hAnsi="Times New Roman" w:cs="Times New Roman"/>
                      <w:color w:val="000000"/>
                      <w:sz w:val="21"/>
                      <w:szCs w:val="21"/>
                      <w:lang w:val="en-US" w:eastAsia="zh-CN" w:bidi="ar"/>
                    </w:rPr>
                    <w:t>63</w:t>
                  </w:r>
                </w:p>
              </w:tc>
              <w:tc>
                <w:tcPr>
                  <w:tcW w:w="1557" w:type="dxa"/>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rPr>
                    <w:t>0.004668</w:t>
                  </w:r>
                </w:p>
              </w:tc>
              <w:tc>
                <w:tcPr>
                  <w:tcW w:w="1447" w:type="dxa"/>
                  <w:noWrap w:val="0"/>
                  <w:vAlign w:val="center"/>
                </w:tcPr>
                <w:p>
                  <w:pPr>
                    <w:widowControl/>
                    <w:jc w:val="center"/>
                    <w:textAlignment w:val="center"/>
                    <w:rPr>
                      <w:rFonts w:hint="default" w:ascii="Times New Roman" w:hAnsi="Times New Roman" w:cs="Times New Roman"/>
                    </w:rPr>
                  </w:pPr>
                  <w:r>
                    <w:rPr>
                      <w:rFonts w:hint="default" w:ascii="Times New Roman" w:hAnsi="Times New Roman" w:cs="Times New Roman"/>
                    </w:rPr>
                    <w:t>0.52</w:t>
                  </w:r>
                </w:p>
              </w:tc>
              <w:tc>
                <w:tcPr>
                  <w:tcW w:w="1122" w:type="dxa"/>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b/>
                      <w:bCs/>
                      <w:color w:val="000000"/>
                      <w:szCs w:val="21"/>
                      <w:lang w:val="en-US" w:eastAsia="zh-CN"/>
                    </w:rPr>
                    <w:t>三级</w:t>
                  </w:r>
                </w:p>
              </w:tc>
            </w:tr>
          </w:tbl>
          <w:p>
            <w:pPr>
              <w:spacing w:line="360" w:lineRule="auto"/>
              <w:ind w:firstLine="480" w:firstLineChars="200"/>
              <w:rPr>
                <w:rFonts w:hint="default" w:ascii="Times New Roman" w:hAnsi="Times New Roman" w:eastAsia="Times New Roman" w:cs="Times New Roman"/>
                <w:color w:val="auto"/>
                <w:sz w:val="24"/>
                <w:lang w:val="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Times New Roman" w:cs="Times New Roman"/>
                <w:color w:val="auto"/>
                <w:sz w:val="24"/>
                <w:lang w:val="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eastAsia="Times New Roman" w:cs="Times New Roman"/>
                <w:color w:val="auto"/>
                <w:sz w:val="24"/>
                <w:lang w:val="zh-CN"/>
              </w:rPr>
              <w:t>根据HJ2.2-2018《环境影响评价技术导则大气环境》，确定大气环境影响评价等级为</w:t>
            </w:r>
            <w:r>
              <w:rPr>
                <w:rFonts w:hint="default" w:ascii="Times New Roman" w:hAnsi="Times New Roman" w:eastAsia="宋体" w:cs="Times New Roman"/>
                <w:color w:val="auto"/>
                <w:sz w:val="24"/>
                <w:lang w:val="en-US" w:eastAsia="zh-CN"/>
              </w:rPr>
              <w:t>三</w:t>
            </w:r>
            <w:r>
              <w:rPr>
                <w:rFonts w:hint="default" w:ascii="Times New Roman" w:hAnsi="Times New Roman" w:eastAsia="Times New Roman" w:cs="Times New Roman"/>
                <w:color w:val="auto"/>
                <w:sz w:val="24"/>
                <w:lang w:val="zh-CN"/>
              </w:rPr>
              <w:t>级。根据HJ2.2-2108《环境影响评价技术导则大气环境》8.1.2的有关规定：</w:t>
            </w:r>
            <w:r>
              <w:rPr>
                <w:rFonts w:hint="default" w:ascii="Times New Roman" w:hAnsi="Times New Roman" w:eastAsia="宋体" w:cs="Times New Roman"/>
                <w:color w:val="auto"/>
                <w:sz w:val="24"/>
                <w:lang w:val="en-US" w:eastAsia="zh-CN"/>
              </w:rPr>
              <w:t>三</w:t>
            </w:r>
            <w:r>
              <w:rPr>
                <w:rFonts w:hint="default" w:ascii="Times New Roman" w:hAnsi="Times New Roman" w:cs="Times New Roman"/>
                <w:color w:val="auto"/>
                <w:sz w:val="24"/>
              </w:rPr>
              <w:t>级评价项目不进行进一步预测与评价。</w:t>
            </w:r>
          </w:p>
          <w:bookmarkEnd w:id="8"/>
          <w:p>
            <w:pPr>
              <w:spacing w:line="360" w:lineRule="auto"/>
              <w:jc w:val="center"/>
              <w:rPr>
                <w:rFonts w:ascii="Times New Roman" w:hAnsi="Times New Roman"/>
                <w:b/>
                <w:bCs/>
                <w:color w:val="000000"/>
                <w:sz w:val="24"/>
                <w:szCs w:val="24"/>
              </w:rPr>
            </w:pPr>
            <w:r>
              <w:rPr>
                <w:rFonts w:ascii="Times New Roman" w:hAnsi="Times New Roman"/>
                <w:b/>
                <w:bCs/>
                <w:color w:val="000000"/>
                <w:sz w:val="24"/>
                <w:szCs w:val="24"/>
              </w:rPr>
              <w:t>7-</w:t>
            </w:r>
            <w:r>
              <w:rPr>
                <w:rFonts w:hint="eastAsia" w:ascii="Times New Roman" w:hAnsi="Times New Roman"/>
                <w:b/>
                <w:bCs/>
                <w:color w:val="000000"/>
                <w:sz w:val="24"/>
                <w:szCs w:val="24"/>
                <w:lang w:val="en-US" w:eastAsia="zh-CN"/>
              </w:rPr>
              <w:t>16</w:t>
            </w:r>
            <w:r>
              <w:rPr>
                <w:rFonts w:ascii="Times New Roman" w:hAnsi="Times New Roman"/>
                <w:b/>
                <w:bCs/>
                <w:color w:val="000000"/>
                <w:sz w:val="24"/>
                <w:szCs w:val="24"/>
              </w:rPr>
              <w:t xml:space="preserve">  建设项目大气环境影响评价自查表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1878"/>
              <w:gridCol w:w="847"/>
              <w:gridCol w:w="123"/>
              <w:gridCol w:w="323"/>
              <w:gridCol w:w="185"/>
              <w:gridCol w:w="323"/>
              <w:gridCol w:w="170"/>
              <w:gridCol w:w="108"/>
              <w:gridCol w:w="92"/>
              <w:gridCol w:w="477"/>
              <w:gridCol w:w="216"/>
              <w:gridCol w:w="369"/>
              <w:gridCol w:w="31"/>
              <w:gridCol w:w="262"/>
              <w:gridCol w:w="493"/>
              <w:gridCol w:w="15"/>
              <w:gridCol w:w="354"/>
              <w:gridCol w:w="216"/>
              <w:gridCol w:w="138"/>
              <w:gridCol w:w="123"/>
              <w:gridCol w:w="493"/>
              <w:gridCol w:w="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Align w:val="center"/>
                </w:tcPr>
                <w:p>
                  <w:pPr>
                    <w:jc w:val="center"/>
                    <w:rPr>
                      <w:rFonts w:ascii="Times New Roman" w:hAnsi="Times New Roman"/>
                      <w:color w:val="000000"/>
                      <w:sz w:val="18"/>
                      <w:szCs w:val="18"/>
                    </w:rPr>
                  </w:pPr>
                  <w:r>
                    <w:rPr>
                      <w:rFonts w:ascii="Times New Roman" w:hAnsi="Times New Roman"/>
                      <w:color w:val="000000"/>
                      <w:sz w:val="18"/>
                      <w:szCs w:val="18"/>
                    </w:rPr>
                    <w:t>工作内容</w:t>
                  </w:r>
                </w:p>
              </w:tc>
              <w:tc>
                <w:tcPr>
                  <w:tcW w:w="7847" w:type="dxa"/>
                  <w:gridSpan w:val="22"/>
                  <w:vAlign w:val="center"/>
                </w:tcPr>
                <w:p>
                  <w:pPr>
                    <w:jc w:val="center"/>
                    <w:rPr>
                      <w:rFonts w:ascii="Times New Roman" w:hAnsi="Times New Roman"/>
                      <w:color w:val="000000"/>
                      <w:sz w:val="18"/>
                      <w:szCs w:val="18"/>
                    </w:rPr>
                  </w:pPr>
                  <w:r>
                    <w:rPr>
                      <w:rFonts w:ascii="Times New Roman" w:hAnsi="Times New Roman"/>
                      <w:color w:val="000000"/>
                      <w:sz w:val="18"/>
                      <w:szCs w:val="18"/>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评价等级与范围</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评价等级</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一级□</w:t>
                  </w:r>
                </w:p>
              </w:tc>
              <w:tc>
                <w:tcPr>
                  <w:tcW w:w="1848"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二级</w:t>
                  </w:r>
                  <w:r>
                    <w:rPr>
                      <w:rFonts w:ascii="Times New Roman" w:hAnsi="Times New Roman"/>
                      <w:color w:val="000000"/>
                      <w:sz w:val="18"/>
                      <w:szCs w:val="18"/>
                    </w:rPr>
                    <w:sym w:font="Wingdings 2" w:char="00A3"/>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三级</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评价范围</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边长=50km□</w:t>
                  </w:r>
                </w:p>
              </w:tc>
              <w:tc>
                <w:tcPr>
                  <w:tcW w:w="1848"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边长5～50km□</w:t>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边长=5 km</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评价因子</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SO</w:t>
                  </w:r>
                  <w:r>
                    <w:rPr>
                      <w:rFonts w:ascii="Times New Roman" w:hAnsi="Times New Roman"/>
                      <w:color w:val="000000"/>
                      <w:sz w:val="18"/>
                      <w:szCs w:val="18"/>
                      <w:vertAlign w:val="subscript"/>
                    </w:rPr>
                    <w:t>2</w:t>
                  </w:r>
                  <w:r>
                    <w:rPr>
                      <w:rFonts w:ascii="Times New Roman" w:hAnsi="Times New Roman"/>
                      <w:color w:val="000000"/>
                      <w:sz w:val="18"/>
                      <w:szCs w:val="18"/>
                    </w:rPr>
                    <w:t xml:space="preserve"> +NOx 排放量</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 2000t/a□</w:t>
                  </w:r>
                </w:p>
              </w:tc>
              <w:tc>
                <w:tcPr>
                  <w:tcW w:w="1848"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500 ~ 2000t/a□</w:t>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＜500 t/a</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评价因子</w:t>
                  </w:r>
                </w:p>
              </w:tc>
              <w:tc>
                <w:tcPr>
                  <w:tcW w:w="3264" w:type="dxa"/>
                  <w:gridSpan w:val="12"/>
                  <w:vAlign w:val="center"/>
                </w:tcPr>
                <w:p>
                  <w:pPr>
                    <w:jc w:val="center"/>
                    <w:rPr>
                      <w:rFonts w:ascii="Times New Roman" w:hAnsi="Times New Roman"/>
                      <w:color w:val="000000"/>
                      <w:sz w:val="18"/>
                      <w:szCs w:val="18"/>
                    </w:rPr>
                  </w:pPr>
                  <w:r>
                    <w:rPr>
                      <w:rFonts w:ascii="Times New Roman" w:hAnsi="Times New Roman"/>
                      <w:color w:val="000000"/>
                      <w:sz w:val="18"/>
                      <w:szCs w:val="18"/>
                    </w:rPr>
                    <w:t>基本污染物 ()</w:t>
                  </w:r>
                </w:p>
                <w:p>
                  <w:pPr>
                    <w:jc w:val="center"/>
                    <w:rPr>
                      <w:rFonts w:ascii="Times New Roman" w:hAnsi="Times New Roman"/>
                      <w:color w:val="000000"/>
                      <w:sz w:val="18"/>
                      <w:szCs w:val="18"/>
                    </w:rPr>
                  </w:pPr>
                  <w:r>
                    <w:rPr>
                      <w:rFonts w:ascii="Times New Roman" w:hAnsi="Times New Roman"/>
                      <w:color w:val="000000"/>
                      <w:sz w:val="18"/>
                      <w:szCs w:val="18"/>
                    </w:rPr>
                    <w:t>其他污染物 (TSP)</w:t>
                  </w:r>
                </w:p>
              </w:tc>
              <w:tc>
                <w:tcPr>
                  <w:tcW w:w="2705" w:type="dxa"/>
                  <w:gridSpan w:val="9"/>
                  <w:vAlign w:val="center"/>
                </w:tcPr>
                <w:p>
                  <w:pPr>
                    <w:jc w:val="center"/>
                    <w:rPr>
                      <w:rFonts w:ascii="Times New Roman" w:hAnsi="Times New Roman"/>
                      <w:color w:val="000000"/>
                      <w:sz w:val="18"/>
                      <w:szCs w:val="18"/>
                    </w:rPr>
                  </w:pPr>
                  <w:r>
                    <w:rPr>
                      <w:rFonts w:ascii="Times New Roman" w:hAnsi="Times New Roman"/>
                      <w:color w:val="000000"/>
                      <w:sz w:val="18"/>
                      <w:szCs w:val="18"/>
                    </w:rPr>
                    <w:t>包括二次PM2.5□</w:t>
                  </w:r>
                </w:p>
                <w:p>
                  <w:pPr>
                    <w:jc w:val="center"/>
                    <w:rPr>
                      <w:rFonts w:ascii="Times New Roman" w:hAnsi="Times New Roman"/>
                      <w:color w:val="000000"/>
                      <w:sz w:val="18"/>
                      <w:szCs w:val="18"/>
                    </w:rPr>
                  </w:pPr>
                  <w:r>
                    <w:rPr>
                      <w:rFonts w:ascii="Times New Roman" w:hAnsi="Times New Roman"/>
                      <w:color w:val="000000"/>
                      <w:sz w:val="18"/>
                      <w:szCs w:val="18"/>
                    </w:rPr>
                    <w:t>不包括二次PM2.5</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Align w:val="center"/>
                </w:tcPr>
                <w:p>
                  <w:pPr>
                    <w:jc w:val="center"/>
                    <w:rPr>
                      <w:rFonts w:ascii="Times New Roman" w:hAnsi="Times New Roman"/>
                      <w:color w:val="000000"/>
                      <w:sz w:val="18"/>
                      <w:szCs w:val="18"/>
                    </w:rPr>
                  </w:pPr>
                  <w:r>
                    <w:rPr>
                      <w:rFonts w:ascii="Times New Roman" w:hAnsi="Times New Roman"/>
                      <w:color w:val="000000"/>
                      <w:sz w:val="18"/>
                      <w:szCs w:val="18"/>
                    </w:rPr>
                    <w:t>评价标准</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评价标准</w:t>
                  </w:r>
                </w:p>
              </w:tc>
              <w:tc>
                <w:tcPr>
                  <w:tcW w:w="1971"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国家标准</w:t>
                  </w:r>
                  <w:r>
                    <w:rPr>
                      <w:rFonts w:ascii="Times New Roman" w:hAnsi="Times New Roman"/>
                      <w:color w:val="000000"/>
                      <w:sz w:val="18"/>
                      <w:szCs w:val="18"/>
                    </w:rPr>
                    <w:sym w:font="Wingdings 2" w:char="0052"/>
                  </w:r>
                </w:p>
              </w:tc>
              <w:tc>
                <w:tcPr>
                  <w:tcW w:w="1293"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地方标准□</w:t>
                  </w:r>
                </w:p>
              </w:tc>
              <w:tc>
                <w:tcPr>
                  <w:tcW w:w="1601"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附录D </w:t>
                  </w:r>
                  <w:r>
                    <w:rPr>
                      <w:rFonts w:ascii="Times New Roman" w:hAnsi="Times New Roman"/>
                      <w:color w:val="000000"/>
                      <w:sz w:val="18"/>
                      <w:szCs w:val="18"/>
                    </w:rPr>
                    <w:sym w:font="Wingdings 2" w:char="00A3"/>
                  </w:r>
                </w:p>
              </w:tc>
              <w:tc>
                <w:tcPr>
                  <w:tcW w:w="1104" w:type="dxa"/>
                  <w:gridSpan w:val="2"/>
                  <w:vAlign w:val="center"/>
                </w:tcPr>
                <w:p>
                  <w:pPr>
                    <w:jc w:val="center"/>
                    <w:rPr>
                      <w:rFonts w:ascii="Times New Roman" w:hAnsi="Times New Roman"/>
                      <w:color w:val="000000"/>
                      <w:sz w:val="18"/>
                      <w:szCs w:val="18"/>
                    </w:rPr>
                  </w:pPr>
                  <w:r>
                    <w:rPr>
                      <w:rFonts w:ascii="Times New Roman" w:hAnsi="Times New Roman"/>
                      <w:color w:val="000000"/>
                      <w:sz w:val="18"/>
                      <w:szCs w:val="18"/>
                    </w:rPr>
                    <w:t>其他标准□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现状评价</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环境功能区</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一类区□</w:t>
                  </w:r>
                </w:p>
              </w:tc>
              <w:tc>
                <w:tcPr>
                  <w:tcW w:w="1848"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二类区</w:t>
                  </w:r>
                  <w:r>
                    <w:rPr>
                      <w:rFonts w:ascii="Times New Roman" w:hAnsi="Times New Roman"/>
                      <w:color w:val="000000"/>
                      <w:sz w:val="18"/>
                      <w:szCs w:val="18"/>
                    </w:rPr>
                    <w:sym w:font="Wingdings 2" w:char="0052"/>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一类区和二类区□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评价基准年</w:t>
                  </w:r>
                </w:p>
              </w:tc>
              <w:tc>
                <w:tcPr>
                  <w:tcW w:w="5969" w:type="dxa"/>
                  <w:gridSpan w:val="21"/>
                  <w:vAlign w:val="center"/>
                </w:tcPr>
                <w:p>
                  <w:pPr>
                    <w:jc w:val="center"/>
                    <w:rPr>
                      <w:rFonts w:ascii="Times New Roman" w:hAnsi="Times New Roman"/>
                      <w:color w:val="000000"/>
                      <w:sz w:val="18"/>
                      <w:szCs w:val="18"/>
                    </w:rPr>
                  </w:pPr>
                  <w:r>
                    <w:rPr>
                      <w:rFonts w:ascii="Times New Roman" w:hAnsi="Times New Roman"/>
                      <w:color w:val="000000"/>
                      <w:sz w:val="18"/>
                      <w:szCs w:val="18"/>
                    </w:rPr>
                    <w:t>（20</w:t>
                  </w:r>
                  <w:r>
                    <w:rPr>
                      <w:rFonts w:hint="eastAsia" w:ascii="Times New Roman" w:hAnsi="Times New Roman"/>
                      <w:color w:val="000000"/>
                      <w:sz w:val="18"/>
                      <w:szCs w:val="18"/>
                    </w:rPr>
                    <w:t>19</w:t>
                  </w:r>
                  <w:r>
                    <w:rPr>
                      <w:rFonts w:ascii="Times New Roman" w:hAnsi="Times New Roman"/>
                      <w:color w:val="000000"/>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环境空气质量现状调查数据来源</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长期例行监测数据□</w:t>
                  </w:r>
                </w:p>
              </w:tc>
              <w:tc>
                <w:tcPr>
                  <w:tcW w:w="1848"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主管部门发布的数据</w:t>
                  </w:r>
                  <w:r>
                    <w:rPr>
                      <w:rFonts w:ascii="Times New Roman" w:hAnsi="Times New Roman"/>
                      <w:color w:val="000000"/>
                      <w:sz w:val="18"/>
                      <w:szCs w:val="18"/>
                    </w:rPr>
                    <w:sym w:font="Wingdings 2" w:char="0052"/>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现状补充监测</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现状评价</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达标区</w:t>
                  </w:r>
                  <w:r>
                    <w:rPr>
                      <w:rFonts w:ascii="Times New Roman" w:hAnsi="Times New Roman"/>
                      <w:color w:val="000000"/>
                      <w:sz w:val="18"/>
                      <w:szCs w:val="18"/>
                    </w:rPr>
                    <w:sym w:font="Wingdings 2" w:char="00A3"/>
                  </w:r>
                </w:p>
              </w:tc>
              <w:tc>
                <w:tcPr>
                  <w:tcW w:w="3798" w:type="dxa"/>
                  <w:gridSpan w:val="13"/>
                  <w:vAlign w:val="center"/>
                </w:tcPr>
                <w:p>
                  <w:pPr>
                    <w:jc w:val="center"/>
                    <w:rPr>
                      <w:rFonts w:ascii="Times New Roman" w:hAnsi="Times New Roman"/>
                      <w:color w:val="000000"/>
                      <w:sz w:val="18"/>
                      <w:szCs w:val="18"/>
                    </w:rPr>
                  </w:pPr>
                  <w:r>
                    <w:rPr>
                      <w:rFonts w:ascii="Times New Roman" w:hAnsi="Times New Roman"/>
                      <w:color w:val="000000"/>
                      <w:sz w:val="18"/>
                      <w:szCs w:val="18"/>
                    </w:rPr>
                    <w:t>不达标区</w:t>
                  </w:r>
                  <w:r>
                    <w:rPr>
                      <w:rFonts w:ascii="Times New Roman" w:hAnsi="Times New Roman"/>
                      <w:color w:val="00000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Align w:val="center"/>
                </w:tcPr>
                <w:p>
                  <w:pPr>
                    <w:jc w:val="center"/>
                    <w:rPr>
                      <w:rFonts w:ascii="Times New Roman" w:hAnsi="Times New Roman"/>
                      <w:color w:val="000000"/>
                      <w:sz w:val="18"/>
                      <w:szCs w:val="18"/>
                    </w:rPr>
                  </w:pPr>
                  <w:r>
                    <w:rPr>
                      <w:rFonts w:ascii="Times New Roman" w:hAnsi="Times New Roman"/>
                      <w:color w:val="000000"/>
                      <w:sz w:val="18"/>
                      <w:szCs w:val="18"/>
                    </w:rPr>
                    <w:t>污染源调查</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调查内容</w:t>
                  </w:r>
                </w:p>
              </w:tc>
              <w:tc>
                <w:tcPr>
                  <w:tcW w:w="2171"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本项目正常排放源 </w:t>
                  </w:r>
                  <w:r>
                    <w:rPr>
                      <w:rFonts w:ascii="Times New Roman" w:hAnsi="Times New Roman"/>
                      <w:color w:val="000000"/>
                      <w:sz w:val="18"/>
                      <w:szCs w:val="18"/>
                    </w:rPr>
                    <w:sym w:font="Wingdings 2" w:char="0052"/>
                  </w:r>
                </w:p>
                <w:p>
                  <w:pPr>
                    <w:jc w:val="center"/>
                    <w:rPr>
                      <w:rFonts w:ascii="Times New Roman" w:hAnsi="Times New Roman"/>
                      <w:color w:val="000000"/>
                      <w:sz w:val="18"/>
                      <w:szCs w:val="18"/>
                    </w:rPr>
                  </w:pPr>
                  <w:r>
                    <w:rPr>
                      <w:rFonts w:ascii="Times New Roman" w:hAnsi="Times New Roman"/>
                      <w:color w:val="000000"/>
                      <w:sz w:val="18"/>
                      <w:szCs w:val="18"/>
                    </w:rPr>
                    <w:t xml:space="preserve">本项目非正常排放源 </w:t>
                  </w:r>
                  <w:r>
                    <w:rPr>
                      <w:rFonts w:ascii="Times New Roman" w:hAnsi="Times New Roman"/>
                      <w:color w:val="000000"/>
                      <w:sz w:val="18"/>
                      <w:szCs w:val="18"/>
                    </w:rPr>
                    <w:sym w:font="Wingdings 2" w:char="00A3"/>
                  </w:r>
                </w:p>
                <w:p>
                  <w:pPr>
                    <w:jc w:val="center"/>
                    <w:rPr>
                      <w:rFonts w:ascii="Times New Roman" w:hAnsi="Times New Roman"/>
                      <w:color w:val="000000"/>
                      <w:sz w:val="18"/>
                      <w:szCs w:val="18"/>
                    </w:rPr>
                  </w:pPr>
                  <w:r>
                    <w:rPr>
                      <w:rFonts w:ascii="Times New Roman" w:hAnsi="Times New Roman"/>
                      <w:color w:val="000000"/>
                      <w:sz w:val="18"/>
                      <w:szCs w:val="18"/>
                    </w:rPr>
                    <w:t>现有污染源</w:t>
                  </w:r>
                  <w:r>
                    <w:rPr>
                      <w:rFonts w:ascii="Times New Roman" w:hAnsi="Times New Roman"/>
                      <w:color w:val="000000"/>
                      <w:sz w:val="18"/>
                      <w:szCs w:val="18"/>
                    </w:rPr>
                    <w:sym w:font="Wingdings 2" w:char="0052"/>
                  </w:r>
                </w:p>
              </w:tc>
              <w:tc>
                <w:tcPr>
                  <w:tcW w:w="1062" w:type="dxa"/>
                  <w:gridSpan w:val="3"/>
                  <w:vAlign w:val="center"/>
                </w:tcPr>
                <w:p>
                  <w:pPr>
                    <w:jc w:val="center"/>
                    <w:rPr>
                      <w:rFonts w:ascii="Times New Roman" w:hAnsi="Times New Roman"/>
                      <w:color w:val="000000"/>
                      <w:sz w:val="18"/>
                      <w:szCs w:val="18"/>
                    </w:rPr>
                  </w:pPr>
                  <w:r>
                    <w:rPr>
                      <w:rFonts w:ascii="Times New Roman" w:hAnsi="Times New Roman"/>
                      <w:color w:val="000000"/>
                      <w:sz w:val="18"/>
                      <w:szCs w:val="18"/>
                    </w:rPr>
                    <w:t>拟替代的污染源□</w:t>
                  </w:r>
                </w:p>
              </w:tc>
              <w:tc>
                <w:tcPr>
                  <w:tcW w:w="1509"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其他在建、拟建项目污染源□</w:t>
                  </w:r>
                </w:p>
              </w:tc>
              <w:tc>
                <w:tcPr>
                  <w:tcW w:w="1227" w:type="dxa"/>
                  <w:gridSpan w:val="3"/>
                  <w:vAlign w:val="center"/>
                </w:tcPr>
                <w:p>
                  <w:pPr>
                    <w:jc w:val="center"/>
                    <w:rPr>
                      <w:rFonts w:ascii="Times New Roman" w:hAnsi="Times New Roman"/>
                      <w:color w:val="000000"/>
                      <w:sz w:val="18"/>
                      <w:szCs w:val="18"/>
                    </w:rPr>
                  </w:pPr>
                  <w:r>
                    <w:rPr>
                      <w:rFonts w:ascii="Times New Roman" w:hAnsi="Times New Roman"/>
                      <w:color w:val="000000"/>
                      <w:sz w:val="18"/>
                      <w:szCs w:val="18"/>
                    </w:rPr>
                    <w:t>区域污染源□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大气环境影响预测与评价</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预测模型</w:t>
                  </w:r>
                </w:p>
              </w:tc>
              <w:tc>
                <w:tcPr>
                  <w:tcW w:w="970" w:type="dxa"/>
                  <w:gridSpan w:val="2"/>
                  <w:vAlign w:val="center"/>
                </w:tcPr>
                <w:p>
                  <w:pPr>
                    <w:jc w:val="center"/>
                    <w:rPr>
                      <w:rFonts w:ascii="Times New Roman" w:hAnsi="Times New Roman"/>
                      <w:color w:val="000000"/>
                      <w:sz w:val="18"/>
                      <w:szCs w:val="18"/>
                    </w:rPr>
                  </w:pPr>
                  <w:r>
                    <w:rPr>
                      <w:rFonts w:ascii="Times New Roman" w:hAnsi="Times New Roman"/>
                      <w:color w:val="000000"/>
                      <w:sz w:val="18"/>
                      <w:szCs w:val="18"/>
                    </w:rPr>
                    <w:t>AERMOD</w:t>
                  </w:r>
                  <w:r>
                    <w:rPr>
                      <w:rFonts w:ascii="Times New Roman" w:hAnsi="Times New Roman"/>
                      <w:color w:val="000000"/>
                      <w:sz w:val="18"/>
                      <w:szCs w:val="18"/>
                    </w:rPr>
                    <w:sym w:font="Wingdings 2" w:char="0052"/>
                  </w:r>
                </w:p>
              </w:tc>
              <w:tc>
                <w:tcPr>
                  <w:tcW w:w="831" w:type="dxa"/>
                  <w:gridSpan w:val="3"/>
                  <w:vAlign w:val="center"/>
                </w:tcPr>
                <w:p>
                  <w:pPr>
                    <w:jc w:val="center"/>
                    <w:rPr>
                      <w:rFonts w:ascii="Times New Roman" w:hAnsi="Times New Roman"/>
                      <w:color w:val="000000"/>
                      <w:sz w:val="18"/>
                      <w:szCs w:val="18"/>
                    </w:rPr>
                  </w:pPr>
                  <w:r>
                    <w:rPr>
                      <w:rFonts w:ascii="Times New Roman" w:hAnsi="Times New Roman"/>
                      <w:color w:val="000000"/>
                      <w:sz w:val="18"/>
                      <w:szCs w:val="18"/>
                    </w:rPr>
                    <w:t>ADMS□</w:t>
                  </w:r>
                </w:p>
              </w:tc>
              <w:tc>
                <w:tcPr>
                  <w:tcW w:w="847" w:type="dxa"/>
                  <w:gridSpan w:val="4"/>
                  <w:vAlign w:val="center"/>
                </w:tcPr>
                <w:p>
                  <w:pPr>
                    <w:jc w:val="center"/>
                    <w:rPr>
                      <w:rFonts w:ascii="Times New Roman" w:hAnsi="Times New Roman"/>
                      <w:color w:val="000000"/>
                      <w:sz w:val="18"/>
                      <w:szCs w:val="18"/>
                    </w:rPr>
                  </w:pPr>
                  <w:r>
                    <w:rPr>
                      <w:rFonts w:ascii="Times New Roman" w:hAnsi="Times New Roman"/>
                      <w:color w:val="000000"/>
                      <w:sz w:val="18"/>
                      <w:szCs w:val="18"/>
                    </w:rPr>
                    <w:t>AUSTAL2000□</w:t>
                  </w:r>
                </w:p>
              </w:tc>
              <w:tc>
                <w:tcPr>
                  <w:tcW w:w="878" w:type="dxa"/>
                  <w:gridSpan w:val="4"/>
                  <w:vAlign w:val="center"/>
                </w:tcPr>
                <w:p>
                  <w:pPr>
                    <w:jc w:val="center"/>
                    <w:rPr>
                      <w:rFonts w:ascii="Times New Roman" w:hAnsi="Times New Roman"/>
                      <w:color w:val="000000"/>
                      <w:sz w:val="18"/>
                      <w:szCs w:val="18"/>
                    </w:rPr>
                  </w:pPr>
                  <w:r>
                    <w:rPr>
                      <w:rFonts w:ascii="Times New Roman" w:hAnsi="Times New Roman"/>
                      <w:color w:val="000000"/>
                      <w:sz w:val="18"/>
                      <w:szCs w:val="18"/>
                    </w:rPr>
                    <w:t>EDMS/AEDT□</w:t>
                  </w:r>
                </w:p>
              </w:tc>
              <w:tc>
                <w:tcPr>
                  <w:tcW w:w="1078" w:type="dxa"/>
                  <w:gridSpan w:val="4"/>
                  <w:vAlign w:val="center"/>
                </w:tcPr>
                <w:p>
                  <w:pPr>
                    <w:jc w:val="center"/>
                    <w:rPr>
                      <w:rFonts w:ascii="Times New Roman" w:hAnsi="Times New Roman"/>
                      <w:color w:val="000000"/>
                      <w:sz w:val="18"/>
                      <w:szCs w:val="18"/>
                    </w:rPr>
                  </w:pPr>
                  <w:r>
                    <w:rPr>
                      <w:rFonts w:ascii="Times New Roman" w:hAnsi="Times New Roman"/>
                      <w:color w:val="000000"/>
                      <w:sz w:val="18"/>
                      <w:szCs w:val="18"/>
                    </w:rPr>
                    <w:t>CALPUFF□</w:t>
                  </w:r>
                </w:p>
              </w:tc>
              <w:tc>
                <w:tcPr>
                  <w:tcW w:w="754" w:type="dxa"/>
                  <w:gridSpan w:val="3"/>
                  <w:vAlign w:val="center"/>
                </w:tcPr>
                <w:p>
                  <w:pPr>
                    <w:jc w:val="center"/>
                    <w:rPr>
                      <w:rFonts w:ascii="Times New Roman" w:hAnsi="Times New Roman"/>
                      <w:color w:val="000000"/>
                      <w:sz w:val="18"/>
                      <w:szCs w:val="18"/>
                    </w:rPr>
                  </w:pPr>
                  <w:r>
                    <w:rPr>
                      <w:rFonts w:ascii="Times New Roman" w:hAnsi="Times New Roman"/>
                      <w:color w:val="000000"/>
                      <w:sz w:val="18"/>
                      <w:szCs w:val="18"/>
                    </w:rPr>
                    <w:t>网格模型□</w:t>
                  </w:r>
                </w:p>
              </w:tc>
              <w:tc>
                <w:tcPr>
                  <w:tcW w:w="611" w:type="dxa"/>
                  <w:vAlign w:val="center"/>
                </w:tcPr>
                <w:p>
                  <w:pPr>
                    <w:jc w:val="center"/>
                    <w:rPr>
                      <w:rFonts w:ascii="Times New Roman" w:hAnsi="Times New Roman"/>
                      <w:color w:val="000000"/>
                      <w:sz w:val="18"/>
                      <w:szCs w:val="18"/>
                    </w:rPr>
                  </w:pPr>
                  <w:r>
                    <w:rPr>
                      <w:rFonts w:ascii="Times New Roman" w:hAnsi="Times New Roman"/>
                      <w:color w:val="000000"/>
                      <w:sz w:val="18"/>
                      <w:szCs w:val="18"/>
                    </w:rPr>
                    <w:t>其他</w:t>
                  </w:r>
                </w:p>
                <w:p>
                  <w:pPr>
                    <w:jc w:val="center"/>
                    <w:rPr>
                      <w:rFonts w:ascii="Times New Roman" w:hAnsi="Times New Roman"/>
                      <w:color w:val="000000"/>
                      <w:sz w:val="18"/>
                      <w:szCs w:val="18"/>
                    </w:rPr>
                  </w:pP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预测范围</w:t>
                  </w:r>
                </w:p>
              </w:tc>
              <w:tc>
                <w:tcPr>
                  <w:tcW w:w="1801" w:type="dxa"/>
                  <w:gridSpan w:val="5"/>
                  <w:vAlign w:val="center"/>
                </w:tcPr>
                <w:p>
                  <w:pPr>
                    <w:jc w:val="center"/>
                    <w:rPr>
                      <w:rFonts w:ascii="Times New Roman" w:hAnsi="Times New Roman"/>
                      <w:color w:val="000000"/>
                      <w:sz w:val="18"/>
                      <w:szCs w:val="18"/>
                    </w:rPr>
                  </w:pPr>
                  <w:r>
                    <w:rPr>
                      <w:rFonts w:ascii="Times New Roman" w:hAnsi="Times New Roman"/>
                      <w:color w:val="000000"/>
                      <w:sz w:val="18"/>
                      <w:szCs w:val="18"/>
                    </w:rPr>
                    <w:t>边长≥ 50km□</w:t>
                  </w:r>
                </w:p>
              </w:tc>
              <w:tc>
                <w:tcPr>
                  <w:tcW w:w="2218" w:type="dxa"/>
                  <w:gridSpan w:val="9"/>
                  <w:vAlign w:val="center"/>
                </w:tcPr>
                <w:p>
                  <w:pPr>
                    <w:jc w:val="center"/>
                    <w:rPr>
                      <w:rFonts w:ascii="Times New Roman" w:hAnsi="Times New Roman"/>
                      <w:color w:val="000000"/>
                      <w:sz w:val="18"/>
                      <w:szCs w:val="18"/>
                    </w:rPr>
                  </w:pPr>
                  <w:r>
                    <w:rPr>
                      <w:rFonts w:ascii="Times New Roman" w:hAnsi="Times New Roman"/>
                      <w:color w:val="000000"/>
                      <w:sz w:val="18"/>
                      <w:szCs w:val="18"/>
                    </w:rPr>
                    <w:t>边长 5～50km □</w:t>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边长 = 5 km </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预测因子</w:t>
                  </w:r>
                </w:p>
              </w:tc>
              <w:tc>
                <w:tcPr>
                  <w:tcW w:w="4019" w:type="dxa"/>
                  <w:gridSpan w:val="14"/>
                  <w:vAlign w:val="center"/>
                </w:tcPr>
                <w:p>
                  <w:pPr>
                    <w:jc w:val="center"/>
                    <w:rPr>
                      <w:rFonts w:ascii="Times New Roman" w:hAnsi="Times New Roman"/>
                      <w:color w:val="000000"/>
                      <w:sz w:val="18"/>
                      <w:szCs w:val="18"/>
                    </w:rPr>
                  </w:pPr>
                  <w:r>
                    <w:rPr>
                      <w:rFonts w:ascii="Times New Roman" w:hAnsi="Times New Roman"/>
                      <w:color w:val="000000"/>
                      <w:sz w:val="18"/>
                      <w:szCs w:val="18"/>
                    </w:rPr>
                    <w:t>预测因子 ()</w:t>
                  </w:r>
                </w:p>
              </w:tc>
              <w:tc>
                <w:tcPr>
                  <w:tcW w:w="1950"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包括二次 PM2.5 □</w:t>
                  </w:r>
                </w:p>
                <w:p>
                  <w:pPr>
                    <w:jc w:val="center"/>
                    <w:rPr>
                      <w:rFonts w:ascii="Times New Roman" w:hAnsi="Times New Roman"/>
                      <w:color w:val="000000"/>
                      <w:sz w:val="18"/>
                      <w:szCs w:val="18"/>
                    </w:rPr>
                  </w:pPr>
                  <w:r>
                    <w:rPr>
                      <w:rFonts w:ascii="Times New Roman" w:hAnsi="Times New Roman"/>
                      <w:color w:val="000000"/>
                      <w:sz w:val="18"/>
                      <w:szCs w:val="18"/>
                    </w:rPr>
                    <w:t xml:space="preserve">不包括二次PM2.5 </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正常排放短期浓度贡献值</w:t>
                  </w:r>
                </w:p>
              </w:tc>
              <w:tc>
                <w:tcPr>
                  <w:tcW w:w="3233" w:type="dxa"/>
                  <w:gridSpan w:val="11"/>
                  <w:vAlign w:val="center"/>
                </w:tcPr>
                <w:p>
                  <w:pPr>
                    <w:jc w:val="center"/>
                    <w:rPr>
                      <w:rFonts w:ascii="Times New Roman" w:hAnsi="Times New Roman"/>
                      <w:color w:val="000000"/>
                      <w:sz w:val="18"/>
                      <w:szCs w:val="18"/>
                    </w:rPr>
                  </w:pPr>
                  <w:r>
                    <w:rPr>
                      <w:rFonts w:ascii="Times New Roman" w:hAnsi="Times New Roman"/>
                      <w:color w:val="000000"/>
                      <w:sz w:val="18"/>
                      <w:szCs w:val="18"/>
                    </w:rPr>
                    <w:t>本项目最大占标率≤100%</w:t>
                  </w:r>
                  <w:r>
                    <w:rPr>
                      <w:rFonts w:ascii="Times New Roman" w:hAnsi="Times New Roman"/>
                      <w:color w:val="000000"/>
                      <w:sz w:val="18"/>
                      <w:szCs w:val="18"/>
                    </w:rPr>
                    <w:sym w:font="Wingdings 2" w:char="00A3"/>
                  </w:r>
                </w:p>
              </w:tc>
              <w:tc>
                <w:tcPr>
                  <w:tcW w:w="273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本项目最大占标率＞100%</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正常排放年均浓度贡献值</w:t>
                  </w:r>
                </w:p>
              </w:tc>
              <w:tc>
                <w:tcPr>
                  <w:tcW w:w="847" w:type="dxa"/>
                  <w:vAlign w:val="center"/>
                </w:tcPr>
                <w:p>
                  <w:pPr>
                    <w:jc w:val="center"/>
                    <w:rPr>
                      <w:rFonts w:ascii="Times New Roman" w:hAnsi="Times New Roman"/>
                      <w:color w:val="000000"/>
                      <w:sz w:val="18"/>
                      <w:szCs w:val="18"/>
                    </w:rPr>
                  </w:pPr>
                  <w:r>
                    <w:rPr>
                      <w:rFonts w:ascii="Times New Roman" w:hAnsi="Times New Roman"/>
                      <w:color w:val="000000"/>
                      <w:sz w:val="18"/>
                      <w:szCs w:val="18"/>
                    </w:rPr>
                    <w:t>一类区</w:t>
                  </w:r>
                </w:p>
              </w:tc>
              <w:tc>
                <w:tcPr>
                  <w:tcW w:w="238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本项目最大占标率≤10%□</w:t>
                  </w:r>
                </w:p>
              </w:tc>
              <w:tc>
                <w:tcPr>
                  <w:tcW w:w="273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本项目最大占标率＞≤10%□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Merge w:val="continue"/>
                  <w:vAlign w:val="center"/>
                </w:tcPr>
                <w:p>
                  <w:pPr>
                    <w:jc w:val="center"/>
                    <w:rPr>
                      <w:rFonts w:ascii="Times New Roman" w:hAnsi="Times New Roman"/>
                      <w:color w:val="000000"/>
                      <w:sz w:val="18"/>
                      <w:szCs w:val="18"/>
                    </w:rPr>
                  </w:pPr>
                </w:p>
              </w:tc>
              <w:tc>
                <w:tcPr>
                  <w:tcW w:w="847" w:type="dxa"/>
                  <w:vAlign w:val="center"/>
                </w:tcPr>
                <w:p>
                  <w:pPr>
                    <w:jc w:val="center"/>
                    <w:rPr>
                      <w:rFonts w:ascii="Times New Roman" w:hAnsi="Times New Roman"/>
                      <w:color w:val="000000"/>
                      <w:sz w:val="18"/>
                      <w:szCs w:val="18"/>
                    </w:rPr>
                  </w:pPr>
                  <w:r>
                    <w:rPr>
                      <w:rFonts w:ascii="Times New Roman" w:hAnsi="Times New Roman"/>
                      <w:color w:val="000000"/>
                      <w:sz w:val="18"/>
                      <w:szCs w:val="18"/>
                    </w:rPr>
                    <w:t>二类区</w:t>
                  </w:r>
                </w:p>
              </w:tc>
              <w:tc>
                <w:tcPr>
                  <w:tcW w:w="238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本项目最大占标率≤30%</w:t>
                  </w:r>
                  <w:r>
                    <w:rPr>
                      <w:rFonts w:ascii="Times New Roman" w:hAnsi="Times New Roman"/>
                      <w:color w:val="000000"/>
                      <w:sz w:val="18"/>
                      <w:szCs w:val="18"/>
                    </w:rPr>
                    <w:sym w:font="Wingdings 2" w:char="00A3"/>
                  </w:r>
                </w:p>
              </w:tc>
              <w:tc>
                <w:tcPr>
                  <w:tcW w:w="273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本项目最大占标率＞30%□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非正常排放1h浓度贡献值</w:t>
                  </w:r>
                </w:p>
              </w:tc>
              <w:tc>
                <w:tcPr>
                  <w:tcW w:w="1293" w:type="dxa"/>
                  <w:gridSpan w:val="3"/>
                  <w:vAlign w:val="center"/>
                </w:tcPr>
                <w:p>
                  <w:pPr>
                    <w:jc w:val="center"/>
                    <w:rPr>
                      <w:rFonts w:ascii="Times New Roman" w:hAnsi="Times New Roman"/>
                      <w:color w:val="000000"/>
                      <w:sz w:val="18"/>
                      <w:szCs w:val="18"/>
                    </w:rPr>
                  </w:pPr>
                  <w:r>
                    <w:rPr>
                      <w:rFonts w:ascii="Times New Roman" w:hAnsi="Times New Roman"/>
                      <w:color w:val="000000"/>
                      <w:sz w:val="18"/>
                      <w:szCs w:val="18"/>
                    </w:rPr>
                    <w:t>非正常持续时长（）h</w:t>
                  </w:r>
                </w:p>
              </w:tc>
              <w:tc>
                <w:tcPr>
                  <w:tcW w:w="1940"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非正常占标率≤100% </w:t>
                  </w:r>
                  <w:r>
                    <w:rPr>
                      <w:rFonts w:ascii="Times New Roman" w:hAnsi="Times New Roman"/>
                      <w:color w:val="000000"/>
                      <w:sz w:val="18"/>
                      <w:szCs w:val="18"/>
                    </w:rPr>
                    <w:sym w:font="Wingdings 2" w:char="00A3"/>
                  </w:r>
                </w:p>
              </w:tc>
              <w:tc>
                <w:tcPr>
                  <w:tcW w:w="273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非正常占标率＞100% </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保证率日平均浓度和年平均浓度叠加值</w:t>
                  </w:r>
                </w:p>
              </w:tc>
              <w:tc>
                <w:tcPr>
                  <w:tcW w:w="3233" w:type="dxa"/>
                  <w:gridSpan w:val="11"/>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叠加达标 </w:t>
                  </w:r>
                  <w:r>
                    <w:rPr>
                      <w:rFonts w:ascii="Times New Roman" w:hAnsi="Times New Roman"/>
                      <w:color w:val="000000"/>
                      <w:sz w:val="18"/>
                      <w:szCs w:val="18"/>
                    </w:rPr>
                    <w:sym w:font="Wingdings 2" w:char="00A3"/>
                  </w:r>
                </w:p>
              </w:tc>
              <w:tc>
                <w:tcPr>
                  <w:tcW w:w="273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叠加不达标</w:t>
                  </w:r>
                  <w:r>
                    <w:rPr>
                      <w:rFonts w:ascii="Times New Roman" w:hAnsi="Times New Roman"/>
                      <w:color w:val="00000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区域环境质量的整体变化情况</w:t>
                  </w:r>
                </w:p>
              </w:tc>
              <w:tc>
                <w:tcPr>
                  <w:tcW w:w="3233" w:type="dxa"/>
                  <w:gridSpan w:val="11"/>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 k ≤-20% </w:t>
                  </w:r>
                  <w:r>
                    <w:rPr>
                      <w:rFonts w:ascii="Times New Roman" w:hAnsi="Times New Roman"/>
                      <w:color w:val="000000"/>
                      <w:sz w:val="18"/>
                      <w:szCs w:val="18"/>
                    </w:rPr>
                    <w:sym w:font="Wingdings 2" w:char="00A3"/>
                  </w:r>
                </w:p>
              </w:tc>
              <w:tc>
                <w:tcPr>
                  <w:tcW w:w="2736" w:type="dxa"/>
                  <w:gridSpan w:val="10"/>
                  <w:vAlign w:val="center"/>
                </w:tcPr>
                <w:p>
                  <w:pPr>
                    <w:jc w:val="center"/>
                    <w:rPr>
                      <w:rFonts w:ascii="Times New Roman" w:hAnsi="Times New Roman"/>
                      <w:color w:val="000000"/>
                      <w:sz w:val="18"/>
                      <w:szCs w:val="18"/>
                    </w:rPr>
                  </w:pPr>
                  <w:r>
                    <w:rPr>
                      <w:rFonts w:ascii="Times New Roman" w:hAnsi="Times New Roman"/>
                      <w:color w:val="000000"/>
                      <w:sz w:val="18"/>
                      <w:szCs w:val="18"/>
                    </w:rPr>
                    <w:t>k ＞-20%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环境监测计划</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污染源监测</w:t>
                  </w:r>
                </w:p>
              </w:tc>
              <w:tc>
                <w:tcPr>
                  <w:tcW w:w="2079"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监测因子：（TSP</w:t>
                  </w:r>
                  <w:r>
                    <w:rPr>
                      <w:rFonts w:hint="eastAsia" w:ascii="Times New Roman" w:hAnsi="Times New Roman"/>
                      <w:color w:val="000000"/>
                      <w:sz w:val="18"/>
                      <w:szCs w:val="18"/>
                    </w:rPr>
                    <w:t>）</w:t>
                  </w:r>
                </w:p>
              </w:tc>
              <w:tc>
                <w:tcPr>
                  <w:tcW w:w="1955"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有组织废气监测 </w:t>
                  </w:r>
                  <w:r>
                    <w:rPr>
                      <w:rFonts w:ascii="Times New Roman" w:hAnsi="Times New Roman"/>
                      <w:color w:val="000000"/>
                      <w:sz w:val="18"/>
                      <w:szCs w:val="18"/>
                    </w:rPr>
                    <w:sym w:font="Wingdings 2" w:char="00A3"/>
                  </w:r>
                </w:p>
                <w:p>
                  <w:pPr>
                    <w:jc w:val="center"/>
                    <w:rPr>
                      <w:rFonts w:ascii="Times New Roman" w:hAnsi="Times New Roman"/>
                      <w:color w:val="000000"/>
                      <w:sz w:val="18"/>
                      <w:szCs w:val="18"/>
                    </w:rPr>
                  </w:pPr>
                  <w:r>
                    <w:rPr>
                      <w:rFonts w:ascii="Times New Roman" w:hAnsi="Times New Roman"/>
                      <w:color w:val="000000"/>
                      <w:sz w:val="18"/>
                      <w:szCs w:val="18"/>
                    </w:rPr>
                    <w:t xml:space="preserve">无组织废气监测 </w:t>
                  </w:r>
                  <w:r>
                    <w:rPr>
                      <w:rFonts w:ascii="Times New Roman" w:hAnsi="Times New Roman"/>
                      <w:color w:val="000000"/>
                      <w:sz w:val="18"/>
                      <w:szCs w:val="18"/>
                    </w:rPr>
                    <w:sym w:font="Wingdings 2" w:char="0052"/>
                  </w:r>
                </w:p>
              </w:tc>
              <w:tc>
                <w:tcPr>
                  <w:tcW w:w="1935"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环境质量监测</w:t>
                  </w:r>
                </w:p>
              </w:tc>
              <w:tc>
                <w:tcPr>
                  <w:tcW w:w="2079" w:type="dxa"/>
                  <w:gridSpan w:val="7"/>
                  <w:vAlign w:val="center"/>
                </w:tcPr>
                <w:p>
                  <w:pPr>
                    <w:jc w:val="center"/>
                    <w:rPr>
                      <w:rFonts w:ascii="Times New Roman" w:hAnsi="Times New Roman"/>
                      <w:color w:val="000000"/>
                      <w:sz w:val="18"/>
                      <w:szCs w:val="18"/>
                    </w:rPr>
                  </w:pPr>
                  <w:r>
                    <w:rPr>
                      <w:rFonts w:ascii="Times New Roman" w:hAnsi="Times New Roman"/>
                      <w:color w:val="000000"/>
                      <w:sz w:val="18"/>
                      <w:szCs w:val="18"/>
                    </w:rPr>
                    <w:t>监测因子：（）</w:t>
                  </w:r>
                </w:p>
              </w:tc>
              <w:tc>
                <w:tcPr>
                  <w:tcW w:w="1955" w:type="dxa"/>
                  <w:gridSpan w:val="8"/>
                  <w:vAlign w:val="center"/>
                </w:tcPr>
                <w:p>
                  <w:pPr>
                    <w:jc w:val="center"/>
                    <w:rPr>
                      <w:rFonts w:ascii="Times New Roman" w:hAnsi="Times New Roman"/>
                      <w:color w:val="000000"/>
                      <w:sz w:val="18"/>
                      <w:szCs w:val="18"/>
                    </w:rPr>
                  </w:pPr>
                  <w:r>
                    <w:rPr>
                      <w:rFonts w:ascii="Times New Roman" w:hAnsi="Times New Roman"/>
                      <w:color w:val="000000"/>
                      <w:sz w:val="18"/>
                      <w:szCs w:val="18"/>
                    </w:rPr>
                    <w:t>监测点位数（ ）</w:t>
                  </w:r>
                </w:p>
              </w:tc>
              <w:tc>
                <w:tcPr>
                  <w:tcW w:w="1935"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无监测</w:t>
                  </w:r>
                  <w:r>
                    <w:rPr>
                      <w:rFonts w:ascii="Times New Roman" w:hAnsi="Times New Roman"/>
                      <w:color w:val="00000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vAlign w:val="center"/>
                </w:tcPr>
                <w:p>
                  <w:pPr>
                    <w:jc w:val="center"/>
                    <w:rPr>
                      <w:rFonts w:ascii="Times New Roman" w:hAnsi="Times New Roman"/>
                      <w:color w:val="000000"/>
                      <w:sz w:val="18"/>
                      <w:szCs w:val="18"/>
                    </w:rPr>
                  </w:pPr>
                  <w:r>
                    <w:rPr>
                      <w:rFonts w:ascii="Times New Roman" w:hAnsi="Times New Roman"/>
                      <w:color w:val="000000"/>
                      <w:sz w:val="18"/>
                      <w:szCs w:val="18"/>
                    </w:rPr>
                    <w:t>评价结论</w:t>
                  </w: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环境影响</w:t>
                  </w:r>
                </w:p>
              </w:tc>
              <w:tc>
                <w:tcPr>
                  <w:tcW w:w="5969" w:type="dxa"/>
                  <w:gridSpan w:val="21"/>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可以接受 </w:t>
                  </w:r>
                  <w:r>
                    <w:rPr>
                      <w:rFonts w:ascii="Times New Roman" w:hAnsi="Times New Roman"/>
                      <w:color w:val="000000"/>
                      <w:sz w:val="18"/>
                      <w:szCs w:val="18"/>
                    </w:rPr>
                    <w:sym w:font="Wingdings 2" w:char="0052"/>
                  </w:r>
                  <w:r>
                    <w:rPr>
                      <w:rFonts w:ascii="Times New Roman" w:hAnsi="Times New Roman"/>
                      <w:color w:val="000000"/>
                      <w:sz w:val="18"/>
                      <w:szCs w:val="18"/>
                    </w:rPr>
                    <w:t>不可以接受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大气环境防护距离</w:t>
                  </w:r>
                </w:p>
              </w:tc>
              <w:tc>
                <w:tcPr>
                  <w:tcW w:w="5969" w:type="dxa"/>
                  <w:gridSpan w:val="21"/>
                  <w:vAlign w:val="center"/>
                </w:tcPr>
                <w:p>
                  <w:pPr>
                    <w:jc w:val="center"/>
                    <w:rPr>
                      <w:rFonts w:ascii="Times New Roman" w:hAnsi="Times New Roman"/>
                      <w:color w:val="000000"/>
                      <w:sz w:val="18"/>
                      <w:szCs w:val="18"/>
                    </w:rPr>
                  </w:pPr>
                  <w:r>
                    <w:rPr>
                      <w:rFonts w:ascii="Times New Roman" w:hAnsi="Times New Roman"/>
                      <w:color w:val="000000"/>
                      <w:sz w:val="18"/>
                      <w:szCs w:val="18"/>
                    </w:rPr>
                    <w:t>距（ ）厂界最远（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vAlign w:val="center"/>
                </w:tcPr>
                <w:p>
                  <w:pPr>
                    <w:jc w:val="center"/>
                    <w:rPr>
                      <w:rFonts w:ascii="Times New Roman" w:hAnsi="Times New Roman"/>
                      <w:color w:val="000000"/>
                      <w:sz w:val="18"/>
                      <w:szCs w:val="18"/>
                    </w:rPr>
                  </w:pPr>
                </w:p>
              </w:tc>
              <w:tc>
                <w:tcPr>
                  <w:tcW w:w="1878" w:type="dxa"/>
                  <w:vAlign w:val="center"/>
                </w:tcPr>
                <w:p>
                  <w:pPr>
                    <w:jc w:val="center"/>
                    <w:rPr>
                      <w:rFonts w:ascii="Times New Roman" w:hAnsi="Times New Roman"/>
                      <w:color w:val="000000"/>
                      <w:sz w:val="18"/>
                      <w:szCs w:val="18"/>
                    </w:rPr>
                  </w:pPr>
                  <w:r>
                    <w:rPr>
                      <w:rFonts w:ascii="Times New Roman" w:hAnsi="Times New Roman"/>
                      <w:color w:val="000000"/>
                      <w:sz w:val="18"/>
                      <w:szCs w:val="18"/>
                    </w:rPr>
                    <w:t>污染源年排放量</w:t>
                  </w:r>
                </w:p>
              </w:tc>
              <w:tc>
                <w:tcPr>
                  <w:tcW w:w="1478" w:type="dxa"/>
                  <w:gridSpan w:val="4"/>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 SO</w:t>
                  </w:r>
                  <w:r>
                    <w:rPr>
                      <w:rFonts w:ascii="Times New Roman" w:hAnsi="Times New Roman"/>
                      <w:color w:val="000000"/>
                      <w:sz w:val="18"/>
                      <w:szCs w:val="18"/>
                      <w:vertAlign w:val="subscript"/>
                    </w:rPr>
                    <w:t>2</w:t>
                  </w:r>
                  <w:r>
                    <w:rPr>
                      <w:rFonts w:ascii="Times New Roman" w:hAnsi="Times New Roman"/>
                      <w:color w:val="000000"/>
                      <w:sz w:val="18"/>
                      <w:szCs w:val="18"/>
                    </w:rPr>
                    <w:t>:（</w:t>
                  </w:r>
                  <w:r>
                    <w:rPr>
                      <w:rFonts w:hint="eastAsia" w:ascii="Times New Roman" w:hAnsi="Times New Roman"/>
                      <w:color w:val="000000"/>
                      <w:sz w:val="18"/>
                      <w:szCs w:val="18"/>
                    </w:rPr>
                    <w:t>0</w:t>
                  </w:r>
                  <w:r>
                    <w:rPr>
                      <w:rFonts w:ascii="Times New Roman" w:hAnsi="Times New Roman"/>
                      <w:color w:val="000000"/>
                      <w:sz w:val="18"/>
                      <w:szCs w:val="18"/>
                    </w:rPr>
                    <w:t>）t/a</w:t>
                  </w:r>
                </w:p>
              </w:tc>
              <w:tc>
                <w:tcPr>
                  <w:tcW w:w="1386"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 xml:space="preserve"> NOx:（</w:t>
                  </w:r>
                  <w:r>
                    <w:rPr>
                      <w:rFonts w:hint="eastAsia" w:ascii="Times New Roman" w:hAnsi="Times New Roman"/>
                      <w:color w:val="000000"/>
                      <w:sz w:val="18"/>
                      <w:szCs w:val="18"/>
                    </w:rPr>
                    <w:t>0</w:t>
                  </w:r>
                  <w:r>
                    <w:rPr>
                      <w:rFonts w:ascii="Times New Roman" w:hAnsi="Times New Roman"/>
                      <w:color w:val="000000"/>
                      <w:sz w:val="18"/>
                      <w:szCs w:val="18"/>
                    </w:rPr>
                    <w:t>）t/a</w:t>
                  </w:r>
                </w:p>
              </w:tc>
              <w:tc>
                <w:tcPr>
                  <w:tcW w:w="1524" w:type="dxa"/>
                  <w:gridSpan w:val="6"/>
                  <w:vAlign w:val="center"/>
                </w:tcPr>
                <w:p>
                  <w:pPr>
                    <w:jc w:val="center"/>
                    <w:rPr>
                      <w:rFonts w:ascii="Times New Roman" w:hAnsi="Times New Roman"/>
                      <w:color w:val="000000"/>
                      <w:sz w:val="18"/>
                      <w:szCs w:val="18"/>
                    </w:rPr>
                  </w:pPr>
                  <w:r>
                    <w:rPr>
                      <w:rFonts w:ascii="Times New Roman" w:hAnsi="Times New Roman"/>
                      <w:color w:val="000000"/>
                      <w:sz w:val="18"/>
                      <w:szCs w:val="18"/>
                    </w:rPr>
                    <w:t>颗粒物:（</w:t>
                  </w:r>
                  <w:r>
                    <w:rPr>
                      <w:rFonts w:hint="eastAsia" w:ascii="Times New Roman" w:hAnsi="Times New Roman"/>
                      <w:color w:val="000000"/>
                      <w:sz w:val="18"/>
                      <w:szCs w:val="18"/>
                    </w:rPr>
                    <w:t>0</w:t>
                  </w:r>
                  <w:r>
                    <w:rPr>
                      <w:rFonts w:ascii="Times New Roman" w:hAnsi="Times New Roman"/>
                      <w:color w:val="000000"/>
                      <w:sz w:val="18"/>
                      <w:szCs w:val="18"/>
                    </w:rPr>
                    <w:t>）</w:t>
                  </w:r>
                  <w:r>
                    <w:rPr>
                      <w:rFonts w:hint="eastAsia" w:ascii="Times New Roman" w:hAnsi="Times New Roman"/>
                      <w:color w:val="000000"/>
                      <w:sz w:val="18"/>
                      <w:szCs w:val="18"/>
                    </w:rPr>
                    <w:t>t</w:t>
                  </w:r>
                  <w:r>
                    <w:rPr>
                      <w:rFonts w:ascii="Times New Roman" w:hAnsi="Times New Roman"/>
                      <w:color w:val="000000"/>
                      <w:sz w:val="18"/>
                      <w:szCs w:val="18"/>
                    </w:rPr>
                    <w:t>/a</w:t>
                  </w:r>
                </w:p>
              </w:tc>
              <w:tc>
                <w:tcPr>
                  <w:tcW w:w="1581" w:type="dxa"/>
                  <w:gridSpan w:val="5"/>
                  <w:vAlign w:val="center"/>
                </w:tcPr>
                <w:p>
                  <w:pPr>
                    <w:jc w:val="center"/>
                    <w:rPr>
                      <w:rFonts w:ascii="Times New Roman" w:hAnsi="Times New Roman"/>
                      <w:color w:val="000000"/>
                      <w:sz w:val="18"/>
                      <w:szCs w:val="18"/>
                    </w:rPr>
                  </w:pPr>
                  <w:r>
                    <w:rPr>
                      <w:rFonts w:ascii="Times New Roman" w:hAnsi="Times New Roman"/>
                      <w:color w:val="000000"/>
                      <w:sz w:val="18"/>
                      <w:szCs w:val="18"/>
                    </w:rPr>
                    <w:t>VOCs:（</w:t>
                  </w:r>
                  <w:r>
                    <w:rPr>
                      <w:rFonts w:hint="eastAsia" w:ascii="Times New Roman" w:hAnsi="Times New Roman"/>
                      <w:color w:val="000000"/>
                      <w:sz w:val="18"/>
                      <w:szCs w:val="18"/>
                    </w:rPr>
                    <w:t>0</w:t>
                  </w:r>
                  <w:r>
                    <w:rPr>
                      <w:rFonts w:ascii="Times New Roman" w:hAnsi="Times New Roman"/>
                      <w:color w:val="000000"/>
                      <w:sz w:val="18"/>
                      <w:szCs w:val="18"/>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45" w:type="dxa"/>
                  <w:gridSpan w:val="23"/>
                  <w:vAlign w:val="center"/>
                </w:tcPr>
                <w:p>
                  <w:pPr>
                    <w:jc w:val="left"/>
                    <w:rPr>
                      <w:rFonts w:ascii="Times New Roman" w:hAnsi="Times New Roman"/>
                      <w:color w:val="000000"/>
                      <w:sz w:val="18"/>
                      <w:szCs w:val="18"/>
                    </w:rPr>
                  </w:pPr>
                  <w:r>
                    <w:rPr>
                      <w:rFonts w:ascii="Times New Roman" w:hAnsi="Times New Roman"/>
                      <w:color w:val="000000"/>
                      <w:sz w:val="18"/>
                      <w:szCs w:val="18"/>
                    </w:rPr>
                    <w:t>注：“□” 为勾选项 ，填“√” ；“（ ）” 为内容填写项</w:t>
                  </w:r>
                </w:p>
              </w:tc>
            </w:tr>
          </w:tbl>
          <w:p>
            <w:pPr>
              <w:autoSpaceDE w:val="0"/>
              <w:autoSpaceDN w:val="0"/>
              <w:adjustRightInd w:val="0"/>
              <w:spacing w:line="360" w:lineRule="auto"/>
              <w:ind w:firstLine="480" w:firstLineChars="200"/>
              <w:rPr>
                <w:rFonts w:ascii="Times New Roman" w:hAnsi="Times New Roman"/>
                <w:bCs/>
                <w:color w:val="000000"/>
                <w:sz w:val="24"/>
              </w:rPr>
            </w:pPr>
            <w:r>
              <w:rPr>
                <w:rFonts w:ascii="Times New Roman" w:hAnsi="Times New Roman"/>
                <w:bCs/>
                <w:color w:val="000000"/>
                <w:sz w:val="24"/>
              </w:rPr>
              <w:t>三、声环境影响分析</w:t>
            </w:r>
          </w:p>
          <w:p>
            <w:pPr>
              <w:widowControl/>
              <w:spacing w:line="360" w:lineRule="auto"/>
              <w:ind w:firstLine="480" w:firstLineChars="200"/>
              <w:rPr>
                <w:rFonts w:ascii="Times New Roman" w:hAnsi="Times New Roman"/>
                <w:sz w:val="24"/>
                <w:szCs w:val="24"/>
              </w:rPr>
            </w:pPr>
            <w:r>
              <w:rPr>
                <w:rFonts w:hint="eastAsia" w:ascii="Times New Roman" w:hAnsi="Times New Roman"/>
                <w:sz w:val="24"/>
                <w:szCs w:val="24"/>
              </w:rPr>
              <w:t>（1）噪声源强</w:t>
            </w:r>
          </w:p>
          <w:p>
            <w:pPr>
              <w:widowControl/>
              <w:spacing w:line="360" w:lineRule="auto"/>
              <w:ind w:firstLine="480" w:firstLineChars="200"/>
              <w:rPr>
                <w:rFonts w:ascii="Times New Roman" w:hAnsi="Times New Roman" w:eastAsia="Calibri"/>
                <w:b/>
                <w:color w:val="000000"/>
                <w:sz w:val="24"/>
                <w:szCs w:val="22"/>
              </w:rPr>
            </w:pPr>
            <w:r>
              <w:rPr>
                <w:rFonts w:hint="eastAsia" w:ascii="Times New Roman" w:hAnsi="Times New Roman"/>
                <w:sz w:val="24"/>
                <w:szCs w:val="24"/>
              </w:rPr>
              <w:t>工艺站场噪声源包括站场汇气管、分离器、放空系统等，放空系统噪声只有在紧急事故状态下才会产生。</w:t>
            </w:r>
            <w:r>
              <w:rPr>
                <w:rFonts w:hint="eastAsia" w:ascii="Times New Roman" w:hAnsi="Times New Roman"/>
                <w:color w:val="000000"/>
                <w:sz w:val="24"/>
              </w:rPr>
              <w:t>运营</w:t>
            </w:r>
            <w:r>
              <w:rPr>
                <w:rFonts w:ascii="Times New Roman" w:hAnsi="Times New Roman"/>
                <w:color w:val="000000"/>
                <w:sz w:val="24"/>
              </w:rPr>
              <w:t>时利用墙壁的作用，使噪声受到不同程度的隔绝和吸收，做到尽可能屏蔽声源，减少对环境的影响。同时在总体布置上利用建筑物、构筑物来阻隔声波的传播。通常</w:t>
            </w:r>
            <w:r>
              <w:rPr>
                <w:rFonts w:hint="eastAsia" w:ascii="Times New Roman" w:hAnsi="Times New Roman"/>
                <w:color w:val="000000"/>
                <w:sz w:val="24"/>
              </w:rPr>
              <w:t>建筑物</w:t>
            </w:r>
            <w:r>
              <w:rPr>
                <w:rFonts w:ascii="Times New Roman" w:hAnsi="Times New Roman"/>
                <w:color w:val="000000"/>
                <w:sz w:val="24"/>
              </w:rPr>
              <w:t>的隔声量为18~22dB(A)。本项目主要设备噪声源强见下表。</w:t>
            </w:r>
          </w:p>
          <w:p>
            <w:pPr>
              <w:pStyle w:val="4"/>
              <w:tabs>
                <w:tab w:val="left" w:pos="2559"/>
                <w:tab w:val="left" w:pos="6171"/>
              </w:tabs>
              <w:spacing w:before="0" w:beforeLines="0" w:after="0" w:afterLines="0" w:line="360" w:lineRule="auto"/>
              <w:jc w:val="center"/>
              <w:rPr>
                <w:rFonts w:ascii="Times New Roman" w:hAnsi="Times New Roman" w:eastAsia="Calibri"/>
                <w:b/>
                <w:bCs w:val="0"/>
                <w:color w:val="000000"/>
                <w:szCs w:val="22"/>
              </w:rPr>
            </w:pPr>
            <w:r>
              <w:rPr>
                <w:rFonts w:ascii="Times New Roman" w:hAnsi="Times New Roman" w:eastAsia="Calibri"/>
                <w:b/>
                <w:bCs w:val="0"/>
                <w:color w:val="000000"/>
                <w:szCs w:val="22"/>
              </w:rPr>
              <w:t>表</w:t>
            </w:r>
            <w:r>
              <w:rPr>
                <w:rFonts w:hint="eastAsia" w:ascii="Times New Roman" w:hAnsi="Times New Roman" w:eastAsia="宋体"/>
                <w:b/>
                <w:bCs w:val="0"/>
                <w:color w:val="000000"/>
                <w:szCs w:val="22"/>
                <w:lang w:val="en-US" w:eastAsia="zh-CN"/>
              </w:rPr>
              <w:t>7-17</w:t>
            </w:r>
            <w:r>
              <w:rPr>
                <w:rFonts w:ascii="Times New Roman" w:hAnsi="Times New Roman" w:eastAsia="Calibri"/>
                <w:b/>
                <w:bCs w:val="0"/>
                <w:color w:val="000000"/>
                <w:szCs w:val="22"/>
              </w:rPr>
              <w:t xml:space="preserve">  营运期间噪声污染源强  </w:t>
            </w:r>
            <w:r>
              <w:rPr>
                <w:rFonts w:hint="eastAsia" w:ascii="Times New Roman" w:hAnsi="Times New Roman" w:eastAsia="宋体"/>
                <w:b/>
                <w:bCs w:val="0"/>
                <w:color w:val="000000"/>
                <w:szCs w:val="22"/>
              </w:rPr>
              <w:t xml:space="preserve">  </w:t>
            </w:r>
            <w:r>
              <w:rPr>
                <w:rFonts w:ascii="Times New Roman" w:hAnsi="Times New Roman" w:eastAsia="Calibri"/>
                <w:b/>
                <w:bCs w:val="0"/>
                <w:color w:val="000000"/>
                <w:szCs w:val="22"/>
              </w:rPr>
              <w:t>单位 dB（A）</w:t>
            </w:r>
          </w:p>
          <w:tbl>
            <w:tblPr>
              <w:tblStyle w:val="32"/>
              <w:tblW w:w="8844" w:type="dxa"/>
              <w:jc w:val="center"/>
              <w:tblLayout w:type="fixed"/>
              <w:tblCellMar>
                <w:top w:w="0" w:type="dxa"/>
                <w:left w:w="0" w:type="dxa"/>
                <w:bottom w:w="0" w:type="dxa"/>
                <w:right w:w="0" w:type="dxa"/>
              </w:tblCellMar>
            </w:tblPr>
            <w:tblGrid>
              <w:gridCol w:w="939"/>
              <w:gridCol w:w="2260"/>
              <w:gridCol w:w="1883"/>
              <w:gridCol w:w="1579"/>
              <w:gridCol w:w="2183"/>
            </w:tblGrid>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编号</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设备名称</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治理前等效声级[dB(A)]</w:t>
                  </w:r>
                </w:p>
              </w:tc>
              <w:tc>
                <w:tcPr>
                  <w:tcW w:w="1579"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治理措施</w:t>
                  </w: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治理后等效声级[dB(A)]</w:t>
                  </w:r>
                </w:p>
              </w:tc>
            </w:tr>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1</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bCs/>
                      <w:color w:val="000000"/>
                      <w:szCs w:val="22"/>
                    </w:rPr>
                  </w:pPr>
                  <w:r>
                    <w:rPr>
                      <w:rFonts w:hint="eastAsia" w:ascii="Times New Roman" w:hAnsi="Times New Roman"/>
                      <w:bCs/>
                      <w:color w:val="000000"/>
                      <w:szCs w:val="22"/>
                    </w:rPr>
                    <w:t>加热炉</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85~90</w:t>
                  </w:r>
                </w:p>
              </w:tc>
              <w:tc>
                <w:tcPr>
                  <w:tcW w:w="1579" w:type="dxa"/>
                  <w:vMerge w:val="restart"/>
                  <w:tcBorders>
                    <w:top w:val="single" w:color="000000" w:sz="4" w:space="0"/>
                    <w:left w:val="single" w:color="000000"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基础固定、减震、隔声</w:t>
                  </w: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65~70</w:t>
                  </w:r>
                </w:p>
              </w:tc>
            </w:tr>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2</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bCs/>
                      <w:color w:val="000000"/>
                      <w:szCs w:val="22"/>
                    </w:rPr>
                  </w:pPr>
                  <w:r>
                    <w:rPr>
                      <w:rFonts w:hint="eastAsia" w:ascii="Times New Roman" w:hAnsi="Times New Roman"/>
                      <w:color w:val="000000"/>
                      <w:szCs w:val="21"/>
                    </w:rPr>
                    <w:t>配电设备</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80~90</w:t>
                  </w:r>
                </w:p>
              </w:tc>
              <w:tc>
                <w:tcPr>
                  <w:tcW w:w="1579" w:type="dxa"/>
                  <w:vMerge w:val="continue"/>
                  <w:tcBorders>
                    <w:left w:val="single" w:color="000000" w:sz="4" w:space="0"/>
                    <w:right w:val="single" w:color="auto" w:sz="4" w:space="0"/>
                  </w:tcBorders>
                  <w:vAlign w:val="center"/>
                </w:tcPr>
                <w:p>
                  <w:pPr>
                    <w:jc w:val="center"/>
                    <w:rPr>
                      <w:rFonts w:ascii="Times New Roman" w:hAnsi="Times New Roman"/>
                      <w:color w:val="000000"/>
                      <w:szCs w:val="21"/>
                    </w:rPr>
                  </w:pP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60~</w:t>
                  </w:r>
                  <w:r>
                    <w:rPr>
                      <w:rFonts w:hint="eastAsia" w:ascii="Times New Roman" w:hAnsi="Times New Roman"/>
                      <w:color w:val="000000"/>
                      <w:szCs w:val="21"/>
                      <w:lang w:val="en-US" w:eastAsia="zh-CN"/>
                    </w:rPr>
                    <w:t>7</w:t>
                  </w:r>
                  <w:r>
                    <w:rPr>
                      <w:rFonts w:ascii="Times New Roman" w:hAnsi="Times New Roman"/>
                      <w:color w:val="000000"/>
                      <w:szCs w:val="21"/>
                    </w:rPr>
                    <w:t>0</w:t>
                  </w:r>
                </w:p>
              </w:tc>
            </w:tr>
            <w:tr>
              <w:tblPrEx>
                <w:tblCellMar>
                  <w:top w:w="0" w:type="dxa"/>
                  <w:left w:w="0" w:type="dxa"/>
                  <w:bottom w:w="0" w:type="dxa"/>
                  <w:right w:w="0" w:type="dxa"/>
                </w:tblCellMar>
              </w:tblPrEx>
              <w:trPr>
                <w:trHeight w:val="369" w:hRule="atLeast"/>
                <w:jc w:val="center"/>
              </w:trPr>
              <w:tc>
                <w:tcPr>
                  <w:tcW w:w="9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3</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放空系统</w:t>
                  </w:r>
                </w:p>
              </w:tc>
              <w:tc>
                <w:tcPr>
                  <w:tcW w:w="188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90~105</w:t>
                  </w:r>
                </w:p>
              </w:tc>
              <w:tc>
                <w:tcPr>
                  <w:tcW w:w="1579" w:type="dxa"/>
                  <w:vMerge w:val="continue"/>
                  <w:tcBorders>
                    <w:left w:val="single" w:color="000000" w:sz="4" w:space="0"/>
                    <w:bottom w:val="single" w:color="auto" w:sz="4" w:space="0"/>
                    <w:right w:val="single" w:color="auto" w:sz="4" w:space="0"/>
                  </w:tcBorders>
                  <w:vAlign w:val="center"/>
                </w:tcPr>
                <w:p>
                  <w:pPr>
                    <w:jc w:val="center"/>
                    <w:rPr>
                      <w:rFonts w:ascii="Times New Roman" w:hAnsi="Times New Roman"/>
                      <w:color w:val="000000"/>
                      <w:szCs w:val="21"/>
                    </w:rPr>
                  </w:pPr>
                </w:p>
              </w:tc>
              <w:tc>
                <w:tcPr>
                  <w:tcW w:w="2183" w:type="dxa"/>
                  <w:tcBorders>
                    <w:top w:val="single" w:color="000000" w:sz="4" w:space="0"/>
                    <w:left w:val="single" w:color="auto" w:sz="4" w:space="0"/>
                    <w:bottom w:val="single" w:color="000000" w:sz="4" w:space="0"/>
                    <w:right w:val="single" w:color="000000" w:sz="4" w:space="0"/>
                  </w:tcBorders>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70~85</w:t>
                  </w:r>
                </w:p>
              </w:tc>
            </w:tr>
          </w:tbl>
          <w:p>
            <w:pPr>
              <w:widowControl/>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rPr>
            </w:pPr>
            <w:r>
              <w:rPr>
                <w:rFonts w:ascii="Times New Roman" w:hAnsi="Times New Roman"/>
                <w:sz w:val="24"/>
              </w:rPr>
              <w:t>（2）声环境影响预测</w:t>
            </w:r>
          </w:p>
          <w:p>
            <w:pPr>
              <w:pStyle w:val="111"/>
              <w:snapToGrid w:val="0"/>
              <w:spacing w:line="360" w:lineRule="auto"/>
              <w:ind w:firstLine="480" w:firstLineChars="200"/>
              <w:rPr>
                <w:rFonts w:ascii="Times New Roman" w:hAnsi="Times New Roman"/>
                <w:kern w:val="2"/>
              </w:rPr>
            </w:pPr>
            <w:r>
              <w:rPr>
                <w:rFonts w:ascii="Times New Roman" w:hAnsi="Times New Roman"/>
                <w:kern w:val="2"/>
              </w:rPr>
              <w:t>根据本项目所在地块周边环境情况确定噪声影响预测范围为厂界四周。根据噪声的传播规律可知，从噪声源至受声点的噪声衰减总量是由噪声源到受声点的距离、车间墙体隔声量、空气吸收和绿化带阻滞及建筑屏障的衰减综合而成。</w:t>
            </w:r>
          </w:p>
          <w:p>
            <w:pPr>
              <w:pStyle w:val="111"/>
              <w:snapToGrid w:val="0"/>
              <w:spacing w:line="360" w:lineRule="auto"/>
              <w:ind w:firstLine="480" w:firstLineChars="200"/>
              <w:rPr>
                <w:rFonts w:ascii="Times New Roman" w:hAnsi="Times New Roman"/>
                <w:kern w:val="2"/>
              </w:rPr>
            </w:pPr>
            <w:r>
              <w:rPr>
                <w:rFonts w:ascii="Times New Roman" w:hAnsi="Times New Roman"/>
                <w:kern w:val="2"/>
              </w:rPr>
              <w:t>根据拟建项目设备声源特征和声环境的特点，视设备声源为点源，声场为半自由声场，依据《环境影响评价技术导则-声环境》（HJ2.4-2009），选用无指向性声源几何发散衰减预测模式预测厂界噪声及敏感点噪声贡献值。</w:t>
            </w:r>
          </w:p>
          <w:p>
            <w:pPr>
              <w:spacing w:line="360" w:lineRule="auto"/>
              <w:ind w:firstLine="480" w:firstLineChars="200"/>
              <w:rPr>
                <w:rFonts w:ascii="Times New Roman" w:hAnsi="Times New Roman"/>
                <w:sz w:val="24"/>
              </w:rPr>
            </w:pPr>
            <w:r>
              <w:rPr>
                <w:rFonts w:ascii="Times New Roman" w:hAnsi="Times New Roman"/>
                <w:sz w:val="24"/>
              </w:rPr>
              <w:t>①户外声传播衰减计算</w:t>
            </w:r>
          </w:p>
          <w:p>
            <w:pPr>
              <w:spacing w:line="360" w:lineRule="auto"/>
              <w:ind w:firstLine="480" w:firstLineChars="200"/>
              <w:rPr>
                <w:rFonts w:ascii="Times New Roman" w:hAnsi="Times New Roman"/>
                <w:sz w:val="24"/>
              </w:rPr>
            </w:pPr>
            <w:r>
              <w:rPr>
                <w:rFonts w:ascii="Times New Roman" w:hAnsi="Times New Roman"/>
                <w:sz w:val="24"/>
              </w:rPr>
              <w:t>应根据声源声功率级或靠近声源某一参考位置处的已知声级、户外声传播衰减，计算距离声源较远处的预测点的声级，可按下式计算</w:t>
            </w:r>
            <w:r>
              <w:rPr>
                <w:rFonts w:ascii="Times New Roman" w:hAnsi="Times New Roman"/>
                <w:kern w:val="0"/>
                <w:sz w:val="24"/>
              </w:rPr>
              <w:t xml:space="preserve">： </w:t>
            </w:r>
          </w:p>
          <w:p>
            <w:pPr>
              <w:spacing w:line="360" w:lineRule="auto"/>
              <w:jc w:val="center"/>
              <w:rPr>
                <w:rFonts w:ascii="Times New Roman" w:hAnsi="Times New Roman"/>
                <w:kern w:val="0"/>
                <w:sz w:val="24"/>
              </w:rPr>
            </w:pPr>
            <w:r>
              <w:rPr>
                <w:rFonts w:ascii="Times New Roman" w:hAnsi="Times New Roman"/>
                <w:kern w:val="0"/>
                <w:sz w:val="24"/>
              </w:rPr>
              <w:t>L</w:t>
            </w:r>
            <w:r>
              <w:rPr>
                <w:rFonts w:ascii="Times New Roman" w:hAnsi="Times New Roman"/>
                <w:kern w:val="0"/>
                <w:sz w:val="24"/>
                <w:vertAlign w:val="subscript"/>
              </w:rPr>
              <w:t>p</w:t>
            </w:r>
            <w:r>
              <w:rPr>
                <w:rFonts w:ascii="Times New Roman" w:hAnsi="Times New Roman"/>
                <w:kern w:val="0"/>
                <w:sz w:val="24"/>
              </w:rPr>
              <w:t>（r）= L</w:t>
            </w:r>
            <w:r>
              <w:rPr>
                <w:rFonts w:ascii="Times New Roman" w:hAnsi="Times New Roman"/>
                <w:kern w:val="0"/>
                <w:sz w:val="24"/>
                <w:vertAlign w:val="subscript"/>
              </w:rPr>
              <w:t>p</w:t>
            </w:r>
            <w:r>
              <w:rPr>
                <w:rFonts w:ascii="Times New Roman" w:hAnsi="Times New Roman"/>
                <w:kern w:val="0"/>
                <w:sz w:val="24"/>
              </w:rPr>
              <w:t>（r</w:t>
            </w:r>
            <w:r>
              <w:rPr>
                <w:rFonts w:ascii="Times New Roman" w:hAnsi="Times New Roman"/>
                <w:kern w:val="0"/>
                <w:sz w:val="24"/>
                <w:vertAlign w:val="subscript"/>
              </w:rPr>
              <w:t>0</w:t>
            </w:r>
            <w:r>
              <w:rPr>
                <w:rFonts w:ascii="Times New Roman" w:hAnsi="Times New Roman"/>
                <w:kern w:val="0"/>
                <w:sz w:val="24"/>
              </w:rPr>
              <w:t>）- （A</w:t>
            </w:r>
            <w:r>
              <w:rPr>
                <w:rFonts w:ascii="Times New Roman" w:hAnsi="Times New Roman"/>
                <w:kern w:val="0"/>
                <w:sz w:val="24"/>
                <w:vertAlign w:val="subscript"/>
              </w:rPr>
              <w:t xml:space="preserve">div </w:t>
            </w:r>
            <w:r>
              <w:rPr>
                <w:rFonts w:ascii="Times New Roman" w:hAnsi="Times New Roman"/>
                <w:kern w:val="0"/>
                <w:sz w:val="24"/>
              </w:rPr>
              <w:t>+ A</w:t>
            </w:r>
            <w:r>
              <w:rPr>
                <w:rFonts w:ascii="Times New Roman" w:hAnsi="Times New Roman"/>
                <w:kern w:val="0"/>
                <w:sz w:val="24"/>
                <w:vertAlign w:val="subscript"/>
              </w:rPr>
              <w:t xml:space="preserve">atm </w:t>
            </w:r>
            <w:r>
              <w:rPr>
                <w:rFonts w:ascii="Times New Roman" w:hAnsi="Times New Roman"/>
                <w:kern w:val="0"/>
                <w:sz w:val="24"/>
              </w:rPr>
              <w:t>+ A</w:t>
            </w:r>
            <w:r>
              <w:rPr>
                <w:rFonts w:ascii="Times New Roman" w:hAnsi="Times New Roman"/>
                <w:kern w:val="0"/>
                <w:sz w:val="24"/>
                <w:vertAlign w:val="subscript"/>
              </w:rPr>
              <w:t>bar</w:t>
            </w:r>
            <w:r>
              <w:rPr>
                <w:rFonts w:ascii="Times New Roman" w:hAnsi="Times New Roman"/>
                <w:kern w:val="0"/>
                <w:sz w:val="24"/>
              </w:rPr>
              <w:t>+ A</w:t>
            </w:r>
            <w:r>
              <w:rPr>
                <w:rFonts w:ascii="Times New Roman" w:hAnsi="Times New Roman"/>
                <w:kern w:val="0"/>
                <w:sz w:val="24"/>
                <w:vertAlign w:val="subscript"/>
              </w:rPr>
              <w:t>gr</w:t>
            </w:r>
            <w:r>
              <w:rPr>
                <w:rFonts w:ascii="Times New Roman" w:hAnsi="Times New Roman"/>
                <w:kern w:val="0"/>
                <w:sz w:val="24"/>
              </w:rPr>
              <w:t>+ A</w:t>
            </w:r>
            <w:r>
              <w:rPr>
                <w:rFonts w:ascii="Times New Roman" w:hAnsi="Times New Roman"/>
                <w:kern w:val="0"/>
                <w:sz w:val="24"/>
                <w:vertAlign w:val="subscript"/>
              </w:rPr>
              <w:t>misc</w:t>
            </w:r>
            <w:r>
              <w:rPr>
                <w:rFonts w:ascii="Times New Roman" w:hAnsi="Times New Roman"/>
                <w:kern w:val="0"/>
                <w:sz w:val="24"/>
              </w:rPr>
              <w:t>）</w:t>
            </w:r>
          </w:p>
          <w:p>
            <w:pPr>
              <w:autoSpaceDE w:val="0"/>
              <w:autoSpaceDN w:val="0"/>
              <w:adjustRightInd w:val="0"/>
              <w:spacing w:line="360" w:lineRule="auto"/>
              <w:ind w:firstLine="480" w:firstLineChars="200"/>
              <w:rPr>
                <w:rFonts w:ascii="Times New Roman" w:hAnsi="Times New Roman"/>
                <w:kern w:val="0"/>
                <w:sz w:val="24"/>
              </w:rPr>
            </w:pPr>
            <w:r>
              <w:rPr>
                <w:rFonts w:ascii="Times New Roman" w:hAnsi="Times New Roman"/>
                <w:kern w:val="0"/>
                <w:sz w:val="24"/>
              </w:rPr>
              <w:t>式中： A</w:t>
            </w:r>
            <w:r>
              <w:rPr>
                <w:rFonts w:ascii="Times New Roman" w:hAnsi="Times New Roman"/>
                <w:kern w:val="0"/>
                <w:sz w:val="24"/>
                <w:vertAlign w:val="subscript"/>
              </w:rPr>
              <w:t>div</w:t>
            </w:r>
            <w:r>
              <w:rPr>
                <w:rFonts w:ascii="Times New Roman" w:hAnsi="Times New Roman"/>
                <w:kern w:val="0"/>
                <w:sz w:val="24"/>
              </w:rPr>
              <w:t xml:space="preserve">—几何发散引起的倍频带衰减； </w:t>
            </w:r>
          </w:p>
          <w:p>
            <w:pPr>
              <w:autoSpaceDE w:val="0"/>
              <w:autoSpaceDN w:val="0"/>
              <w:adjustRightInd w:val="0"/>
              <w:spacing w:line="360" w:lineRule="auto"/>
              <w:ind w:firstLine="1200" w:firstLineChars="500"/>
              <w:rPr>
                <w:rFonts w:ascii="Times New Roman" w:hAnsi="Times New Roman"/>
                <w:kern w:val="0"/>
                <w:sz w:val="24"/>
              </w:rPr>
            </w:pPr>
            <w:r>
              <w:rPr>
                <w:rFonts w:ascii="Times New Roman" w:hAnsi="Times New Roman"/>
                <w:kern w:val="0"/>
                <w:sz w:val="24"/>
              </w:rPr>
              <w:t>A</w:t>
            </w:r>
            <w:r>
              <w:rPr>
                <w:rFonts w:ascii="Times New Roman" w:hAnsi="Times New Roman"/>
                <w:kern w:val="0"/>
                <w:sz w:val="24"/>
                <w:vertAlign w:val="subscript"/>
              </w:rPr>
              <w:t>atm</w:t>
            </w:r>
            <w:r>
              <w:rPr>
                <w:rFonts w:ascii="Times New Roman" w:hAnsi="Times New Roman"/>
                <w:kern w:val="0"/>
                <w:sz w:val="24"/>
              </w:rPr>
              <w:t xml:space="preserve">—大气吸收引起的倍频带衰减； </w:t>
            </w:r>
          </w:p>
          <w:p>
            <w:pPr>
              <w:autoSpaceDE w:val="0"/>
              <w:autoSpaceDN w:val="0"/>
              <w:adjustRightInd w:val="0"/>
              <w:spacing w:line="360" w:lineRule="auto"/>
              <w:ind w:firstLine="1200" w:firstLineChars="500"/>
              <w:rPr>
                <w:rFonts w:ascii="Times New Roman" w:hAnsi="Times New Roman"/>
                <w:kern w:val="0"/>
                <w:sz w:val="24"/>
              </w:rPr>
            </w:pPr>
            <w:r>
              <w:rPr>
                <w:rFonts w:ascii="Times New Roman" w:hAnsi="Times New Roman"/>
                <w:kern w:val="0"/>
                <w:sz w:val="24"/>
              </w:rPr>
              <w:t>A</w:t>
            </w:r>
            <w:r>
              <w:rPr>
                <w:rFonts w:ascii="Times New Roman" w:hAnsi="Times New Roman"/>
                <w:kern w:val="0"/>
                <w:sz w:val="24"/>
                <w:vertAlign w:val="subscript"/>
              </w:rPr>
              <w:t>gr</w:t>
            </w:r>
            <w:r>
              <w:rPr>
                <w:rFonts w:ascii="Times New Roman" w:hAnsi="Times New Roman"/>
                <w:kern w:val="0"/>
                <w:sz w:val="24"/>
              </w:rPr>
              <w:t xml:space="preserve">—地面效应引起的倍频带衰减； </w:t>
            </w:r>
          </w:p>
          <w:p>
            <w:pPr>
              <w:autoSpaceDE w:val="0"/>
              <w:autoSpaceDN w:val="0"/>
              <w:adjustRightInd w:val="0"/>
              <w:spacing w:line="360" w:lineRule="auto"/>
              <w:ind w:firstLine="1200" w:firstLineChars="500"/>
              <w:rPr>
                <w:rFonts w:ascii="Times New Roman" w:hAnsi="Times New Roman"/>
                <w:kern w:val="0"/>
                <w:sz w:val="24"/>
              </w:rPr>
            </w:pPr>
            <w:r>
              <w:rPr>
                <w:rFonts w:ascii="Times New Roman" w:hAnsi="Times New Roman"/>
                <w:kern w:val="0"/>
                <w:sz w:val="24"/>
              </w:rPr>
              <w:t>A</w:t>
            </w:r>
            <w:r>
              <w:rPr>
                <w:rFonts w:ascii="Times New Roman" w:hAnsi="Times New Roman"/>
                <w:kern w:val="0"/>
                <w:sz w:val="24"/>
                <w:vertAlign w:val="subscript"/>
              </w:rPr>
              <w:t>bar</w:t>
            </w:r>
            <w:r>
              <w:rPr>
                <w:rFonts w:ascii="Times New Roman" w:hAnsi="Times New Roman"/>
                <w:kern w:val="0"/>
                <w:sz w:val="24"/>
              </w:rPr>
              <w:t xml:space="preserve">— 声屏障引起的倍频带衰减； </w:t>
            </w:r>
          </w:p>
          <w:p>
            <w:pPr>
              <w:autoSpaceDE w:val="0"/>
              <w:autoSpaceDN w:val="0"/>
              <w:adjustRightInd w:val="0"/>
              <w:spacing w:line="360" w:lineRule="auto"/>
              <w:ind w:firstLine="1200" w:firstLineChars="500"/>
              <w:jc w:val="left"/>
              <w:rPr>
                <w:rFonts w:ascii="Times New Roman" w:hAnsi="Times New Roman"/>
                <w:kern w:val="0"/>
                <w:sz w:val="24"/>
              </w:rPr>
            </w:pPr>
            <w:r>
              <w:rPr>
                <w:rFonts w:ascii="Times New Roman" w:hAnsi="Times New Roman"/>
                <w:kern w:val="0"/>
                <w:sz w:val="24"/>
              </w:rPr>
              <w:t>A</w:t>
            </w:r>
            <w:r>
              <w:rPr>
                <w:rFonts w:ascii="Times New Roman" w:hAnsi="Times New Roman"/>
                <w:kern w:val="0"/>
                <w:sz w:val="24"/>
                <w:vertAlign w:val="subscript"/>
              </w:rPr>
              <w:t>misc</w:t>
            </w:r>
            <w:r>
              <w:rPr>
                <w:rFonts w:ascii="Times New Roman" w:hAnsi="Times New Roman"/>
                <w:kern w:val="0"/>
                <w:sz w:val="24"/>
              </w:rPr>
              <w:t>—其他多方面效应引起的倍频带衰减。</w:t>
            </w:r>
          </w:p>
          <w:p>
            <w:pPr>
              <w:autoSpaceDE w:val="0"/>
              <w:autoSpaceDN w:val="0"/>
              <w:adjustRightInd w:val="0"/>
              <w:spacing w:line="360" w:lineRule="auto"/>
              <w:ind w:firstLine="480" w:firstLineChars="200"/>
              <w:rPr>
                <w:rFonts w:ascii="Times New Roman" w:hAnsi="Times New Roman"/>
                <w:kern w:val="0"/>
                <w:sz w:val="24"/>
              </w:rPr>
            </w:pPr>
            <w:r>
              <w:rPr>
                <w:rFonts w:ascii="Times New Roman" w:hAnsi="Times New Roman"/>
                <w:kern w:val="0"/>
                <w:sz w:val="24"/>
              </w:rPr>
              <w:t xml:space="preserve">在只考虑几何发散衰减时，可用下式计算： </w:t>
            </w:r>
          </w:p>
          <w:p>
            <w:pPr>
              <w:spacing w:line="360" w:lineRule="auto"/>
              <w:jc w:val="center"/>
              <w:rPr>
                <w:rFonts w:ascii="Times New Roman" w:hAnsi="Times New Roman"/>
                <w:kern w:val="0"/>
                <w:sz w:val="24"/>
              </w:rPr>
            </w:pPr>
            <w:r>
              <w:rPr>
                <w:rFonts w:ascii="Times New Roman" w:hAnsi="Times New Roman"/>
                <w:kern w:val="0"/>
                <w:sz w:val="24"/>
              </w:rPr>
              <w:t>L</w:t>
            </w:r>
            <w:r>
              <w:rPr>
                <w:rFonts w:ascii="Times New Roman" w:hAnsi="Times New Roman"/>
                <w:kern w:val="0"/>
                <w:sz w:val="24"/>
                <w:vertAlign w:val="subscript"/>
              </w:rPr>
              <w:t>A</w:t>
            </w:r>
            <w:r>
              <w:rPr>
                <w:rFonts w:ascii="Times New Roman" w:hAnsi="Times New Roman"/>
                <w:kern w:val="0"/>
                <w:sz w:val="24"/>
              </w:rPr>
              <w:t>（r）= L</w:t>
            </w:r>
            <w:r>
              <w:rPr>
                <w:rFonts w:ascii="Times New Roman" w:hAnsi="Times New Roman"/>
                <w:kern w:val="0"/>
                <w:sz w:val="24"/>
                <w:vertAlign w:val="subscript"/>
              </w:rPr>
              <w:t>A</w:t>
            </w:r>
            <w:r>
              <w:rPr>
                <w:rFonts w:ascii="Times New Roman" w:hAnsi="Times New Roman"/>
                <w:kern w:val="0"/>
                <w:sz w:val="24"/>
              </w:rPr>
              <w:t>（r</w:t>
            </w:r>
            <w:r>
              <w:rPr>
                <w:rFonts w:ascii="Times New Roman" w:hAnsi="Times New Roman"/>
                <w:kern w:val="0"/>
                <w:sz w:val="24"/>
                <w:vertAlign w:val="subscript"/>
              </w:rPr>
              <w:t>0</w:t>
            </w:r>
            <w:r>
              <w:rPr>
                <w:rFonts w:ascii="Times New Roman" w:hAnsi="Times New Roman"/>
                <w:kern w:val="0"/>
                <w:sz w:val="24"/>
              </w:rPr>
              <w:t>）- A</w:t>
            </w:r>
            <w:r>
              <w:rPr>
                <w:rFonts w:ascii="Times New Roman" w:hAnsi="Times New Roman"/>
                <w:kern w:val="0"/>
                <w:sz w:val="24"/>
                <w:vertAlign w:val="subscript"/>
              </w:rPr>
              <w:t>div</w:t>
            </w:r>
          </w:p>
          <w:p>
            <w:pPr>
              <w:adjustRightInd w:val="0"/>
              <w:snapToGrid w:val="0"/>
              <w:spacing w:line="360" w:lineRule="auto"/>
              <w:ind w:firstLine="480" w:firstLineChars="200"/>
              <w:rPr>
                <w:rFonts w:ascii="Times New Roman" w:hAnsi="Times New Roman"/>
                <w:sz w:val="24"/>
              </w:rPr>
            </w:pPr>
            <w:r>
              <w:rPr>
                <w:rFonts w:ascii="Times New Roman" w:hAnsi="Times New Roman"/>
                <w:sz w:val="24"/>
              </w:rPr>
              <w:t>②无指向性点声源几何发散衰减的基本公式是：</w:t>
            </w:r>
          </w:p>
          <w:p>
            <w:pPr>
              <w:adjustRightInd w:val="0"/>
              <w:snapToGrid w:val="0"/>
              <w:spacing w:line="360" w:lineRule="auto"/>
              <w:jc w:val="center"/>
              <w:rPr>
                <w:rFonts w:ascii="Times New Roman" w:hAnsi="Times New Roman"/>
                <w:sz w:val="24"/>
              </w:rPr>
            </w:pPr>
            <w:r>
              <w:rPr>
                <w:rFonts w:ascii="Times New Roman" w:hAnsi="Times New Roman"/>
                <w:kern w:val="0"/>
                <w:sz w:val="24"/>
              </w:rPr>
              <w:drawing>
                <wp:inline distT="0" distB="0" distL="114300" distR="114300">
                  <wp:extent cx="2105025" cy="257810"/>
                  <wp:effectExtent l="0" t="0" r="9525" b="8890"/>
                  <wp:docPr id="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9"/>
                          <pic:cNvPicPr>
                            <a:picLocks noChangeAspect="1"/>
                          </pic:cNvPicPr>
                        </pic:nvPicPr>
                        <pic:blipFill>
                          <a:blip r:embed="rId24"/>
                          <a:stretch>
                            <a:fillRect/>
                          </a:stretch>
                        </pic:blipFill>
                        <pic:spPr>
                          <a:xfrm>
                            <a:off x="0" y="0"/>
                            <a:ext cx="2105025" cy="257810"/>
                          </a:xfrm>
                          <a:prstGeom prst="rect">
                            <a:avLst/>
                          </a:prstGeom>
                          <a:noFill/>
                          <a:ln>
                            <a:noFill/>
                          </a:ln>
                        </pic:spPr>
                      </pic:pic>
                    </a:graphicData>
                  </a:graphic>
                </wp:inline>
              </w:drawing>
            </w:r>
          </w:p>
          <w:p>
            <w:pPr>
              <w:spacing w:line="360" w:lineRule="auto"/>
              <w:ind w:firstLine="480" w:firstLineChars="200"/>
              <w:rPr>
                <w:rFonts w:ascii="Times New Roman" w:hAnsi="Times New Roman"/>
                <w:kern w:val="0"/>
                <w:sz w:val="24"/>
              </w:rPr>
            </w:pPr>
            <w:r>
              <w:rPr>
                <w:rFonts w:ascii="Times New Roman" w:hAnsi="Times New Roman"/>
                <w:kern w:val="0"/>
                <w:sz w:val="24"/>
              </w:rPr>
              <w:t>③建设项目声源在预测点产生的等效声级贡献值（L</w:t>
            </w:r>
            <w:r>
              <w:rPr>
                <w:rFonts w:ascii="Times New Roman" w:hAnsi="Times New Roman"/>
                <w:kern w:val="0"/>
                <w:sz w:val="24"/>
                <w:vertAlign w:val="subscript"/>
              </w:rPr>
              <w:t>eqg</w:t>
            </w:r>
            <w:r>
              <w:rPr>
                <w:rFonts w:ascii="Times New Roman" w:hAnsi="Times New Roman"/>
                <w:kern w:val="0"/>
                <w:sz w:val="24"/>
              </w:rPr>
              <w:t>）计算公式：</w:t>
            </w:r>
          </w:p>
          <w:p>
            <w:pPr>
              <w:autoSpaceDE w:val="0"/>
              <w:autoSpaceDN w:val="0"/>
              <w:adjustRightInd w:val="0"/>
              <w:spacing w:line="360" w:lineRule="auto"/>
              <w:rPr>
                <w:rFonts w:ascii="Times New Roman" w:hAnsi="Times New Roman"/>
                <w:kern w:val="0"/>
                <w:sz w:val="24"/>
              </w:rPr>
            </w:pPr>
            <w:r>
              <w:rPr>
                <w:rFonts w:ascii="Times New Roman" w:hAnsi="Times New Roman"/>
                <w:kern w:val="0"/>
                <w:sz w:val="24"/>
              </w:rPr>
              <w:t xml:space="preserve">                       </w:t>
            </w:r>
            <w:r>
              <w:rPr>
                <w:rFonts w:ascii="Times New Roman" w:hAnsi="Times New Roman"/>
                <w:kern w:val="0"/>
                <w:sz w:val="24"/>
              </w:rPr>
              <w:drawing>
                <wp:inline distT="0" distB="0" distL="114300" distR="114300">
                  <wp:extent cx="1871980" cy="395605"/>
                  <wp:effectExtent l="0" t="0" r="13970" b="4445"/>
                  <wp:docPr id="7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
                          <pic:cNvPicPr>
                            <a:picLocks noChangeAspect="1"/>
                          </pic:cNvPicPr>
                        </pic:nvPicPr>
                        <pic:blipFill>
                          <a:blip r:embed="rId25"/>
                          <a:stretch>
                            <a:fillRect/>
                          </a:stretch>
                        </pic:blipFill>
                        <pic:spPr>
                          <a:xfrm>
                            <a:off x="0" y="0"/>
                            <a:ext cx="1871980" cy="395605"/>
                          </a:xfrm>
                          <a:prstGeom prst="rect">
                            <a:avLst/>
                          </a:prstGeom>
                          <a:noFill/>
                          <a:ln>
                            <a:noFill/>
                          </a:ln>
                        </pic:spPr>
                      </pic:pic>
                    </a:graphicData>
                  </a:graphic>
                </wp:inline>
              </w:drawing>
            </w:r>
          </w:p>
          <w:p>
            <w:pPr>
              <w:autoSpaceDE w:val="0"/>
              <w:autoSpaceDN w:val="0"/>
              <w:adjustRightInd w:val="0"/>
              <w:spacing w:line="360" w:lineRule="auto"/>
              <w:ind w:firstLine="480" w:firstLineChars="200"/>
              <w:rPr>
                <w:rFonts w:ascii="Times New Roman" w:hAnsi="Times New Roman"/>
                <w:kern w:val="0"/>
                <w:sz w:val="24"/>
              </w:rPr>
            </w:pPr>
            <w:r>
              <w:rPr>
                <w:rFonts w:ascii="Times New Roman" w:hAnsi="Times New Roman"/>
                <w:kern w:val="0"/>
                <w:sz w:val="24"/>
              </w:rPr>
              <w:t>式中： L</w:t>
            </w:r>
            <w:r>
              <w:rPr>
                <w:rFonts w:ascii="Times New Roman" w:hAnsi="Times New Roman"/>
                <w:kern w:val="0"/>
                <w:sz w:val="24"/>
                <w:vertAlign w:val="subscript"/>
              </w:rPr>
              <w:t>eqg</w:t>
            </w:r>
            <w:r>
              <w:rPr>
                <w:rFonts w:ascii="Times New Roman" w:hAnsi="Times New Roman"/>
                <w:kern w:val="0"/>
                <w:sz w:val="24"/>
              </w:rPr>
              <w:t>—建设项目声源在预测点的等效声级贡献值，dB(A)；</w:t>
            </w:r>
          </w:p>
          <w:p>
            <w:pPr>
              <w:spacing w:line="360" w:lineRule="auto"/>
              <w:ind w:firstLine="1200" w:firstLineChars="500"/>
              <w:rPr>
                <w:rFonts w:ascii="Times New Roman" w:hAnsi="Times New Roman"/>
                <w:bCs/>
                <w:sz w:val="24"/>
              </w:rPr>
            </w:pPr>
            <w:r>
              <w:rPr>
                <w:rFonts w:ascii="Times New Roman" w:hAnsi="Times New Roman"/>
                <w:bCs/>
                <w:sz w:val="24"/>
              </w:rPr>
              <w:t>L</w:t>
            </w:r>
            <w:r>
              <w:rPr>
                <w:rFonts w:ascii="Times New Roman" w:hAnsi="Times New Roman"/>
                <w:bCs/>
                <w:sz w:val="24"/>
                <w:vertAlign w:val="subscript"/>
              </w:rPr>
              <w:t>Ai</w:t>
            </w:r>
            <w:r>
              <w:rPr>
                <w:rFonts w:ascii="Times New Roman" w:hAnsi="Times New Roman"/>
                <w:bCs/>
                <w:sz w:val="24"/>
              </w:rPr>
              <w:t>—</w:t>
            </w:r>
            <w:r>
              <w:rPr>
                <w:rFonts w:ascii="Times New Roman" w:hAnsi="Times New Roman" w:eastAsia="MS Gothic"/>
                <w:bCs/>
                <w:sz w:val="24"/>
              </w:rPr>
              <w:t>i</w:t>
            </w:r>
            <w:r>
              <w:rPr>
                <w:rFonts w:ascii="Times New Roman" w:hAnsi="Times New Roman"/>
                <w:bCs/>
                <w:sz w:val="24"/>
              </w:rPr>
              <w:t>声源在预测点产生的A声级，dB(A)；</w:t>
            </w:r>
          </w:p>
          <w:p>
            <w:pPr>
              <w:spacing w:line="360" w:lineRule="auto"/>
              <w:ind w:firstLine="1200" w:firstLineChars="500"/>
              <w:rPr>
                <w:rFonts w:ascii="Times New Roman" w:hAnsi="Times New Roman"/>
                <w:bCs/>
                <w:sz w:val="24"/>
              </w:rPr>
            </w:pPr>
            <w:r>
              <w:rPr>
                <w:rFonts w:ascii="Times New Roman" w:hAnsi="Times New Roman"/>
                <w:bCs/>
                <w:sz w:val="24"/>
              </w:rPr>
              <w:t>T—预测计算的时间段，s；</w:t>
            </w:r>
          </w:p>
          <w:p>
            <w:pPr>
              <w:spacing w:line="360" w:lineRule="auto"/>
              <w:ind w:firstLine="1200" w:firstLineChars="500"/>
              <w:rPr>
                <w:rFonts w:ascii="Times New Roman" w:hAnsi="Times New Roman"/>
                <w:bCs/>
                <w:sz w:val="24"/>
              </w:rPr>
            </w:pPr>
            <w:r>
              <w:rPr>
                <w:rFonts w:ascii="Times New Roman" w:hAnsi="Times New Roman"/>
                <w:bCs/>
                <w:sz w:val="24"/>
              </w:rPr>
              <w:t>t</w:t>
            </w:r>
            <w:r>
              <w:rPr>
                <w:rFonts w:ascii="Times New Roman" w:hAnsi="Times New Roman"/>
                <w:bCs/>
                <w:sz w:val="24"/>
                <w:vertAlign w:val="subscript"/>
              </w:rPr>
              <w:t>i</w:t>
            </w:r>
            <w:r>
              <w:rPr>
                <w:rFonts w:ascii="Times New Roman" w:hAnsi="Times New Roman"/>
                <w:bCs/>
                <w:sz w:val="24"/>
              </w:rPr>
              <w:t>—i声源在T时段内的运行时间，s。</w:t>
            </w:r>
          </w:p>
          <w:p>
            <w:pPr>
              <w:autoSpaceDE w:val="0"/>
              <w:autoSpaceDN w:val="0"/>
              <w:adjustRightInd w:val="0"/>
              <w:spacing w:line="360" w:lineRule="auto"/>
              <w:ind w:firstLine="480" w:firstLineChars="200"/>
              <w:rPr>
                <w:rFonts w:ascii="Times New Roman" w:hAnsi="Times New Roman"/>
                <w:kern w:val="0"/>
                <w:sz w:val="24"/>
              </w:rPr>
            </w:pPr>
            <w:r>
              <w:rPr>
                <w:rFonts w:ascii="Times New Roman" w:hAnsi="Times New Roman"/>
                <w:kern w:val="0"/>
                <w:sz w:val="24"/>
              </w:rPr>
              <w:t>④预测点的预测等效声级(L</w:t>
            </w:r>
            <w:r>
              <w:rPr>
                <w:rFonts w:ascii="Times New Roman" w:hAnsi="Times New Roman"/>
                <w:kern w:val="0"/>
                <w:sz w:val="24"/>
                <w:vertAlign w:val="subscript"/>
              </w:rPr>
              <w:t>eq</w:t>
            </w:r>
            <w:r>
              <w:rPr>
                <w:rFonts w:ascii="Times New Roman" w:hAnsi="Times New Roman"/>
                <w:kern w:val="0"/>
                <w:sz w:val="24"/>
              </w:rPr>
              <w:t>)计算公式：</w:t>
            </w:r>
          </w:p>
          <w:p>
            <w:pPr>
              <w:autoSpaceDE w:val="0"/>
              <w:autoSpaceDN w:val="0"/>
              <w:adjustRightInd w:val="0"/>
              <w:spacing w:line="360" w:lineRule="auto"/>
              <w:jc w:val="center"/>
              <w:rPr>
                <w:rFonts w:ascii="Times New Roman" w:hAnsi="Times New Roman"/>
                <w:kern w:val="0"/>
                <w:sz w:val="24"/>
              </w:rPr>
            </w:pPr>
            <w:r>
              <w:rPr>
                <w:rFonts w:ascii="Times New Roman" w:hAnsi="Times New Roman"/>
                <w:kern w:val="0"/>
                <w:sz w:val="24"/>
              </w:rPr>
              <w:t>L</w:t>
            </w:r>
            <w:r>
              <w:rPr>
                <w:rFonts w:ascii="Times New Roman" w:hAnsi="Times New Roman"/>
                <w:kern w:val="0"/>
                <w:sz w:val="24"/>
                <w:vertAlign w:val="subscript"/>
              </w:rPr>
              <w:t>eq</w:t>
            </w:r>
            <w:r>
              <w:rPr>
                <w:rFonts w:ascii="Times New Roman" w:hAnsi="Times New Roman"/>
                <w:kern w:val="0"/>
                <w:sz w:val="24"/>
              </w:rPr>
              <w:t xml:space="preserve"> = 10lg(10</w:t>
            </w:r>
            <w:r>
              <w:rPr>
                <w:rFonts w:ascii="Times New Roman" w:hAnsi="Times New Roman"/>
                <w:kern w:val="0"/>
                <w:sz w:val="24"/>
                <w:vertAlign w:val="superscript"/>
              </w:rPr>
              <w:t xml:space="preserve">0.1Leqg </w:t>
            </w:r>
            <w:r>
              <w:rPr>
                <w:rFonts w:ascii="Times New Roman" w:hAnsi="Times New Roman"/>
                <w:kern w:val="0"/>
                <w:sz w:val="24"/>
              </w:rPr>
              <w:t>+</w:t>
            </w:r>
            <w:r>
              <w:rPr>
                <w:rFonts w:ascii="Times New Roman" w:hAnsi="Times New Roman"/>
                <w:kern w:val="0"/>
                <w:sz w:val="24"/>
                <w:vertAlign w:val="superscript"/>
              </w:rPr>
              <w:t xml:space="preserve"> </w:t>
            </w:r>
            <w:r>
              <w:rPr>
                <w:rFonts w:ascii="Times New Roman" w:hAnsi="Times New Roman"/>
                <w:kern w:val="0"/>
                <w:sz w:val="24"/>
              </w:rPr>
              <w:t>10</w:t>
            </w:r>
            <w:r>
              <w:rPr>
                <w:rFonts w:ascii="Times New Roman" w:hAnsi="Times New Roman"/>
                <w:kern w:val="0"/>
                <w:sz w:val="24"/>
                <w:vertAlign w:val="superscript"/>
              </w:rPr>
              <w:t>0.1Leqb</w:t>
            </w:r>
            <w:r>
              <w:rPr>
                <w:rFonts w:ascii="Times New Roman" w:hAnsi="Times New Roman"/>
                <w:kern w:val="0"/>
                <w:sz w:val="24"/>
              </w:rPr>
              <w:t>)</w:t>
            </w:r>
          </w:p>
          <w:p>
            <w:pPr>
              <w:autoSpaceDE w:val="0"/>
              <w:autoSpaceDN w:val="0"/>
              <w:adjustRightInd w:val="0"/>
              <w:spacing w:line="360" w:lineRule="auto"/>
              <w:ind w:firstLine="480" w:firstLineChars="200"/>
              <w:rPr>
                <w:rFonts w:ascii="Times New Roman" w:hAnsi="Times New Roman"/>
                <w:kern w:val="0"/>
                <w:sz w:val="24"/>
              </w:rPr>
            </w:pPr>
            <w:r>
              <w:rPr>
                <w:rFonts w:ascii="Times New Roman" w:hAnsi="Times New Roman"/>
                <w:kern w:val="0"/>
                <w:sz w:val="24"/>
              </w:rPr>
              <w:t>式中：L</w:t>
            </w:r>
            <w:r>
              <w:rPr>
                <w:rFonts w:ascii="Times New Roman" w:hAnsi="Times New Roman"/>
                <w:kern w:val="0"/>
                <w:sz w:val="24"/>
                <w:vertAlign w:val="subscript"/>
              </w:rPr>
              <w:t>eqg</w:t>
            </w:r>
            <w:r>
              <w:rPr>
                <w:rFonts w:ascii="Times New Roman" w:hAnsi="Times New Roman"/>
                <w:kern w:val="0"/>
                <w:sz w:val="24"/>
              </w:rPr>
              <w:t>—建设项目声源在预测点的等效声级贡献值，dB(A)；</w:t>
            </w:r>
          </w:p>
          <w:p>
            <w:pPr>
              <w:spacing w:line="360" w:lineRule="auto"/>
              <w:ind w:firstLine="1200" w:firstLineChars="500"/>
              <w:rPr>
                <w:rFonts w:ascii="Times New Roman" w:hAnsi="Times New Roman"/>
                <w:bCs/>
                <w:sz w:val="24"/>
              </w:rPr>
            </w:pPr>
            <w:r>
              <w:rPr>
                <w:rFonts w:ascii="Times New Roman" w:hAnsi="Times New Roman"/>
                <w:bCs/>
                <w:sz w:val="24"/>
              </w:rPr>
              <w:t>L</w:t>
            </w:r>
            <w:r>
              <w:rPr>
                <w:rFonts w:ascii="Times New Roman" w:hAnsi="Times New Roman"/>
                <w:bCs/>
                <w:sz w:val="24"/>
                <w:vertAlign w:val="subscript"/>
              </w:rPr>
              <w:t>eqb</w:t>
            </w:r>
            <w:r>
              <w:rPr>
                <w:rFonts w:ascii="Times New Roman" w:hAnsi="Times New Roman"/>
                <w:bCs/>
                <w:sz w:val="24"/>
              </w:rPr>
              <w:t>—预测点的背景值，dB(A)。</w:t>
            </w:r>
          </w:p>
          <w:p>
            <w:pPr>
              <w:spacing w:line="360" w:lineRule="auto"/>
              <w:ind w:firstLine="480" w:firstLineChars="200"/>
              <w:rPr>
                <w:rFonts w:ascii="Times New Roman" w:hAnsi="Times New Roman"/>
                <w:sz w:val="24"/>
              </w:rPr>
            </w:pPr>
            <w:r>
              <w:rPr>
                <w:rFonts w:ascii="Times New Roman" w:hAnsi="Times New Roman"/>
                <w:sz w:val="24"/>
              </w:rPr>
              <w:t>（3）预测前提</w:t>
            </w:r>
          </w:p>
          <w:p>
            <w:pPr>
              <w:spacing w:line="360" w:lineRule="auto"/>
              <w:ind w:firstLine="480" w:firstLineChars="200"/>
              <w:rPr>
                <w:rFonts w:ascii="Times New Roman" w:hAnsi="Times New Roman"/>
                <w:sz w:val="24"/>
              </w:rPr>
            </w:pPr>
            <w:r>
              <w:rPr>
                <w:rFonts w:ascii="Times New Roman" w:hAnsi="Times New Roman"/>
                <w:sz w:val="24"/>
              </w:rPr>
              <w:t>本次预测前提为，企业采取如下噪声控制措施后产生的噪声对厂界噪声贡献情况：</w:t>
            </w:r>
          </w:p>
          <w:p>
            <w:pPr>
              <w:spacing w:line="360" w:lineRule="auto"/>
              <w:ind w:firstLine="480" w:firstLineChars="200"/>
              <w:rPr>
                <w:rFonts w:ascii="Times New Roman" w:hAnsi="Times New Roman"/>
                <w:sz w:val="24"/>
              </w:rPr>
            </w:pPr>
            <w:r>
              <w:rPr>
                <w:rFonts w:ascii="Times New Roman" w:hAnsi="Times New Roman"/>
                <w:sz w:val="24"/>
              </w:rPr>
              <w:t>①总平面布置</w:t>
            </w:r>
          </w:p>
          <w:p>
            <w:pPr>
              <w:spacing w:line="360" w:lineRule="auto"/>
              <w:ind w:firstLine="480" w:firstLineChars="200"/>
              <w:rPr>
                <w:rFonts w:ascii="Times New Roman" w:hAnsi="Times New Roman"/>
                <w:sz w:val="24"/>
              </w:rPr>
            </w:pPr>
            <w:r>
              <w:rPr>
                <w:rFonts w:ascii="Times New Roman" w:hAnsi="Times New Roman"/>
                <w:sz w:val="24"/>
              </w:rPr>
              <w:t>从总平面布置的角度出发，利用墙壁的作用，使噪声受到不同程度的隔绝和吸收，做到尽可能屏蔽声源，减少对环境的影响。同时在总体布置上利用建筑物、构筑物来阻隔声波的传播。通常厂房的隔声量为18~22dB(A)。</w:t>
            </w:r>
          </w:p>
          <w:p>
            <w:pPr>
              <w:spacing w:line="360" w:lineRule="auto"/>
              <w:ind w:firstLine="480" w:firstLineChars="200"/>
              <w:rPr>
                <w:rFonts w:ascii="Times New Roman" w:hAnsi="Times New Roman"/>
                <w:sz w:val="24"/>
              </w:rPr>
            </w:pPr>
            <w:r>
              <w:rPr>
                <w:rFonts w:ascii="Times New Roman" w:hAnsi="Times New Roman"/>
                <w:sz w:val="24"/>
              </w:rPr>
              <w:t>②加强治理</w:t>
            </w:r>
          </w:p>
          <w:p>
            <w:pPr>
              <w:spacing w:line="360" w:lineRule="auto"/>
              <w:ind w:firstLine="480" w:firstLineChars="200"/>
              <w:rPr>
                <w:rFonts w:ascii="Times New Roman" w:hAnsi="Times New Roman"/>
                <w:sz w:val="18"/>
                <w:szCs w:val="18"/>
              </w:rPr>
            </w:pPr>
            <w:r>
              <w:rPr>
                <w:rFonts w:ascii="Times New Roman" w:hAnsi="Times New Roman"/>
                <w:sz w:val="24"/>
              </w:rPr>
              <w:t>生产设备在生产时定期在滚轴处加润滑油，从而减少摩擦噪声产生。同时可设基础减震等。</w:t>
            </w:r>
          </w:p>
          <w:p>
            <w:pPr>
              <w:spacing w:line="360" w:lineRule="auto"/>
              <w:ind w:firstLine="480" w:firstLineChars="200"/>
              <w:rPr>
                <w:rFonts w:ascii="Times New Roman" w:hAnsi="Times New Roman"/>
                <w:sz w:val="24"/>
              </w:rPr>
            </w:pPr>
            <w:r>
              <w:rPr>
                <w:rFonts w:ascii="Times New Roman" w:hAnsi="Times New Roman"/>
                <w:sz w:val="24"/>
              </w:rPr>
              <w:t>③加强管理</w:t>
            </w:r>
          </w:p>
          <w:p>
            <w:pPr>
              <w:widowControl/>
              <w:spacing w:line="360" w:lineRule="auto"/>
              <w:ind w:firstLine="470" w:firstLineChars="196"/>
              <w:jc w:val="left"/>
              <w:rPr>
                <w:rFonts w:ascii="Times New Roman" w:hAnsi="Times New Roman"/>
                <w:kern w:val="0"/>
                <w:sz w:val="24"/>
              </w:rPr>
            </w:pPr>
            <w:r>
              <w:rPr>
                <w:rFonts w:ascii="Times New Roman" w:hAnsi="Times New Roman"/>
                <w:kern w:val="0"/>
                <w:sz w:val="24"/>
              </w:rPr>
              <w:t>采用“闹静分开”和“合理布局”的设计原则，在</w:t>
            </w:r>
            <w:r>
              <w:rPr>
                <w:rFonts w:hint="eastAsia" w:ascii="Times New Roman" w:hAnsi="Times New Roman"/>
                <w:kern w:val="0"/>
                <w:sz w:val="24"/>
              </w:rPr>
              <w:t>站</w:t>
            </w:r>
            <w:r>
              <w:rPr>
                <w:rFonts w:ascii="Times New Roman" w:hAnsi="Times New Roman"/>
                <w:kern w:val="0"/>
                <w:sz w:val="24"/>
              </w:rPr>
              <w:t>区布局设计时，应将噪声大的</w:t>
            </w:r>
            <w:r>
              <w:rPr>
                <w:rFonts w:hint="eastAsia" w:ascii="Times New Roman" w:hAnsi="Times New Roman"/>
                <w:kern w:val="0"/>
                <w:sz w:val="24"/>
              </w:rPr>
              <w:t>房</w:t>
            </w:r>
            <w:r>
              <w:rPr>
                <w:rFonts w:ascii="Times New Roman" w:hAnsi="Times New Roman"/>
                <w:kern w:val="0"/>
                <w:sz w:val="24"/>
              </w:rPr>
              <w:t>间设置在</w:t>
            </w:r>
            <w:r>
              <w:rPr>
                <w:rFonts w:hint="eastAsia" w:ascii="Times New Roman" w:hAnsi="Times New Roman"/>
                <w:kern w:val="0"/>
                <w:sz w:val="24"/>
              </w:rPr>
              <w:t>站区</w:t>
            </w:r>
            <w:r>
              <w:rPr>
                <w:rFonts w:ascii="Times New Roman" w:hAnsi="Times New Roman"/>
                <w:kern w:val="0"/>
                <w:sz w:val="24"/>
              </w:rPr>
              <w:t>中心，这样可阻挡主</w:t>
            </w:r>
            <w:r>
              <w:rPr>
                <w:rFonts w:hint="eastAsia" w:ascii="Times New Roman" w:hAnsi="Times New Roman"/>
                <w:kern w:val="0"/>
                <w:sz w:val="24"/>
              </w:rPr>
              <w:t>房</w:t>
            </w:r>
            <w:r>
              <w:rPr>
                <w:rFonts w:ascii="Times New Roman" w:hAnsi="Times New Roman"/>
                <w:kern w:val="0"/>
                <w:sz w:val="24"/>
              </w:rPr>
              <w:t>间的噪声传播，把</w:t>
            </w:r>
            <w:r>
              <w:rPr>
                <w:rFonts w:hint="eastAsia" w:ascii="Times New Roman" w:hAnsi="Times New Roman"/>
                <w:kern w:val="0"/>
                <w:sz w:val="24"/>
              </w:rPr>
              <w:t>房</w:t>
            </w:r>
            <w:r>
              <w:rPr>
                <w:rFonts w:ascii="Times New Roman" w:hAnsi="Times New Roman"/>
                <w:kern w:val="0"/>
                <w:sz w:val="24"/>
              </w:rPr>
              <w:t>间的噪声影响限制在</w:t>
            </w:r>
            <w:r>
              <w:rPr>
                <w:rFonts w:hint="eastAsia" w:ascii="Times New Roman" w:hAnsi="Times New Roman"/>
                <w:kern w:val="0"/>
                <w:sz w:val="24"/>
              </w:rPr>
              <w:t>站区</w:t>
            </w:r>
            <w:r>
              <w:rPr>
                <w:rFonts w:ascii="Times New Roman" w:hAnsi="Times New Roman"/>
                <w:kern w:val="0"/>
                <w:sz w:val="24"/>
              </w:rPr>
              <w:t>范围内，降低噪声对外界的影响，确保厂界噪声符合标准要求。</w:t>
            </w:r>
          </w:p>
          <w:p>
            <w:pPr>
              <w:spacing w:line="360" w:lineRule="auto"/>
              <w:ind w:firstLine="480" w:firstLineChars="200"/>
              <w:rPr>
                <w:rFonts w:ascii="Times New Roman" w:hAnsi="Times New Roman"/>
                <w:sz w:val="24"/>
              </w:rPr>
            </w:pPr>
            <w:r>
              <w:rPr>
                <w:rFonts w:ascii="Times New Roman" w:hAnsi="Times New Roman"/>
                <w:sz w:val="24"/>
              </w:rPr>
              <w:t>建立设备定期维护，保养的管理制度，以防止设备故障形成的非正常生产噪声，同时确保环保措施发挥最佳的功能；加强职工环保意识教育，提倡文明生产，防止人为噪声；强化行车管理制度，设置降噪标准，严禁鸣号，进入厂区低速行驶，最大限度减少流动噪声源。</w:t>
            </w:r>
          </w:p>
          <w:p>
            <w:pPr>
              <w:spacing w:line="360" w:lineRule="auto"/>
              <w:ind w:firstLine="480" w:firstLineChars="200"/>
              <w:rPr>
                <w:rFonts w:ascii="Times New Roman" w:hAnsi="Times New Roman"/>
                <w:sz w:val="24"/>
              </w:rPr>
            </w:pPr>
            <w:r>
              <w:rPr>
                <w:rFonts w:ascii="Times New Roman" w:hAnsi="Times New Roman"/>
                <w:sz w:val="24"/>
              </w:rPr>
              <w:t>（4）噪声预测结果</w:t>
            </w:r>
          </w:p>
          <w:p>
            <w:pPr>
              <w:spacing w:line="360" w:lineRule="auto"/>
              <w:ind w:firstLine="480" w:firstLineChars="200"/>
              <w:rPr>
                <w:rFonts w:ascii="Times New Roman" w:hAnsi="Times New Roman"/>
                <w:sz w:val="24"/>
              </w:rPr>
            </w:pPr>
            <w:r>
              <w:rPr>
                <w:rFonts w:ascii="Times New Roman" w:hAnsi="Times New Roman"/>
                <w:sz w:val="24"/>
              </w:rPr>
              <w:t>本项目噪声对周围环境的影响</w:t>
            </w:r>
            <w:r>
              <w:rPr>
                <w:rFonts w:hint="eastAsia" w:ascii="Times New Roman" w:hAnsi="Times New Roman"/>
                <w:sz w:val="24"/>
              </w:rPr>
              <w:t>见下表</w:t>
            </w:r>
            <w:r>
              <w:rPr>
                <w:rFonts w:ascii="Times New Roman" w:hAnsi="Times New Roman"/>
                <w:sz w:val="24"/>
              </w:rPr>
              <w:t>。</w:t>
            </w:r>
          </w:p>
          <w:p>
            <w:pPr>
              <w:spacing w:line="360" w:lineRule="auto"/>
              <w:ind w:firstLine="482" w:firstLineChars="200"/>
              <w:jc w:val="center"/>
              <w:rPr>
                <w:rFonts w:ascii="Times New Roman" w:hAnsi="Times New Roman"/>
                <w:b/>
                <w:bCs/>
                <w:sz w:val="24"/>
              </w:rPr>
            </w:pPr>
            <w:r>
              <w:rPr>
                <w:rFonts w:ascii="Times New Roman" w:hAnsi="Times New Roman"/>
                <w:b/>
                <w:bCs/>
                <w:sz w:val="24"/>
              </w:rPr>
              <w:t xml:space="preserve"> 表7-</w:t>
            </w:r>
            <w:r>
              <w:rPr>
                <w:rFonts w:hint="eastAsia" w:ascii="Times New Roman" w:hAnsi="Times New Roman"/>
                <w:b/>
                <w:bCs/>
                <w:sz w:val="24"/>
              </w:rPr>
              <w:t>1</w:t>
            </w:r>
            <w:r>
              <w:rPr>
                <w:rFonts w:hint="eastAsia" w:ascii="Times New Roman" w:hAnsi="Times New Roman"/>
                <w:b/>
                <w:bCs/>
                <w:sz w:val="24"/>
                <w:lang w:val="en-US" w:eastAsia="zh-CN"/>
              </w:rPr>
              <w:t>8</w:t>
            </w:r>
            <w:r>
              <w:rPr>
                <w:rFonts w:ascii="Times New Roman" w:hAnsi="Times New Roman"/>
                <w:b/>
                <w:bCs/>
                <w:sz w:val="24"/>
              </w:rPr>
              <w:t xml:space="preserve">  </w:t>
            </w:r>
            <w:r>
              <w:rPr>
                <w:rFonts w:hint="eastAsia" w:ascii="Times New Roman" w:hAnsi="Times New Roman"/>
                <w:b/>
                <w:bCs/>
                <w:sz w:val="24"/>
              </w:rPr>
              <w:t>高安站、横山站</w:t>
            </w:r>
            <w:r>
              <w:rPr>
                <w:rFonts w:ascii="Times New Roman" w:hAnsi="Times New Roman"/>
                <w:b/>
                <w:bCs/>
                <w:sz w:val="24"/>
              </w:rPr>
              <w:t>环境噪声贡献值预测表   单位：dB(A)</w:t>
            </w:r>
          </w:p>
          <w:tbl>
            <w:tblPr>
              <w:tblStyle w:val="32"/>
              <w:tblW w:w="0" w:type="auto"/>
              <w:jc w:val="center"/>
              <w:tblLayout w:type="fixed"/>
              <w:tblCellMar>
                <w:top w:w="0" w:type="dxa"/>
                <w:left w:w="0" w:type="dxa"/>
                <w:bottom w:w="0" w:type="dxa"/>
                <w:right w:w="0" w:type="dxa"/>
              </w:tblCellMar>
            </w:tblPr>
            <w:tblGrid>
              <w:gridCol w:w="1903"/>
              <w:gridCol w:w="2850"/>
              <w:gridCol w:w="2597"/>
              <w:gridCol w:w="1495"/>
            </w:tblGrid>
            <w:tr>
              <w:tblPrEx>
                <w:tblCellMar>
                  <w:top w:w="0" w:type="dxa"/>
                  <w:left w:w="0" w:type="dxa"/>
                  <w:bottom w:w="0" w:type="dxa"/>
                  <w:right w:w="0" w:type="dxa"/>
                </w:tblCellMar>
              </w:tblPrEx>
              <w:trPr>
                <w:trHeight w:val="698" w:hRule="exact"/>
                <w:jc w:val="center"/>
              </w:trPr>
              <w:tc>
                <w:tcPr>
                  <w:tcW w:w="1903"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关心点</w:t>
                  </w:r>
                </w:p>
              </w:tc>
              <w:tc>
                <w:tcPr>
                  <w:tcW w:w="2850" w:type="dxa"/>
                  <w:tcBorders>
                    <w:top w:val="single" w:color="auto" w:sz="4" w:space="0"/>
                    <w:left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贡献值</w:t>
                  </w:r>
                </w:p>
              </w:tc>
              <w:tc>
                <w:tcPr>
                  <w:tcW w:w="2597"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达标情况</w:t>
                  </w:r>
                </w:p>
              </w:tc>
              <w:tc>
                <w:tcPr>
                  <w:tcW w:w="149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评价标准限值</w:t>
                  </w: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东厂界</w:t>
                  </w:r>
                </w:p>
              </w:tc>
              <w:tc>
                <w:tcPr>
                  <w:tcW w:w="2850"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hint="eastAsia" w:ascii="Times New Roman" w:hAnsi="Times New Roman"/>
                      <w:sz w:val="21"/>
                      <w:szCs w:val="21"/>
                      <w:lang w:eastAsia="zh-CN"/>
                    </w:rPr>
                    <w:t>54</w:t>
                  </w:r>
                  <w:r>
                    <w:rPr>
                      <w:rFonts w:ascii="Times New Roman" w:hAnsi="Times New Roman"/>
                      <w:sz w:val="21"/>
                      <w:szCs w:val="21"/>
                      <w:lang w:eastAsia="zh-CN"/>
                    </w:rPr>
                    <w:t>.1</w:t>
                  </w:r>
                </w:p>
              </w:tc>
              <w:tc>
                <w:tcPr>
                  <w:tcW w:w="2597"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达标</w:t>
                  </w:r>
                </w:p>
              </w:tc>
              <w:tc>
                <w:tcPr>
                  <w:tcW w:w="1495"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65</w:t>
                  </w: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南厂界</w:t>
                  </w:r>
                </w:p>
              </w:tc>
              <w:tc>
                <w:tcPr>
                  <w:tcW w:w="2850"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hint="eastAsia" w:ascii="Times New Roman" w:hAnsi="Times New Roman"/>
                      <w:sz w:val="21"/>
                      <w:szCs w:val="21"/>
                      <w:lang w:eastAsia="zh-CN"/>
                    </w:rPr>
                    <w:t>53</w:t>
                  </w:r>
                  <w:r>
                    <w:rPr>
                      <w:rFonts w:ascii="Times New Roman" w:hAnsi="Times New Roman"/>
                      <w:sz w:val="21"/>
                      <w:szCs w:val="21"/>
                      <w:lang w:eastAsia="zh-CN"/>
                    </w:rPr>
                    <w:t>.6</w:t>
                  </w:r>
                </w:p>
              </w:tc>
              <w:tc>
                <w:tcPr>
                  <w:tcW w:w="2597"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达标</w:t>
                  </w:r>
                </w:p>
              </w:tc>
              <w:tc>
                <w:tcPr>
                  <w:tcW w:w="1495" w:type="dxa"/>
                  <w:vMerge w:val="continue"/>
                  <w:tcBorders>
                    <w:left w:val="single" w:color="auto" w:sz="4" w:space="0"/>
                    <w:right w:val="single" w:color="auto" w:sz="4" w:space="0"/>
                  </w:tcBorders>
                </w:tcPr>
                <w:p>
                  <w:pPr>
                    <w:ind w:firstLine="472"/>
                    <w:rPr>
                      <w:rFonts w:ascii="Times New Roman" w:hAnsi="Times New Roman"/>
                      <w:sz w:val="22"/>
                      <w:szCs w:val="22"/>
                    </w:rPr>
                  </w:pP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西厂界</w:t>
                  </w:r>
                </w:p>
              </w:tc>
              <w:tc>
                <w:tcPr>
                  <w:tcW w:w="2850"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hint="eastAsia" w:ascii="Times New Roman" w:hAnsi="Times New Roman"/>
                      <w:sz w:val="21"/>
                      <w:szCs w:val="21"/>
                      <w:lang w:eastAsia="zh-CN"/>
                    </w:rPr>
                    <w:t>53</w:t>
                  </w:r>
                  <w:r>
                    <w:rPr>
                      <w:rFonts w:ascii="Times New Roman" w:hAnsi="Times New Roman"/>
                      <w:sz w:val="21"/>
                      <w:szCs w:val="21"/>
                      <w:lang w:eastAsia="zh-CN"/>
                    </w:rPr>
                    <w:t>.9</w:t>
                  </w:r>
                </w:p>
              </w:tc>
              <w:tc>
                <w:tcPr>
                  <w:tcW w:w="2597"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达标</w:t>
                  </w:r>
                </w:p>
              </w:tc>
              <w:tc>
                <w:tcPr>
                  <w:tcW w:w="1495" w:type="dxa"/>
                  <w:vMerge w:val="continue"/>
                  <w:tcBorders>
                    <w:left w:val="single" w:color="auto" w:sz="4" w:space="0"/>
                    <w:right w:val="single" w:color="auto" w:sz="4" w:space="0"/>
                  </w:tcBorders>
                </w:tcPr>
                <w:p>
                  <w:pPr>
                    <w:ind w:firstLine="472"/>
                    <w:rPr>
                      <w:rFonts w:ascii="Times New Roman" w:hAnsi="Times New Roman"/>
                      <w:sz w:val="22"/>
                      <w:szCs w:val="22"/>
                    </w:rPr>
                  </w:pP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北厂界</w:t>
                  </w:r>
                </w:p>
              </w:tc>
              <w:tc>
                <w:tcPr>
                  <w:tcW w:w="2850"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hint="eastAsia" w:ascii="Times New Roman" w:hAnsi="Times New Roman"/>
                      <w:sz w:val="21"/>
                      <w:szCs w:val="21"/>
                      <w:lang w:eastAsia="zh-CN"/>
                    </w:rPr>
                    <w:t>54</w:t>
                  </w:r>
                  <w:r>
                    <w:rPr>
                      <w:rFonts w:ascii="Times New Roman" w:hAnsi="Times New Roman"/>
                      <w:sz w:val="21"/>
                      <w:szCs w:val="21"/>
                      <w:lang w:eastAsia="zh-CN"/>
                    </w:rPr>
                    <w:t>.0</w:t>
                  </w:r>
                </w:p>
              </w:tc>
              <w:tc>
                <w:tcPr>
                  <w:tcW w:w="2597" w:type="dxa"/>
                  <w:tcBorders>
                    <w:top w:val="single" w:color="auto" w:sz="4" w:space="0"/>
                    <w:left w:val="single" w:color="auto" w:sz="4" w:space="0"/>
                    <w:bottom w:val="single" w:color="auto" w:sz="4" w:space="0"/>
                    <w:right w:val="single" w:color="auto" w:sz="4" w:space="0"/>
                  </w:tcBorders>
                  <w:vAlign w:val="center"/>
                </w:tcPr>
                <w:p>
                  <w:pPr>
                    <w:pStyle w:val="100"/>
                    <w:spacing w:line="240" w:lineRule="atLeast"/>
                    <w:jc w:val="center"/>
                    <w:rPr>
                      <w:rFonts w:ascii="Times New Roman" w:hAnsi="Times New Roman"/>
                      <w:sz w:val="21"/>
                      <w:szCs w:val="21"/>
                      <w:lang w:eastAsia="zh-CN"/>
                    </w:rPr>
                  </w:pPr>
                  <w:r>
                    <w:rPr>
                      <w:rFonts w:ascii="Times New Roman" w:hAnsi="Times New Roman"/>
                      <w:sz w:val="21"/>
                      <w:szCs w:val="21"/>
                      <w:lang w:eastAsia="zh-CN"/>
                    </w:rPr>
                    <w:t>达标</w:t>
                  </w:r>
                </w:p>
              </w:tc>
              <w:tc>
                <w:tcPr>
                  <w:tcW w:w="1495" w:type="dxa"/>
                  <w:vMerge w:val="continue"/>
                  <w:tcBorders>
                    <w:left w:val="single" w:color="auto" w:sz="4" w:space="0"/>
                    <w:bottom w:val="single" w:color="auto" w:sz="4" w:space="0"/>
                    <w:right w:val="single" w:color="auto" w:sz="4" w:space="0"/>
                  </w:tcBorders>
                </w:tcPr>
                <w:p>
                  <w:pPr>
                    <w:ind w:firstLine="472"/>
                    <w:rPr>
                      <w:rFonts w:ascii="Times New Roman" w:hAnsi="Times New Roman"/>
                      <w:sz w:val="22"/>
                      <w:szCs w:val="22"/>
                    </w:rPr>
                  </w:pPr>
                </w:p>
              </w:tc>
            </w:tr>
          </w:tbl>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r>
              <w:rPr>
                <w:rFonts w:ascii="Times New Roman" w:hAnsi="Times New Roman"/>
                <w:sz w:val="24"/>
              </w:rPr>
              <w:t>由上表预测可知，本项目</w:t>
            </w:r>
            <w:r>
              <w:rPr>
                <w:rFonts w:ascii="Times New Roman" w:hAnsi="Times New Roman"/>
                <w:bCs/>
                <w:sz w:val="24"/>
              </w:rPr>
              <w:t>昼间各厂界噪声贡献值较小。运营后项目厂界四周噪声可以满足</w:t>
            </w:r>
            <w:r>
              <w:rPr>
                <w:rFonts w:ascii="Times New Roman" w:hAnsi="Times New Roman"/>
                <w:sz w:val="24"/>
              </w:rPr>
              <w:t>《工业企业厂界环境噪声排放标准》</w:t>
            </w:r>
            <w:r>
              <w:rPr>
                <w:rFonts w:ascii="Times New Roman" w:hAnsi="Times New Roman"/>
                <w:bCs/>
                <w:sz w:val="24"/>
              </w:rPr>
              <w:t>（GB12348-2008）</w:t>
            </w:r>
            <w:r>
              <w:rPr>
                <w:rFonts w:ascii="Times New Roman" w:hAnsi="Times New Roman"/>
                <w:sz w:val="24"/>
              </w:rPr>
              <w:t>中3类区标准。因此，本项目的运营期噪声对周围声环境影响较小。</w:t>
            </w:r>
          </w:p>
          <w:p>
            <w:pPr>
              <w:spacing w:line="360" w:lineRule="auto"/>
              <w:ind w:firstLine="480" w:firstLineChars="200"/>
              <w:rPr>
                <w:rFonts w:ascii="Times New Roman" w:hAnsi="Times New Roman"/>
                <w:color w:val="000000"/>
                <w:sz w:val="36"/>
                <w:szCs w:val="36"/>
              </w:rPr>
            </w:pPr>
            <w:r>
              <w:rPr>
                <w:rFonts w:ascii="Times New Roman" w:hAnsi="Times New Roman"/>
                <w:color w:val="000000"/>
                <w:sz w:val="24"/>
                <w:szCs w:val="24"/>
              </w:rPr>
              <w:t>四、固体废物影响分析</w:t>
            </w:r>
          </w:p>
          <w:p>
            <w:pPr>
              <w:spacing w:line="360" w:lineRule="auto"/>
              <w:ind w:firstLine="482"/>
              <w:rPr>
                <w:rFonts w:hint="default" w:ascii="Times New Roman" w:hAnsi="Times New Roman" w:cs="Times New Roman"/>
                <w:color w:val="000000"/>
                <w:sz w:val="24"/>
              </w:rPr>
            </w:pPr>
            <w:r>
              <w:rPr>
                <w:rFonts w:hint="default" w:ascii="Times New Roman" w:hAnsi="Times New Roman" w:cs="Times New Roman"/>
                <w:color w:val="000000"/>
                <w:sz w:val="24"/>
              </w:rPr>
              <w:t>项目固体废物主要为生产过程中产生的一般工业固废、危险固废及生活垃圾，其中一般工业固废主要为废滤芯</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rPr>
              <w:t>清管废渣；危险废物有清管废水残夜；生活垃圾主要厂内员工生活产生。</w:t>
            </w:r>
          </w:p>
          <w:p>
            <w:pPr>
              <w:spacing w:line="360" w:lineRule="auto"/>
              <w:ind w:firstLine="482"/>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1、一般工业固废</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rPr>
              <w:t>根据建设单位提供资料，废滤芯、清管废渣收集后统一交由环卫部门处置。</w:t>
            </w:r>
            <w:r>
              <w:rPr>
                <w:rFonts w:hint="default" w:ascii="Times New Roman" w:hAnsi="Times New Roman" w:cs="Times New Roman"/>
                <w:sz w:val="24"/>
                <w:szCs w:val="22"/>
              </w:rPr>
              <w:t>项目一般固废临时贮存满足《一般工业固体废物贮存、处置场污染控制标准》（GB18599-2001）标准及其2013修改单中的相关要求。</w:t>
            </w:r>
          </w:p>
          <w:p>
            <w:pPr>
              <w:widowControl/>
              <w:spacing w:line="360" w:lineRule="auto"/>
              <w:ind w:firstLine="480" w:firstLineChars="200"/>
              <w:rPr>
                <w:rFonts w:hint="default" w:ascii="Times New Roman" w:hAnsi="Times New Roman" w:cs="Times New Roman"/>
                <w:sz w:val="24"/>
                <w:szCs w:val="22"/>
                <w:lang w:val="en-US" w:eastAsia="zh-CN"/>
              </w:rPr>
            </w:pPr>
            <w:r>
              <w:rPr>
                <w:rFonts w:hint="default" w:ascii="Times New Roman" w:hAnsi="Times New Roman" w:cs="Times New Roman"/>
                <w:sz w:val="24"/>
                <w:szCs w:val="22"/>
                <w:lang w:val="en-US" w:eastAsia="zh-CN"/>
              </w:rPr>
              <w:t>2、危险固废</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对照《国家危险废物名录》</w:t>
            </w:r>
            <w:r>
              <w:rPr>
                <w:rFonts w:hint="eastAsia" w:ascii="Times New Roman" w:hAnsi="Times New Roman" w:cs="Times New Roman"/>
                <w:sz w:val="24"/>
                <w:szCs w:val="22"/>
                <w:lang w:eastAsia="zh-CN"/>
              </w:rPr>
              <w:t>（</w:t>
            </w:r>
            <w:r>
              <w:rPr>
                <w:rFonts w:hint="eastAsia" w:ascii="Times New Roman" w:hAnsi="Times New Roman" w:cs="Times New Roman"/>
                <w:sz w:val="24"/>
                <w:szCs w:val="22"/>
                <w:lang w:val="en-US" w:eastAsia="zh-CN"/>
              </w:rPr>
              <w:t>2021版</w:t>
            </w:r>
            <w:r>
              <w:rPr>
                <w:rFonts w:hint="eastAsia" w:ascii="Times New Roman" w:hAnsi="Times New Roman" w:cs="Times New Roman"/>
                <w:sz w:val="24"/>
                <w:szCs w:val="22"/>
                <w:lang w:eastAsia="zh-CN"/>
              </w:rPr>
              <w:t>）</w:t>
            </w:r>
            <w:r>
              <w:rPr>
                <w:rFonts w:hint="default" w:ascii="Times New Roman" w:hAnsi="Times New Roman" w:cs="Times New Roman"/>
                <w:sz w:val="24"/>
                <w:szCs w:val="22"/>
              </w:rPr>
              <w:t>，</w:t>
            </w:r>
            <w:r>
              <w:rPr>
                <w:rFonts w:hint="default" w:ascii="Times New Roman" w:hAnsi="Times New Roman" w:cs="Times New Roman"/>
                <w:color w:val="000000"/>
                <w:sz w:val="24"/>
              </w:rPr>
              <w:t>清管废水残夜</w:t>
            </w:r>
            <w:r>
              <w:rPr>
                <w:rFonts w:hint="default" w:ascii="Times New Roman" w:hAnsi="Times New Roman" w:cs="Times New Roman"/>
                <w:sz w:val="24"/>
                <w:szCs w:val="22"/>
              </w:rPr>
              <w:t>属于危险废物</w:t>
            </w:r>
            <w:r>
              <w:rPr>
                <w:rFonts w:hint="default" w:ascii="Times New Roman" w:hAnsi="Times New Roman" w:cs="Times New Roman"/>
                <w:sz w:val="24"/>
                <w:szCs w:val="22"/>
                <w:lang w:eastAsia="zh-CN"/>
              </w:rPr>
              <w:t>。</w:t>
            </w:r>
            <w:r>
              <w:rPr>
                <w:rFonts w:hint="eastAsia" w:ascii="Times New Roman" w:hAnsi="Times New Roman"/>
                <w:color w:val="000000"/>
                <w:sz w:val="24"/>
                <w:lang w:val="en-US" w:eastAsia="zh-CN"/>
              </w:rPr>
              <w:t>高安首站产生的危废利用码头工程建设的危废库（建筑面积30m</w:t>
            </w:r>
            <w:r>
              <w:rPr>
                <w:rFonts w:hint="eastAsia" w:ascii="Times New Roman" w:hAnsi="Times New Roman"/>
                <w:color w:val="000000"/>
                <w:sz w:val="24"/>
                <w:vertAlign w:val="superscript"/>
                <w:lang w:val="en-US" w:eastAsia="zh-CN"/>
              </w:rPr>
              <w:t>2</w:t>
            </w:r>
            <w:r>
              <w:rPr>
                <w:rFonts w:hint="eastAsia" w:ascii="Times New Roman" w:hAnsi="Times New Roman"/>
                <w:color w:val="000000"/>
                <w:sz w:val="24"/>
                <w:lang w:val="en-US" w:eastAsia="zh-CN"/>
              </w:rPr>
              <w:t>）存储，横山</w:t>
            </w:r>
            <w:r>
              <w:rPr>
                <w:rFonts w:hint="eastAsia" w:ascii="Times New Roman" w:hAnsi="Times New Roman"/>
                <w:color w:val="000000"/>
                <w:sz w:val="24"/>
              </w:rPr>
              <w:t>分输站内</w:t>
            </w:r>
            <w:r>
              <w:rPr>
                <w:rFonts w:hint="eastAsia" w:ascii="Times New Roman" w:hAnsi="Times New Roman"/>
                <w:color w:val="000000"/>
                <w:sz w:val="24"/>
                <w:lang w:val="en-US" w:eastAsia="zh-CN"/>
              </w:rPr>
              <w:t>新</w:t>
            </w:r>
            <w:r>
              <w:rPr>
                <w:rFonts w:hint="eastAsia" w:ascii="Times New Roman" w:hAnsi="Times New Roman"/>
                <w:color w:val="000000"/>
                <w:sz w:val="24"/>
              </w:rPr>
              <w:t>建设1处危废暂存区，</w:t>
            </w:r>
            <w:r>
              <w:rPr>
                <w:rFonts w:hint="eastAsia" w:ascii="Times New Roman" w:hAnsi="Times New Roman"/>
                <w:color w:val="000000"/>
                <w:sz w:val="24"/>
                <w:lang w:val="en-US" w:eastAsia="zh-CN"/>
              </w:rPr>
              <w:t>建筑面积10m</w:t>
            </w:r>
            <w:r>
              <w:rPr>
                <w:rFonts w:hint="eastAsia" w:ascii="Times New Roman" w:hAnsi="Times New Roman"/>
                <w:color w:val="000000"/>
                <w:sz w:val="24"/>
                <w:vertAlign w:val="superscript"/>
                <w:lang w:val="en-US" w:eastAsia="zh-CN"/>
              </w:rPr>
              <w:t>2</w:t>
            </w:r>
            <w:r>
              <w:rPr>
                <w:rFonts w:hint="default" w:ascii="Times New Roman" w:hAnsi="Times New Roman" w:cs="Times New Roman"/>
                <w:sz w:val="24"/>
                <w:szCs w:val="22"/>
              </w:rPr>
              <w:t>。在危废的处理处置过程中，应严格执行环保相关规定及要求，危废交由有资质的危废处理单位统一收集处置。厂区内的危险废物临时贮存应按《危险废物贮存污染控制标准》（GB18597-2001）严格执行。</w:t>
            </w:r>
          </w:p>
          <w:p>
            <w:pPr>
              <w:spacing w:line="360" w:lineRule="auto"/>
              <w:ind w:firstLine="482" w:firstLineChars="200"/>
              <w:jc w:val="center"/>
              <w:rPr>
                <w:rFonts w:hint="default" w:ascii="Times New Roman" w:hAnsi="Times New Roman" w:eastAsia="宋体" w:cs="Times New Roman"/>
                <w:b/>
                <w:bCs/>
                <w:color w:val="auto"/>
                <w:sz w:val="24"/>
                <w:szCs w:val="22"/>
              </w:rPr>
            </w:pPr>
          </w:p>
          <w:p>
            <w:pPr>
              <w:spacing w:line="360" w:lineRule="auto"/>
              <w:ind w:firstLine="482" w:firstLineChars="200"/>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表7-</w:t>
            </w:r>
            <w:r>
              <w:rPr>
                <w:rFonts w:hint="eastAsia" w:ascii="Times New Roman" w:hAnsi="Times New Roman" w:cs="Times New Roman"/>
                <w:b/>
                <w:bCs/>
                <w:color w:val="auto"/>
                <w:sz w:val="24"/>
                <w:szCs w:val="22"/>
                <w:lang w:val="en-US" w:eastAsia="zh-CN"/>
              </w:rPr>
              <w:t>19</w:t>
            </w:r>
            <w:r>
              <w:rPr>
                <w:rFonts w:hint="default" w:ascii="Times New Roman" w:hAnsi="Times New Roman" w:eastAsia="宋体" w:cs="Times New Roman"/>
                <w:b/>
                <w:bCs/>
                <w:color w:val="auto"/>
                <w:sz w:val="24"/>
                <w:szCs w:val="22"/>
                <w:lang w:val="en-US" w:eastAsia="zh-CN"/>
              </w:rPr>
              <w:t xml:space="preserve"> </w:t>
            </w:r>
            <w:r>
              <w:rPr>
                <w:rFonts w:hint="default" w:ascii="Times New Roman" w:hAnsi="Times New Roman" w:eastAsia="宋体" w:cs="Times New Roman"/>
                <w:b/>
                <w:bCs/>
                <w:color w:val="auto"/>
                <w:sz w:val="24"/>
                <w:szCs w:val="22"/>
              </w:rPr>
              <w:t xml:space="preserve"> 项目危险贮存场所基本情况</w:t>
            </w:r>
          </w:p>
          <w:tbl>
            <w:tblPr>
              <w:tblStyle w:val="32"/>
              <w:tblW w:w="88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0"/>
              <w:gridCol w:w="1246"/>
              <w:gridCol w:w="1244"/>
              <w:gridCol w:w="798"/>
              <w:gridCol w:w="800"/>
              <w:gridCol w:w="1220"/>
              <w:gridCol w:w="1030"/>
              <w:gridCol w:w="1061"/>
              <w:gridCol w:w="8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510"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135" w:type="dxa"/>
                  <w:noWrap w:val="0"/>
                  <w:vAlign w:val="top"/>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贮存场所（设施）</w:t>
                  </w:r>
                </w:p>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名称</w:t>
                  </w:r>
                </w:p>
              </w:tc>
              <w:tc>
                <w:tcPr>
                  <w:tcW w:w="1133"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危险废物名称</w:t>
                  </w:r>
                </w:p>
              </w:tc>
              <w:tc>
                <w:tcPr>
                  <w:tcW w:w="727" w:type="dxa"/>
                  <w:noWrap w:val="0"/>
                  <w:vAlign w:val="top"/>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危险废物类别</w:t>
                  </w:r>
                </w:p>
              </w:tc>
              <w:tc>
                <w:tcPr>
                  <w:tcW w:w="728" w:type="dxa"/>
                  <w:noWrap w:val="0"/>
                  <w:vAlign w:val="top"/>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危险废物代码</w:t>
                  </w:r>
                </w:p>
              </w:tc>
              <w:tc>
                <w:tcPr>
                  <w:tcW w:w="1111"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938"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占地面积</w:t>
                  </w:r>
                </w:p>
              </w:tc>
              <w:tc>
                <w:tcPr>
                  <w:tcW w:w="966"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贮存方式</w:t>
                  </w:r>
                </w:p>
              </w:tc>
              <w:tc>
                <w:tcPr>
                  <w:tcW w:w="805"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贮存</w:t>
                  </w:r>
                </w:p>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0" w:type="dxa"/>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Cs w:val="21"/>
                    </w:rPr>
                    <w:t>1</w:t>
                  </w:r>
                </w:p>
              </w:tc>
              <w:tc>
                <w:tcPr>
                  <w:tcW w:w="1135"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危险固废暂存场所</w:t>
                  </w:r>
                </w:p>
              </w:tc>
              <w:tc>
                <w:tcPr>
                  <w:tcW w:w="1133" w:type="dxa"/>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spacing w:val="0"/>
                      <w:sz w:val="21"/>
                      <w:szCs w:val="21"/>
                      <w:lang w:val="en-US" w:eastAsia="zh-CN"/>
                    </w:rPr>
                    <w:t>清管废水残夜</w:t>
                  </w:r>
                </w:p>
              </w:tc>
              <w:tc>
                <w:tcPr>
                  <w:tcW w:w="727"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Cs w:val="21"/>
                    </w:rPr>
                    <w:t>HW08</w:t>
                  </w:r>
                </w:p>
              </w:tc>
              <w:tc>
                <w:tcPr>
                  <w:tcW w:w="728" w:type="dxa"/>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spacing w:val="0"/>
                      <w:kern w:val="2"/>
                      <w:sz w:val="21"/>
                      <w:szCs w:val="21"/>
                      <w:lang w:val="en-US" w:eastAsia="en-US" w:bidi="ar-SA"/>
                    </w:rPr>
                    <w:t>251-001-08</w:t>
                  </w:r>
                </w:p>
              </w:tc>
              <w:tc>
                <w:tcPr>
                  <w:tcW w:w="1111"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码头维修仓库内</w:t>
                  </w:r>
                </w:p>
              </w:tc>
              <w:tc>
                <w:tcPr>
                  <w:tcW w:w="938"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0m</w:t>
                  </w:r>
                  <w:r>
                    <w:rPr>
                      <w:rFonts w:hint="default" w:ascii="Times New Roman" w:hAnsi="Times New Roman" w:eastAsia="宋体" w:cs="Times New Roman"/>
                      <w:color w:val="auto"/>
                      <w:sz w:val="21"/>
                      <w:szCs w:val="21"/>
                      <w:vertAlign w:val="superscript"/>
                      <w:lang w:val="en-US" w:eastAsia="zh-CN"/>
                    </w:rPr>
                    <w:t>2</w:t>
                  </w:r>
                </w:p>
              </w:tc>
              <w:tc>
                <w:tcPr>
                  <w:tcW w:w="966"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桶装</w:t>
                  </w:r>
                </w:p>
              </w:tc>
              <w:tc>
                <w:tcPr>
                  <w:tcW w:w="805"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rPr>
                  </w:pPr>
                  <w:r>
                    <w:rPr>
                      <w:rFonts w:hint="eastAsia"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lang w:val="en-US" w:eastAsia="zh-CN"/>
                    </w:rPr>
                    <w:t>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0"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w:t>
                  </w:r>
                </w:p>
              </w:tc>
              <w:tc>
                <w:tcPr>
                  <w:tcW w:w="1135"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危险固废暂存场所</w:t>
                  </w:r>
                </w:p>
              </w:tc>
              <w:tc>
                <w:tcPr>
                  <w:tcW w:w="1133"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spacing w:val="0"/>
                      <w:sz w:val="21"/>
                      <w:szCs w:val="21"/>
                      <w:lang w:val="en-US" w:eastAsia="zh-CN"/>
                    </w:rPr>
                    <w:t>清管废水残夜</w:t>
                  </w:r>
                </w:p>
              </w:tc>
              <w:tc>
                <w:tcPr>
                  <w:tcW w:w="727"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HW08</w:t>
                  </w:r>
                </w:p>
              </w:tc>
              <w:tc>
                <w:tcPr>
                  <w:tcW w:w="728" w:type="dxa"/>
                  <w:noWrap w:val="0"/>
                  <w:vAlign w:val="center"/>
                </w:tcPr>
                <w:p>
                  <w:pPr>
                    <w:jc w:val="center"/>
                    <w:rPr>
                      <w:rFonts w:hint="default" w:ascii="Times New Roman" w:hAnsi="Times New Roman" w:cs="Times New Roman"/>
                      <w:color w:val="auto"/>
                      <w:szCs w:val="21"/>
                    </w:rPr>
                  </w:pPr>
                  <w:r>
                    <w:rPr>
                      <w:rFonts w:hint="default" w:ascii="Times New Roman" w:hAnsi="Times New Roman" w:eastAsia="宋体" w:cs="Times New Roman"/>
                      <w:spacing w:val="0"/>
                      <w:kern w:val="2"/>
                      <w:sz w:val="21"/>
                      <w:szCs w:val="21"/>
                      <w:lang w:val="en-US" w:eastAsia="en-US" w:bidi="ar-SA"/>
                    </w:rPr>
                    <w:t>251-001-08</w:t>
                  </w:r>
                </w:p>
              </w:tc>
              <w:tc>
                <w:tcPr>
                  <w:tcW w:w="1111"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辅助用房西南侧</w:t>
                  </w:r>
                </w:p>
              </w:tc>
              <w:tc>
                <w:tcPr>
                  <w:tcW w:w="938"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p>
              </w:tc>
              <w:tc>
                <w:tcPr>
                  <w:tcW w:w="966"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桶装</w:t>
                  </w:r>
                </w:p>
              </w:tc>
              <w:tc>
                <w:tcPr>
                  <w:tcW w:w="805" w:type="dxa"/>
                  <w:noWrap w:val="0"/>
                  <w:vAlign w:val="center"/>
                </w:tcPr>
                <w:p>
                  <w:pPr>
                    <w:autoSpaceDE w:val="0"/>
                    <w:autoSpaceDN w:val="0"/>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2t</w:t>
                  </w:r>
                </w:p>
              </w:tc>
            </w:tr>
          </w:tbl>
          <w:p>
            <w:pPr>
              <w:widowControl/>
              <w:spacing w:line="360" w:lineRule="auto"/>
              <w:ind w:firstLine="480" w:firstLineChars="200"/>
              <w:rPr>
                <w:rFonts w:hint="default" w:ascii="Times New Roman" w:hAnsi="Times New Roman" w:cs="Times New Roman"/>
                <w:sz w:val="24"/>
                <w:szCs w:val="22"/>
              </w:rPr>
            </w:pP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为减小危险废物的储运风险，防止危险废物流失污染环境，建设单位应设计危险废物</w:t>
            </w:r>
            <w:r>
              <w:rPr>
                <w:rFonts w:hint="default" w:ascii="Times New Roman" w:hAnsi="Times New Roman" w:cs="Times New Roman"/>
                <w:sz w:val="24"/>
                <w:szCs w:val="22"/>
                <w:lang w:val="en-US" w:eastAsia="zh-CN"/>
              </w:rPr>
              <w:t>库</w:t>
            </w:r>
            <w:r>
              <w:rPr>
                <w:rFonts w:hint="default" w:ascii="Times New Roman" w:hAnsi="Times New Roman" w:cs="Times New Roman"/>
                <w:sz w:val="24"/>
                <w:szCs w:val="22"/>
              </w:rPr>
              <w:t>，用于临时存放外委处置前的危险废弃物。该类危险废物于厂区危废临时贮存场所暂存，定期送有危险废物处置资质的单位集中处置。建设单位必须在项目建成试生产前落实固废处置单位，签订固废处置协议，报环境保护行政主管部门批准。</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一般工业固体废物综合利用；危险废物交有资质的单位处理处置、临时贮存于危险暂存间。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根据 《危险废物贮存污染控制标准》</w:t>
            </w:r>
            <w:r>
              <w:rPr>
                <w:rFonts w:hint="default" w:ascii="Times New Roman" w:hAnsi="Times New Roman" w:cs="Times New Roman"/>
                <w:sz w:val="24"/>
                <w:szCs w:val="22"/>
                <w:lang w:eastAsia="zh-CN"/>
              </w:rPr>
              <w:t>（</w:t>
            </w:r>
            <w:r>
              <w:rPr>
                <w:rFonts w:hint="default" w:ascii="Times New Roman" w:hAnsi="Times New Roman" w:cs="Times New Roman"/>
                <w:sz w:val="24"/>
                <w:szCs w:val="22"/>
              </w:rPr>
              <w:t>GB18597-2001</w:t>
            </w:r>
            <w:r>
              <w:rPr>
                <w:rFonts w:hint="default" w:ascii="Times New Roman" w:hAnsi="Times New Roman" w:cs="Times New Roman"/>
                <w:sz w:val="24"/>
                <w:szCs w:val="22"/>
                <w:lang w:eastAsia="zh-CN"/>
              </w:rPr>
              <w:t>）</w:t>
            </w:r>
            <w:r>
              <w:rPr>
                <w:rFonts w:hint="default" w:ascii="Times New Roman" w:hAnsi="Times New Roman" w:cs="Times New Roman"/>
                <w:sz w:val="24"/>
                <w:szCs w:val="22"/>
              </w:rPr>
              <w:t xml:space="preserve">及其修改单中有关规定，并结各本项目危险废物的特点，对危险废物贮存容器以及临时贮存场所要求如下：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建设单位设置一个危险固废临时贮存场所，并单独隔离，并有明显标示牌，所有危险废物要分类放置，对厂区危废临时贮存场所的设置要求如下：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危险废物暂存场所应严格按照《危险废物储存污染控制标准》设计，具体见下：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（1）地面采用坚固、防渗、耐腐蚀的材料建造，并设计有堵截泄漏的裙脚、泄漏液体收集装置、气体导出口和气体净化装置。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（2）应在易燃、易爆等危险品仓库防护区域以外。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（3）设施内要有安全照明设施和观察窗口。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（4）用以存放危险废物容器的地方，必须有耐腐蚀的硬化地面，且表面无裂隙。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（5）不相容的危险废物必须分开存放，并设有隔离间隔断。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（6）基础必须防渗，防渗层为至少 1m 厚粘土层（渗透系数≤10</w:t>
            </w:r>
            <w:r>
              <w:rPr>
                <w:rFonts w:hint="default" w:ascii="Times New Roman" w:hAnsi="Times New Roman" w:cs="Times New Roman"/>
                <w:sz w:val="24"/>
                <w:szCs w:val="22"/>
                <w:vertAlign w:val="superscript"/>
              </w:rPr>
              <w:t>-7</w:t>
            </w:r>
            <w:r>
              <w:rPr>
                <w:rFonts w:hint="default" w:ascii="Times New Roman" w:hAnsi="Times New Roman" w:cs="Times New Roman"/>
                <w:sz w:val="24"/>
                <w:szCs w:val="22"/>
              </w:rPr>
              <w:t xml:space="preserve">cm/s）s。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（7）危险废物暂存场所要防风、防雨、防晒。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（8）根据厂内危险废物产生量及产生情况统计，危险废物暂存场所占地面积不小于8m</w:t>
            </w:r>
            <w:r>
              <w:rPr>
                <w:rFonts w:hint="default" w:ascii="Times New Roman" w:hAnsi="Times New Roman" w:cs="Times New Roman"/>
                <w:sz w:val="24"/>
                <w:szCs w:val="22"/>
                <w:vertAlign w:val="superscript"/>
              </w:rPr>
              <w:t>2</w:t>
            </w:r>
            <w:r>
              <w:rPr>
                <w:rFonts w:hint="default" w:ascii="Times New Roman" w:hAnsi="Times New Roman" w:cs="Times New Roman"/>
                <w:sz w:val="24"/>
                <w:szCs w:val="22"/>
              </w:rPr>
              <w:t xml:space="preserve">。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库房内采取全面通风的措施，设置干粉灭火器，库房外设置干粉灭火器。对照《危险废物贮存污染控制标准》GB18597-2001，本项目危废临时贮存库房的建设应符合标准规定。 做好危险废物情况记录，危险废物记录应表明：危险废物的数量、名称，入库日期，出库日期，接受单位名称等。危险废物记录和货单，要在危险废物回收后保存三年。</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同时根据《中华人民共和国固体废物污染环境防治法(修订)》规定，项目单位对危险废物处置应做到以下几点：</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一，对危险废物的容器和包装物以及收集,贮存,运输,处置危险废物的设施、场所、必须设置危险废物识别标志；厂内危险废物临时堆存应采取相应污染控制措施防止对环境产生影响；装载危险废物的容器及材质要满足相应的强度要求，衬里要与危险废物相容；装载危险废物的容器必须完好无损；</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第二，项目单位必须按照国家有关规定制定危险废物管理计划，并向环境保护主管部门申报危险废物的种类，产生量，流向，贮存，处置等有关资料；</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第三，项目单位必须按照国家有关规定处置危险废物，不得擅自倾倒堆放；</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第四，项目将危险废物提供或者委托给无经营许可证的单位从事收集、贮存、利用、处置的经营活动；</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第五，收集、贮存危险废物，必须按照危险废物特性分类进行。禁止混合收集、贮存、运输、处置性质不相容而未经安全性处置的危险废物；</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第六，转移危险废物必须按照国家环境保护总局令 第 5 号《危险废物 转移联单 管理办法 》（1999 年10月1日)，危险废物产生单位在转移危险废物前，须按照国家有关规定报批危险废物转移计划；经批准后，产生单位应当向移出地环境保护行政主管部门申请领取联单。产生单位应当在危险废物转移前三日内报告移出地环境保护行政主管部门，并同时将预期到达时间报告接受地环境保护行政主管部门。联单保存期限为五年；运输危险废物必须采取防止污染环境的措施,并遵守国家有关危险货物运输管理的规定；对于危险废物的收集和管理，建设单位应委派专人负责，认真执行五联单制度。做好每次外运处置废弃物的运输登记，认真填写危险废物转移联单（每种废物填写一份联单），并加盖公司公章，经运输单位核实验收签字后，将联单第一联副联自留存档，将联单第二联交移出地环境保护行政主管部门，第三联及其余各联交付运输单位，随危险废物转移运行。第四联交接受单位，第五联交接受地环保局。</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第七，收集、贮存、运输、处置危险废物的场所、设施、设备和容器、包装物及他物品转作他用时必须经过消除污染的处理方可使用；</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第八，项目单位应当制定意外事故的防范措施和应急预案，并向所在地县级以上地方人民政府环境保护行政主管部门备案，环境保护行政主管部门应当进行检查。</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 xml:space="preserve">第九，危废库房要设置桶盛装危废，降低危废库房内废气的排放，少量废气经大气扩散后，无组织排放。 </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lang w:val="en-US" w:eastAsia="zh-CN"/>
              </w:rPr>
              <w:t>3</w:t>
            </w:r>
            <w:r>
              <w:rPr>
                <w:rFonts w:hint="default" w:ascii="Times New Roman" w:hAnsi="Times New Roman" w:cs="Times New Roman"/>
                <w:sz w:val="24"/>
                <w:szCs w:val="22"/>
              </w:rPr>
              <w:t>、生活垃圾</w:t>
            </w:r>
          </w:p>
          <w:p>
            <w:pPr>
              <w:widowControl/>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项目产生的生活垃圾交环卫部门处理，日产日清，</w:t>
            </w:r>
            <w:r>
              <w:rPr>
                <w:rFonts w:hint="eastAsia" w:ascii="Times New Roman" w:hAnsi="Times New Roman" w:cs="Times New Roman"/>
                <w:sz w:val="24"/>
                <w:szCs w:val="22"/>
                <w:lang w:val="en-US" w:eastAsia="zh-CN"/>
              </w:rPr>
              <w:t>站区</w:t>
            </w:r>
            <w:r>
              <w:rPr>
                <w:rFonts w:hint="default" w:ascii="Times New Roman" w:hAnsi="Times New Roman" w:cs="Times New Roman"/>
                <w:sz w:val="24"/>
                <w:szCs w:val="22"/>
              </w:rPr>
              <w:t>内合理布设垃圾桶摆放点位。</w:t>
            </w:r>
          </w:p>
          <w:p>
            <w:pPr>
              <w:widowControl/>
              <w:spacing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sz w:val="24"/>
                <w:szCs w:val="22"/>
              </w:rPr>
              <w:t>通过采取以上措施，</w:t>
            </w:r>
            <w:r>
              <w:rPr>
                <w:rFonts w:hint="default" w:ascii="Times New Roman" w:hAnsi="Times New Roman" w:cs="Times New Roman"/>
                <w:color w:val="000000"/>
                <w:sz w:val="24"/>
                <w:szCs w:val="22"/>
              </w:rPr>
              <w:t>项目产生的各种固体废物均能得到妥善处置，从根本上解决了固体废物的污染问题，不仅实现了固体废物的无害化处理，避免因固体废物堆存对环境造成的影响，而且具有较好的社会、环境和经济效益。</w:t>
            </w:r>
          </w:p>
          <w:p>
            <w:pPr>
              <w:spacing w:line="360" w:lineRule="auto"/>
              <w:ind w:firstLine="482"/>
              <w:rPr>
                <w:rFonts w:ascii="Times New Roman" w:hAnsi="Times New Roman"/>
                <w:color w:val="000000"/>
                <w:sz w:val="24"/>
                <w:szCs w:val="22"/>
              </w:rPr>
            </w:pPr>
            <w:r>
              <w:rPr>
                <w:rFonts w:ascii="Times New Roman" w:hAnsi="Times New Roman"/>
                <w:color w:val="000000"/>
                <w:sz w:val="24"/>
                <w:szCs w:val="22"/>
              </w:rPr>
              <w:t>五、地下水环境影响分析</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rPr>
              <w:t>根据《环境影响评价技术导则地下水环境》（HJ 610-2016）》附录A地下水环境影响评价行业分类表，本项目属于"141城市天然气供应工程”中的“全部"类，为Ⅳ项目。可不需开展地下水环境影响评价工作。</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六、土壤环境影响分析</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根据《环境影响评价技术导则土壤环境（试行）》（HJ964-2018）中附录A土壤环境影响评价项目类别可知，本项目为</w:t>
            </w:r>
            <w:r>
              <w:rPr>
                <w:rFonts w:hint="eastAsia" w:ascii="Times New Roman" w:hAnsi="Times New Roman"/>
                <w:sz w:val="24"/>
                <w:szCs w:val="22"/>
              </w:rPr>
              <w:t xml:space="preserve">天然气生产和供应业 </w:t>
            </w:r>
            <w:r>
              <w:rPr>
                <w:rFonts w:ascii="Times New Roman" w:hAnsi="Times New Roman"/>
                <w:sz w:val="24"/>
                <w:szCs w:val="22"/>
              </w:rPr>
              <w:t>项目，属于附录A中的Ⅳ类项目，可不开展土壤评价。</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七、生态环境影响分析</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管道工程作为非污染生态类建设项目，其对环境的影响主要来自施工期，施工期的环境影响主要是生态环境影响，主要为管线施工对半自然生态系统的影响、对沿线生物多样性的影响、对沿线水土流失影响等。</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1、对生态系统的影响</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项目施工区的生态类型简单，植物以灌木丛、自然草丛为主，属于草地生态系统，本项目占地面积10457m</w:t>
            </w:r>
            <w:r>
              <w:rPr>
                <w:rFonts w:hint="eastAsia" w:ascii="Times New Roman" w:hAnsi="Times New Roman"/>
                <w:sz w:val="24"/>
                <w:szCs w:val="22"/>
                <w:vertAlign w:val="superscript"/>
              </w:rPr>
              <w:t>2</w:t>
            </w:r>
            <w:r>
              <w:rPr>
                <w:rFonts w:hint="eastAsia" w:ascii="Times New Roman" w:hAnsi="Times New Roman"/>
                <w:sz w:val="24"/>
                <w:szCs w:val="22"/>
              </w:rPr>
              <w:t>，该项目对生态系统的影响主要来源于施工期出入土点原始土层的破坏，以及占地作业时对植物的碾压。为减少施工作业生态系统的影响，出入土点的开挖应严格按照分层开挖，分层堆放，占地作业时尽量选择在地表植被较少的地方，工程结束后及时恢复植被情况，减少对生态系统的影响。</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输气管道采取埋地敷设的方式，施工期间管沟开挖及填埋、机械及车辆作业的活动将不可避免地清除或破坏施工作业带内的植被。在施工作业过程中，施工区域会出现扬尘、施工机械车辆尾气排放、施工作业废水排放等问题，这可能使作业区附近一定范围内的环境空气及土壤环境受到污染，从而导致周围的植物生长受到抑制，但这种影响是局部的、暂时性的，如在施工过程中采取严格的管理措施，可以大大减轻这种污染物排放对植物的危害。</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本工程施工结束后将对管道沿线进行适当播撒草籽等措施，将使该管线工程在施工期对于生态环境带来的影响得到缓减，因此工程施工期不会导致草从等植被物种消失，仅导致施工作业带上方植被数数量暂时减少。而且由于管线施工作业面积很小，时间很短，这些植被数量的损失对当地这些植被总量的影响将很小。</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施工期对会工程沿线的生态系统产生短暂的影响，这种影响是短暂的，随着施工期的结束这些不利的影响会消尖。项目没有永久占地，输气管线敷设地下，运营后沿线工程扰动区域内的原有植被逐渐得到恢复，因此项目建设对区域景观生态环境的影响相对较小。</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2、对沿线土壤影响分析</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土壤是建造生态系统的物质基础。本项目管线施工采用埋地敷设方式，对沿线土壤需进行开挖和填埋，必将对土壤环境这一重要生态要素产生影响。根据有关资料和现场调查，本项目管线施工对上壤环境的影响主要表现在以下方面：</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①破坏土壤结构，扰乱土壤耕作层。土壤结构是经过较长的历史时期形成的，管沟的开挖和填埋必将破坏土壤结构。例如土壤中的团粒状结构，是经过长期的发展而形成的，一旦遭到破坏，其恢复也需要较长时间。土壤耕作层是保证农业生产的基础，它的深度一般在15〜25cm，是农作物根系生长和发达的屋次。输气管道采用定向钻和埋地敷设方式，管沟开挖必定扰乱和破坏土壤的耕作层，除管线开挖的部分受到直接破坏外，管沟两侧需堆放开挖土，这也将破坏堆放区域土壤的耕作层。此外，管沟开挖和填埋过程中，上层的混合和扰动，同样会改变原有土壤耕作层的性质。因此，在整个施工过程中，对土壤耕作层的影响最为严重。</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②混合土壤层次，改变土壤质地。土壤在长期的发育过程中形成了较分明的层次，表层为腐殖质层或耕作层，中层为淋溶淀积层，底层为母质层。对不同类型的土壤。其层次的性质与厚度都有差别。土壤成地类型因地形和土壤形成条件的不同而有较大变化，即使同一土壤剖面，表层的土壤质地与底层质地也有截然的不冋。管线沿线各种土壤类型中可见到砂壤质、壤质、粘质、轻壤形成的层次，不同的层次被打乱并混合在一起，土壤质地发生变化，影响土壤的发育，也影响植被的生长，特别是对农作物的生长和农业产量影响很大。</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③影响土壤紧实度。管线铺设后的回填，一般难以恢复原有的土壤紧实度。施工中机械车辆碾压、人员践踏等都会影响土壤的紧实度。土壤过松，易引起水土流失：土体过紧，又会影响植被的生长。</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④土壤养分流失。土体构型是土壤剖面中各种土层组合情况，不同土层的特征及理化性质差异较大，就养分状况而言，表土层（腐殖质层或耕作层）远较心土层好，其有机质、全氮、磷等含量高，紧实度、孔隙状况适中，适应性强。管线施工势必扰动原有土体构型，使土壤养分受到严承影响，严重者使土壤性质恶化，波及其上生长的植被，甚至难以恢复。据有关资料，输气管线工程对土壤养分的影响与土壤的理化性质密切相关。在实行分层堆放、分层覆土的措施下，土壤中的有机质将下降30%〜40%，土壤全氮将下降30%〜50%，其中全氮下降43%左右，磷素下降40%。这说明即使对表土实行分层堆放和分层覆土，管线工程对土壤养分仍有明显的影响。</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本项目施工时管沟开挖采用分层开挖方式，土石方开挖直接在作业带内采用分区堆存的方式，表土与下层土壤分开存放，于施工作业带中断设置1处表土堆放场地，四周采用土袋围挡，避免混杂。管沟回填时注意分层回填。可最大限度减少表层土壤的有机质流失。</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⑤管线施工除了开挖回填影响土壤性质和结构外，施工过程中的废物对土壤也有影响。管线施工包括管线焊接、保温、防腐、清洗等工序，这些工序的施工有可能把废渣、废液排放到土壤中，在土壤中长时间残留，从而影响土壤耕作和农作物生长。</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 xml:space="preserve"> 3、对土地利用格局影响分析</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本工程临时用地主要是施工作业带的临时占地，现状为自然草丛和荒地，工程结束后将对其采取生态恢复措施或进行复垦，预计在施工结束后可基本恢复原有的土地利用类型。</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4、沿线水土流失</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项目区位于长江中下游平原区，根据主体工程布局、施工工艺特点及造成水土流失的主导因子相近或相似的原则划分。本工程不设施工便道和临时弃土场，全线均为大开挖作业，工程主要水土流失防治区即为管道工程区。</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本工程水土流失主要发生在施工期，尤其是管线土石方施工期，是管线开挖及建筑形成裸露边坡时段也是产生水土流失量及流失强度较大的时段，需要重点防治的时段。该时段水土流失的防治是本工程水土流失防治的关键时段。各类施工活动应严格限定在用地范围内，严禁随意占压、扰动和破坏地表植被。做好表上的剥离、集中堆放、拦挡、排水及恢复等措施，禁止土方随意倾倒。加强施工组织管理和临时防护，严格控制施工期间可能造成的水土流失。</w:t>
            </w:r>
          </w:p>
          <w:p>
            <w:pPr>
              <w:spacing w:line="360" w:lineRule="auto"/>
              <w:ind w:firstLine="480" w:firstLineChars="200"/>
              <w:rPr>
                <w:rFonts w:ascii="Times New Roman" w:hAnsi="Times New Roman"/>
                <w:sz w:val="24"/>
                <w:szCs w:val="22"/>
              </w:rPr>
            </w:pPr>
            <w:r>
              <w:rPr>
                <w:rFonts w:hint="eastAsia" w:ascii="Times New Roman" w:hAnsi="Times New Roman"/>
                <w:sz w:val="24"/>
                <w:szCs w:val="22"/>
              </w:rPr>
              <w:t>八</w:t>
            </w:r>
            <w:r>
              <w:rPr>
                <w:rFonts w:ascii="Times New Roman" w:hAnsi="Times New Roman"/>
                <w:sz w:val="24"/>
                <w:szCs w:val="22"/>
              </w:rPr>
              <w:t>、环境风险影响评价</w:t>
            </w:r>
          </w:p>
          <w:p>
            <w:pPr>
              <w:spacing w:line="360" w:lineRule="auto"/>
              <w:ind w:firstLine="480" w:firstLineChars="200"/>
              <w:rPr>
                <w:rFonts w:ascii="Times New Roman" w:hAnsi="Times New Roman"/>
                <w:sz w:val="24"/>
                <w:szCs w:val="22"/>
              </w:rPr>
            </w:pPr>
            <w:r>
              <w:rPr>
                <w:rFonts w:ascii="Times New Roman" w:hAnsi="Times New Roman"/>
                <w:sz w:val="24"/>
                <w:szCs w:val="22"/>
              </w:rPr>
              <w:t>1、风险源调查</w:t>
            </w:r>
          </w:p>
          <w:p>
            <w:pPr>
              <w:spacing w:line="360" w:lineRule="auto"/>
              <w:ind w:firstLine="480" w:firstLineChars="200"/>
              <w:rPr>
                <w:rFonts w:ascii="Times New Roman" w:hAnsi="Times New Roman"/>
                <w:sz w:val="24"/>
                <w:szCs w:val="22"/>
              </w:rPr>
            </w:pPr>
            <w:r>
              <w:rPr>
                <w:rFonts w:ascii="Times New Roman" w:hAnsi="Times New Roman"/>
                <w:sz w:val="24"/>
                <w:szCs w:val="22"/>
              </w:rPr>
              <w:t>本项目建设内容包括</w:t>
            </w:r>
            <w:r>
              <w:rPr>
                <w:rFonts w:hint="eastAsia" w:ascii="Times New Roman" w:hAnsi="Times New Roman"/>
                <w:sz w:val="24"/>
                <w:szCs w:val="22"/>
              </w:rPr>
              <w:t>输气站</w:t>
            </w:r>
            <w:r>
              <w:rPr>
                <w:rFonts w:ascii="Times New Roman" w:hAnsi="Times New Roman"/>
                <w:sz w:val="24"/>
                <w:szCs w:val="22"/>
              </w:rPr>
              <w:t>土建工程，管网工程。其中</w:t>
            </w:r>
            <w:r>
              <w:rPr>
                <w:rFonts w:hint="eastAsia" w:ascii="Times New Roman" w:hAnsi="Times New Roman"/>
                <w:sz w:val="24"/>
                <w:szCs w:val="22"/>
              </w:rPr>
              <w:t>输气站</w:t>
            </w:r>
            <w:r>
              <w:rPr>
                <w:rFonts w:ascii="Times New Roman" w:hAnsi="Times New Roman"/>
                <w:sz w:val="24"/>
                <w:szCs w:val="22"/>
              </w:rPr>
              <w:t>工程主要设置过滤、加热、调压、分输等功能，主要设过滤分离器、阀门、阀门执行机构、绝缘接头等设备。本项目可能对环境产生危险的物质主要是管道输送的天然气，其成分主要是甲烷（CH</w:t>
            </w:r>
            <w:r>
              <w:rPr>
                <w:rFonts w:ascii="Times New Roman" w:hAnsi="Times New Roman"/>
                <w:sz w:val="24"/>
                <w:szCs w:val="22"/>
                <w:vertAlign w:val="subscript"/>
              </w:rPr>
              <w:t>4</w:t>
            </w:r>
            <w:r>
              <w:rPr>
                <w:rFonts w:ascii="Times New Roman" w:hAnsi="Times New Roman"/>
                <w:sz w:val="24"/>
                <w:szCs w:val="22"/>
              </w:rPr>
              <w:t>），为一种无毒、可燃的气体，属易燃、易爆物质，极易在通常环境中引起燃烧和爆炸。逸散的天然气和空气混合，当浓度达到爆炸下限以上时，如遇明火就会发生爆炸，这是天然气事故中危害与损失最大的一种；如果未达到爆炸下限，遇明火则会发生燃烧。</w:t>
            </w:r>
          </w:p>
          <w:p>
            <w:pPr>
              <w:spacing w:line="360" w:lineRule="auto"/>
              <w:ind w:firstLine="480" w:firstLineChars="200"/>
              <w:rPr>
                <w:rFonts w:ascii="Times New Roman" w:hAnsi="Times New Roman"/>
                <w:sz w:val="24"/>
                <w:szCs w:val="22"/>
              </w:rPr>
            </w:pPr>
            <w:r>
              <w:rPr>
                <w:rFonts w:ascii="Times New Roman" w:hAnsi="Times New Roman"/>
                <w:sz w:val="24"/>
                <w:szCs w:val="22"/>
              </w:rPr>
              <w:t>2、环境敏感目标调查</w:t>
            </w:r>
          </w:p>
          <w:p>
            <w:pPr>
              <w:spacing w:line="360" w:lineRule="auto"/>
              <w:ind w:firstLine="480" w:firstLineChars="200"/>
              <w:rPr>
                <w:rFonts w:ascii="Times New Roman" w:hAnsi="Times New Roman"/>
                <w:sz w:val="24"/>
                <w:szCs w:val="22"/>
              </w:rPr>
            </w:pPr>
            <w:r>
              <w:rPr>
                <w:rFonts w:ascii="Times New Roman" w:hAnsi="Times New Roman"/>
                <w:sz w:val="24"/>
                <w:szCs w:val="22"/>
              </w:rPr>
              <w:t>根据现状调查，本项目周围主要环境敏感目标见下表。</w:t>
            </w:r>
          </w:p>
          <w:p>
            <w:pPr>
              <w:spacing w:line="360" w:lineRule="auto"/>
              <w:jc w:val="center"/>
              <w:rPr>
                <w:rFonts w:ascii="Times New Roman" w:hAnsi="Times New Roman"/>
                <w:b/>
                <w:color w:val="000000"/>
                <w:sz w:val="24"/>
                <w:szCs w:val="24"/>
                <w:lang w:bidi="en-US"/>
              </w:rPr>
            </w:pPr>
            <w:r>
              <w:rPr>
                <w:rFonts w:ascii="Times New Roman" w:hAnsi="Times New Roman"/>
                <w:b/>
                <w:color w:val="000000"/>
                <w:sz w:val="24"/>
                <w:szCs w:val="24"/>
                <w:lang w:bidi="en-US"/>
              </w:rPr>
              <w:t>表</w:t>
            </w:r>
            <w:r>
              <w:rPr>
                <w:rFonts w:hint="eastAsia" w:ascii="Times New Roman" w:hAnsi="Times New Roman"/>
                <w:b/>
                <w:color w:val="000000"/>
                <w:sz w:val="24"/>
                <w:szCs w:val="24"/>
                <w:lang w:bidi="en-US"/>
              </w:rPr>
              <w:t>7-</w:t>
            </w:r>
            <w:r>
              <w:rPr>
                <w:rFonts w:hint="eastAsia" w:ascii="Times New Roman" w:hAnsi="Times New Roman"/>
                <w:b/>
                <w:color w:val="000000"/>
                <w:sz w:val="24"/>
                <w:szCs w:val="24"/>
                <w:lang w:val="en-US" w:eastAsia="zh-CN" w:bidi="en-US"/>
              </w:rPr>
              <w:t>20</w:t>
            </w:r>
            <w:r>
              <w:rPr>
                <w:rFonts w:ascii="Times New Roman" w:hAnsi="Times New Roman"/>
                <w:b/>
                <w:color w:val="000000"/>
                <w:sz w:val="24"/>
                <w:szCs w:val="24"/>
                <w:lang w:bidi="en-US"/>
              </w:rPr>
              <w:t xml:space="preserve">  </w:t>
            </w:r>
            <w:r>
              <w:rPr>
                <w:rFonts w:hint="eastAsia" w:ascii="Times New Roman" w:hAnsi="Times New Roman"/>
                <w:b/>
                <w:color w:val="000000"/>
                <w:sz w:val="24"/>
                <w:szCs w:val="24"/>
                <w:lang w:bidi="en-US"/>
              </w:rPr>
              <w:t xml:space="preserve"> 项目周围主要环境敏感目标</w:t>
            </w:r>
          </w:p>
          <w:tbl>
            <w:tblPr>
              <w:tblStyle w:val="32"/>
              <w:tblW w:w="8844"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1081"/>
              <w:gridCol w:w="1415"/>
              <w:gridCol w:w="1415"/>
              <w:gridCol w:w="822"/>
              <w:gridCol w:w="1187"/>
              <w:gridCol w:w="292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Align w:val="center"/>
                </w:tcPr>
                <w:p>
                  <w:pPr>
                    <w:widowControl/>
                    <w:jc w:val="center"/>
                    <w:rPr>
                      <w:rFonts w:ascii="Times New Roman" w:hAnsi="Times New Roman"/>
                      <w:szCs w:val="21"/>
                    </w:rPr>
                  </w:pPr>
                  <w:r>
                    <w:rPr>
                      <w:rFonts w:ascii="Times New Roman" w:hAnsi="Times New Roman"/>
                      <w:szCs w:val="21"/>
                    </w:rPr>
                    <w:t>环境要素</w:t>
                  </w:r>
                </w:p>
              </w:tc>
              <w:tc>
                <w:tcPr>
                  <w:tcW w:w="1415" w:type="dxa"/>
                  <w:vAlign w:val="center"/>
                </w:tcPr>
                <w:p>
                  <w:pPr>
                    <w:widowControl/>
                    <w:jc w:val="center"/>
                    <w:rPr>
                      <w:rFonts w:ascii="Times New Roman" w:hAnsi="Times New Roman"/>
                      <w:szCs w:val="21"/>
                    </w:rPr>
                  </w:pPr>
                  <w:r>
                    <w:rPr>
                      <w:rFonts w:hint="eastAsia" w:ascii="Times New Roman" w:hAnsi="Times New Roman"/>
                      <w:szCs w:val="21"/>
                    </w:rPr>
                    <w:t>相对位置</w:t>
                  </w:r>
                </w:p>
              </w:tc>
              <w:tc>
                <w:tcPr>
                  <w:tcW w:w="1415" w:type="dxa"/>
                  <w:vAlign w:val="center"/>
                </w:tcPr>
                <w:p>
                  <w:pPr>
                    <w:widowControl/>
                    <w:jc w:val="center"/>
                    <w:rPr>
                      <w:rFonts w:ascii="Times New Roman" w:hAnsi="Times New Roman"/>
                      <w:szCs w:val="21"/>
                    </w:rPr>
                  </w:pPr>
                  <w:r>
                    <w:rPr>
                      <w:rFonts w:ascii="Times New Roman" w:hAnsi="Times New Roman"/>
                      <w:szCs w:val="21"/>
                    </w:rPr>
                    <w:t>保护目标</w:t>
                  </w:r>
                </w:p>
              </w:tc>
              <w:tc>
                <w:tcPr>
                  <w:tcW w:w="822" w:type="dxa"/>
                  <w:vAlign w:val="center"/>
                </w:tcPr>
                <w:p>
                  <w:pPr>
                    <w:widowControl/>
                    <w:jc w:val="center"/>
                    <w:rPr>
                      <w:rFonts w:ascii="Times New Roman" w:hAnsi="Times New Roman"/>
                      <w:szCs w:val="21"/>
                    </w:rPr>
                  </w:pPr>
                  <w:r>
                    <w:rPr>
                      <w:rFonts w:ascii="Times New Roman" w:hAnsi="Times New Roman"/>
                      <w:szCs w:val="21"/>
                    </w:rPr>
                    <w:t>方位</w:t>
                  </w:r>
                </w:p>
              </w:tc>
              <w:tc>
                <w:tcPr>
                  <w:tcW w:w="1187" w:type="dxa"/>
                  <w:vAlign w:val="center"/>
                </w:tcPr>
                <w:p>
                  <w:pPr>
                    <w:widowControl/>
                    <w:jc w:val="center"/>
                    <w:rPr>
                      <w:rFonts w:ascii="Times New Roman" w:hAnsi="Times New Roman"/>
                      <w:szCs w:val="21"/>
                    </w:rPr>
                  </w:pPr>
                  <w:r>
                    <w:rPr>
                      <w:rFonts w:ascii="Times New Roman" w:hAnsi="Times New Roman"/>
                      <w:szCs w:val="21"/>
                    </w:rPr>
                    <w:t>距离</w:t>
                  </w:r>
                </w:p>
              </w:tc>
              <w:tc>
                <w:tcPr>
                  <w:tcW w:w="2924" w:type="dxa"/>
                  <w:vAlign w:val="center"/>
                </w:tcPr>
                <w:p>
                  <w:pPr>
                    <w:widowControl/>
                    <w:jc w:val="center"/>
                    <w:rPr>
                      <w:rFonts w:ascii="Times New Roman" w:hAnsi="Times New Roman"/>
                      <w:szCs w:val="21"/>
                    </w:rPr>
                  </w:pPr>
                  <w:r>
                    <w:rPr>
                      <w:rFonts w:ascii="Times New Roman" w:hAnsi="Times New Roman"/>
                      <w:szCs w:val="21"/>
                    </w:rPr>
                    <w:t>保护级别</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restart"/>
                  <w:vAlign w:val="center"/>
                </w:tcPr>
                <w:p>
                  <w:pPr>
                    <w:widowControl/>
                    <w:jc w:val="center"/>
                    <w:rPr>
                      <w:rFonts w:ascii="Times New Roman" w:hAnsi="Times New Roman"/>
                      <w:szCs w:val="21"/>
                    </w:rPr>
                  </w:pPr>
                  <w:r>
                    <w:rPr>
                      <w:rFonts w:ascii="Times New Roman" w:hAnsi="Times New Roman"/>
                      <w:szCs w:val="21"/>
                    </w:rPr>
                    <w:t>环境</w:t>
                  </w:r>
                </w:p>
                <w:p>
                  <w:pPr>
                    <w:widowControl/>
                    <w:jc w:val="center"/>
                    <w:rPr>
                      <w:rFonts w:ascii="Times New Roman" w:hAnsi="Times New Roman"/>
                      <w:szCs w:val="21"/>
                    </w:rPr>
                  </w:pPr>
                  <w:r>
                    <w:rPr>
                      <w:rFonts w:ascii="Times New Roman" w:hAnsi="Times New Roman"/>
                      <w:szCs w:val="21"/>
                    </w:rPr>
                    <w:t>空气</w:t>
                  </w:r>
                </w:p>
              </w:tc>
              <w:tc>
                <w:tcPr>
                  <w:tcW w:w="1415" w:type="dxa"/>
                  <w:vMerge w:val="restart"/>
                  <w:vAlign w:val="center"/>
                </w:tcPr>
                <w:p>
                  <w:pPr>
                    <w:widowControl/>
                    <w:jc w:val="center"/>
                    <w:rPr>
                      <w:rFonts w:ascii="Times New Roman" w:hAnsi="Times New Roman"/>
                      <w:szCs w:val="21"/>
                    </w:rPr>
                  </w:pPr>
                  <w:r>
                    <w:rPr>
                      <w:rFonts w:hint="eastAsia" w:ascii="Times New Roman" w:hAnsi="Times New Roman"/>
                      <w:szCs w:val="21"/>
                    </w:rPr>
                    <w:t>高安站场</w:t>
                  </w: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花墩</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434</w:t>
                  </w:r>
                </w:p>
              </w:tc>
              <w:tc>
                <w:tcPr>
                  <w:tcW w:w="2924" w:type="dxa"/>
                  <w:vMerge w:val="restart"/>
                  <w:vAlign w:val="center"/>
                </w:tcPr>
                <w:p>
                  <w:pPr>
                    <w:widowControl/>
                    <w:jc w:val="center"/>
                    <w:rPr>
                      <w:rFonts w:ascii="Times New Roman" w:hAnsi="Times New Roman"/>
                    </w:rPr>
                  </w:pPr>
                  <w:r>
                    <w:rPr>
                      <w:rFonts w:ascii="Times New Roman" w:hAnsi="Times New Roman"/>
                    </w:rPr>
                    <w:t>《环境空气质量标准》</w:t>
                  </w:r>
                </w:p>
                <w:p>
                  <w:pPr>
                    <w:widowControl/>
                    <w:jc w:val="center"/>
                    <w:rPr>
                      <w:rFonts w:ascii="Times New Roman" w:hAnsi="Times New Roman"/>
                    </w:rPr>
                  </w:pPr>
                  <w:r>
                    <w:rPr>
                      <w:rFonts w:ascii="Times New Roman" w:hAnsi="Times New Roman"/>
                    </w:rPr>
                    <w:t>（GB3095-2012）二级标准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西洋村</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1322</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尚墩</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1559</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李家墩</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NE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1449</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陡门口</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SW</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2103</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新港镇</w:t>
                  </w:r>
                </w:p>
              </w:tc>
              <w:tc>
                <w:tcPr>
                  <w:tcW w:w="822" w:type="dxa"/>
                  <w:vAlign w:val="center"/>
                </w:tcPr>
                <w:p>
                  <w:pPr>
                    <w:autoSpaceDE w:val="0"/>
                    <w:autoSpaceDN w:val="0"/>
                    <w:spacing w:line="240" w:lineRule="atLeast"/>
                    <w:jc w:val="center"/>
                    <w:rPr>
                      <w:rFonts w:ascii="Times New Roman" w:hAnsi="Times New Roman"/>
                      <w:szCs w:val="21"/>
                    </w:rPr>
                  </w:pPr>
                  <w:r>
                    <w:rPr>
                      <w:rFonts w:hint="eastAsia" w:ascii="Times New Roman" w:hAnsi="Times New Roman"/>
                      <w:color w:val="000000"/>
                      <w:szCs w:val="21"/>
                    </w:rPr>
                    <w:t>SW</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2872</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滕老村</w:t>
                  </w:r>
                </w:p>
              </w:tc>
              <w:tc>
                <w:tcPr>
                  <w:tcW w:w="822" w:type="dxa"/>
                  <w:vAlign w:val="center"/>
                </w:tcPr>
                <w:p>
                  <w:pPr>
                    <w:autoSpaceDE w:val="0"/>
                    <w:autoSpaceDN w:val="0"/>
                    <w:spacing w:line="240" w:lineRule="atLeast"/>
                    <w:jc w:val="center"/>
                    <w:rPr>
                      <w:rFonts w:ascii="Times New Roman" w:hAnsi="Times New Roman"/>
                      <w:szCs w:val="21"/>
                    </w:rPr>
                  </w:pPr>
                  <w:r>
                    <w:rPr>
                      <w:rFonts w:hint="eastAsia" w:ascii="Times New Roman" w:hAnsi="Times New Roman"/>
                      <w:color w:val="000000"/>
                      <w:szCs w:val="21"/>
                    </w:rPr>
                    <w:t>SE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1964</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widowControl/>
                    <w:jc w:val="center"/>
                    <w:rPr>
                      <w:rFonts w:ascii="Times New Roman" w:hAnsi="Times New Roman"/>
                      <w:szCs w:val="21"/>
                    </w:rPr>
                  </w:pPr>
                </w:p>
              </w:tc>
              <w:tc>
                <w:tcPr>
                  <w:tcW w:w="1415" w:type="dxa"/>
                  <w:vMerge w:val="continue"/>
                  <w:vAlign w:val="center"/>
                </w:tcPr>
                <w:p>
                  <w:pPr>
                    <w:widowControl/>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支房村</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2457</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restart"/>
                  <w:vAlign w:val="center"/>
                </w:tcPr>
                <w:p>
                  <w:pPr>
                    <w:adjustRightInd w:val="0"/>
                    <w:snapToGrid w:val="0"/>
                    <w:jc w:val="center"/>
                    <w:rPr>
                      <w:rFonts w:ascii="Times New Roman" w:hAnsi="Times New Roman"/>
                      <w:szCs w:val="21"/>
                    </w:rPr>
                  </w:pPr>
                  <w:r>
                    <w:rPr>
                      <w:rFonts w:hint="eastAsia" w:ascii="Times New Roman" w:hAnsi="Times New Roman"/>
                      <w:szCs w:val="21"/>
                    </w:rPr>
                    <w:t>横山站场</w:t>
                  </w: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张家滩</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NE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1136</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continue"/>
                  <w:vAlign w:val="center"/>
                </w:tcPr>
                <w:p>
                  <w:pPr>
                    <w:adjustRightInd w:val="0"/>
                    <w:snapToGrid w:val="0"/>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枫杨树</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1293</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continue"/>
                  <w:vAlign w:val="center"/>
                </w:tcPr>
                <w:p>
                  <w:pPr>
                    <w:adjustRightInd w:val="0"/>
                    <w:snapToGrid w:val="0"/>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孙家湾</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1811</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continue"/>
                  <w:vAlign w:val="center"/>
                </w:tcPr>
                <w:p>
                  <w:pPr>
                    <w:adjustRightInd w:val="0"/>
                    <w:snapToGrid w:val="0"/>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罗湖</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1882</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continue"/>
                  <w:vAlign w:val="center"/>
                </w:tcPr>
                <w:p>
                  <w:pPr>
                    <w:adjustRightInd w:val="0"/>
                    <w:snapToGrid w:val="0"/>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谷屋基</w:t>
                  </w:r>
                </w:p>
              </w:tc>
              <w:tc>
                <w:tcPr>
                  <w:tcW w:w="822"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SW</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2018</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continue"/>
                  <w:vAlign w:val="center"/>
                </w:tcPr>
                <w:p>
                  <w:pPr>
                    <w:adjustRightInd w:val="0"/>
                    <w:snapToGrid w:val="0"/>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江北村</w:t>
                  </w:r>
                </w:p>
              </w:tc>
              <w:tc>
                <w:tcPr>
                  <w:tcW w:w="822" w:type="dxa"/>
                  <w:vAlign w:val="center"/>
                </w:tcPr>
                <w:p>
                  <w:pPr>
                    <w:autoSpaceDE w:val="0"/>
                    <w:autoSpaceDN w:val="0"/>
                    <w:spacing w:line="240" w:lineRule="atLeast"/>
                    <w:jc w:val="center"/>
                    <w:rPr>
                      <w:rFonts w:ascii="Times New Roman" w:hAnsi="Times New Roman"/>
                      <w:szCs w:val="21"/>
                    </w:rPr>
                  </w:pPr>
                  <w:r>
                    <w:rPr>
                      <w:rFonts w:hint="eastAsia" w:ascii="Times New Roman" w:hAnsi="Times New Roman"/>
                      <w:color w:val="000000"/>
                      <w:szCs w:val="21"/>
                    </w:rPr>
                    <w:t>NW</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2551</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Merge w:val="continue"/>
                  <w:vAlign w:val="center"/>
                </w:tcPr>
                <w:p>
                  <w:pPr>
                    <w:adjustRightInd w:val="0"/>
                    <w:snapToGrid w:val="0"/>
                    <w:jc w:val="center"/>
                    <w:rPr>
                      <w:rFonts w:ascii="Times New Roman" w:hAnsi="Times New Roman"/>
                      <w:szCs w:val="21"/>
                    </w:rPr>
                  </w:pPr>
                </w:p>
              </w:tc>
              <w:tc>
                <w:tcPr>
                  <w:tcW w:w="1415"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西埂</w:t>
                  </w:r>
                </w:p>
              </w:tc>
              <w:tc>
                <w:tcPr>
                  <w:tcW w:w="822" w:type="dxa"/>
                  <w:vAlign w:val="center"/>
                </w:tcPr>
                <w:p>
                  <w:pPr>
                    <w:autoSpaceDE w:val="0"/>
                    <w:autoSpaceDN w:val="0"/>
                    <w:spacing w:line="240" w:lineRule="atLeast"/>
                    <w:jc w:val="center"/>
                    <w:rPr>
                      <w:rFonts w:ascii="Times New Roman" w:hAnsi="Times New Roman"/>
                      <w:szCs w:val="21"/>
                    </w:rPr>
                  </w:pPr>
                  <w:r>
                    <w:rPr>
                      <w:rFonts w:hint="eastAsia" w:ascii="Times New Roman" w:hAnsi="Times New Roman"/>
                      <w:color w:val="000000"/>
                      <w:szCs w:val="21"/>
                    </w:rPr>
                    <w:t>NE</w:t>
                  </w:r>
                </w:p>
              </w:tc>
              <w:tc>
                <w:tcPr>
                  <w:tcW w:w="1187" w:type="dxa"/>
                  <w:vAlign w:val="center"/>
                </w:tcPr>
                <w:p>
                  <w:pPr>
                    <w:pStyle w:val="100"/>
                    <w:autoSpaceDE w:val="0"/>
                    <w:autoSpaceDN w:val="0"/>
                    <w:spacing w:line="240" w:lineRule="atLeast"/>
                    <w:jc w:val="center"/>
                    <w:rPr>
                      <w:rFonts w:ascii="Times New Roman" w:hAnsi="Times New Roman"/>
                      <w:szCs w:val="21"/>
                      <w:lang w:eastAsia="zh-CN"/>
                    </w:rPr>
                  </w:pPr>
                  <w:r>
                    <w:rPr>
                      <w:rFonts w:hint="eastAsia" w:ascii="Times New Roman" w:hAnsi="Times New Roman"/>
                      <w:color w:val="000000"/>
                      <w:kern w:val="2"/>
                      <w:sz w:val="21"/>
                      <w:szCs w:val="21"/>
                      <w:lang w:eastAsia="zh-CN"/>
                    </w:rPr>
                    <w:t>2217</w:t>
                  </w:r>
                </w:p>
              </w:tc>
              <w:tc>
                <w:tcPr>
                  <w:tcW w:w="2924" w:type="dxa"/>
                  <w:vMerge w:val="continue"/>
                  <w:vAlign w:val="center"/>
                </w:tcPr>
                <w:p>
                  <w:pPr>
                    <w:widowControl/>
                    <w:jc w:val="center"/>
                    <w:rPr>
                      <w:rFonts w:ascii="Times New Roman" w:hAnsi="Times New Roman"/>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1081" w:type="dxa"/>
                  <w:vMerge w:val="continue"/>
                  <w:vAlign w:val="center"/>
                </w:tcPr>
                <w:p>
                  <w:pPr>
                    <w:adjustRightInd w:val="0"/>
                    <w:snapToGrid w:val="0"/>
                    <w:jc w:val="center"/>
                    <w:rPr>
                      <w:rFonts w:ascii="Times New Roman" w:hAnsi="Times New Roman"/>
                      <w:szCs w:val="21"/>
                    </w:rPr>
                  </w:pPr>
                </w:p>
              </w:tc>
              <w:tc>
                <w:tcPr>
                  <w:tcW w:w="1415" w:type="dxa"/>
                  <w:vAlign w:val="center"/>
                </w:tcPr>
                <w:p>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管线</w:t>
                  </w:r>
                </w:p>
              </w:tc>
              <w:tc>
                <w:tcPr>
                  <w:tcW w:w="1415" w:type="dxa"/>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王圩</w:t>
                  </w:r>
                </w:p>
              </w:tc>
              <w:tc>
                <w:tcPr>
                  <w:tcW w:w="822" w:type="dxa"/>
                  <w:vAlign w:val="center"/>
                </w:tcPr>
                <w:p>
                  <w:pPr>
                    <w:autoSpaceDE w:val="0"/>
                    <w:autoSpaceDN w:val="0"/>
                    <w:spacing w:line="240" w:lineRule="atLeast"/>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S</w:t>
                  </w:r>
                </w:p>
              </w:tc>
              <w:tc>
                <w:tcPr>
                  <w:tcW w:w="1187" w:type="dxa"/>
                  <w:vAlign w:val="center"/>
                </w:tcPr>
                <w:p>
                  <w:pPr>
                    <w:pStyle w:val="100"/>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83</w:t>
                  </w:r>
                </w:p>
              </w:tc>
              <w:tc>
                <w:tcPr>
                  <w:tcW w:w="2924" w:type="dxa"/>
                  <w:vMerge w:val="continue"/>
                  <w:vAlign w:val="center"/>
                </w:tcPr>
                <w:p>
                  <w:pPr>
                    <w:widowControl/>
                    <w:jc w:val="center"/>
                    <w:rPr>
                      <w:rFonts w:ascii="Times New Roman" w:hAnsi="Times New Roman"/>
                      <w:color w:val="000000"/>
                      <w:szCs w:val="21"/>
                    </w:rPr>
                  </w:pPr>
                </w:p>
              </w:tc>
            </w:tr>
          </w:tbl>
          <w:p>
            <w:pPr>
              <w:pStyle w:val="9"/>
              <w:spacing w:line="520" w:lineRule="exact"/>
              <w:ind w:firstLine="480" w:firstLineChars="200"/>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环境风险等级划分</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《建设项目环境风险评价技术导则》（HJ 169-2018）中项目环境风险潜势划分如下。</w:t>
            </w:r>
          </w:p>
          <w:p>
            <w:pPr>
              <w:pStyle w:val="9"/>
              <w:spacing w:line="360" w:lineRule="auto"/>
              <w:rPr>
                <w:rFonts w:ascii="黑体" w:hAnsi="黑体" w:eastAsia="黑体" w:cs="黑体"/>
                <w:bCs/>
              </w:rPr>
            </w:pPr>
            <w:r>
              <w:rPr>
                <w:rFonts w:hint="eastAsia" w:ascii="Times New Roman" w:hAnsi="Times New Roman" w:cs="Times New Roman"/>
                <w:b/>
                <w:kern w:val="2"/>
                <w:lang w:bidi="en-US"/>
              </w:rPr>
              <w:t>表7-</w:t>
            </w:r>
            <w:r>
              <w:rPr>
                <w:rFonts w:hint="eastAsia" w:ascii="Times New Roman" w:hAnsi="Times New Roman" w:cs="Times New Roman"/>
                <w:b/>
                <w:kern w:val="2"/>
                <w:lang w:val="en-US" w:eastAsia="zh-CN" w:bidi="en-US"/>
              </w:rPr>
              <w:t>21</w:t>
            </w:r>
            <w:r>
              <w:rPr>
                <w:rFonts w:hint="eastAsia" w:ascii="Times New Roman" w:hAnsi="Times New Roman" w:cs="Times New Roman"/>
                <w:b/>
                <w:kern w:val="2"/>
                <w:lang w:bidi="en-US"/>
              </w:rPr>
              <w:t xml:space="preserve">   环境风险等级划分</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1621"/>
              <w:gridCol w:w="1719"/>
              <w:gridCol w:w="1718"/>
              <w:gridCol w:w="1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3" w:type="dxa"/>
                  <w:vMerge w:val="restart"/>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环境敏感程度（E）</w:t>
                  </w:r>
                </w:p>
              </w:tc>
              <w:tc>
                <w:tcPr>
                  <w:tcW w:w="7115" w:type="dxa"/>
                  <w:gridSpan w:val="4"/>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危险物质及工艺系统危险性（P）</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3" w:type="dxa"/>
                  <w:vMerge w:val="continue"/>
                  <w:vAlign w:val="center"/>
                </w:tcPr>
                <w:p>
                  <w:pPr>
                    <w:pStyle w:val="9"/>
                    <w:textAlignment w:val="center"/>
                    <w:rPr>
                      <w:rFonts w:ascii="Times New Roman" w:hAnsi="Times New Roman" w:cs="Times New Roman"/>
                      <w:bCs/>
                      <w:sz w:val="21"/>
                      <w:szCs w:val="21"/>
                    </w:rPr>
                  </w:pPr>
                </w:p>
              </w:tc>
              <w:tc>
                <w:tcPr>
                  <w:tcW w:w="1701"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极高危害（P1）</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高度危害（P2）</w:t>
                  </w:r>
                </w:p>
              </w:tc>
              <w:tc>
                <w:tcPr>
                  <w:tcW w:w="1804"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中度危害（P3）</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轻度危害（P4）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3"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环境高度敏感（E1）</w:t>
                  </w:r>
                </w:p>
              </w:tc>
              <w:tc>
                <w:tcPr>
                  <w:tcW w:w="1701"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Ⅳ</w:t>
                  </w:r>
                  <w:r>
                    <w:rPr>
                      <w:rFonts w:ascii="Times New Roman" w:hAnsi="Times New Roman" w:cs="Times New Roman"/>
                      <w:bCs/>
                      <w:sz w:val="21"/>
                      <w:szCs w:val="21"/>
                      <w:vertAlign w:val="superscript"/>
                    </w:rPr>
                    <w:t>+</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Ⅳ</w:t>
                  </w:r>
                </w:p>
              </w:tc>
              <w:tc>
                <w:tcPr>
                  <w:tcW w:w="1804"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Ⅲ</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3"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环境中度敏感（E2）</w:t>
                  </w:r>
                </w:p>
              </w:tc>
              <w:tc>
                <w:tcPr>
                  <w:tcW w:w="1701"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Ⅳ</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Ⅲ</w:t>
                  </w:r>
                </w:p>
              </w:tc>
              <w:tc>
                <w:tcPr>
                  <w:tcW w:w="1804"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Ⅲ</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2173"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环境低度敏感（E3）</w:t>
                  </w:r>
                </w:p>
              </w:tc>
              <w:tc>
                <w:tcPr>
                  <w:tcW w:w="1701"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Ⅲ</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Ⅲ</w:t>
                  </w:r>
                </w:p>
              </w:tc>
              <w:tc>
                <w:tcPr>
                  <w:tcW w:w="1804"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Ⅱ</w:t>
                  </w:r>
                </w:p>
              </w:tc>
              <w:tc>
                <w:tcPr>
                  <w:tcW w:w="1805"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288" w:type="dxa"/>
                  <w:gridSpan w:val="5"/>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注：Ⅳ</w:t>
                  </w:r>
                  <w:r>
                    <w:rPr>
                      <w:rFonts w:ascii="Times New Roman" w:hAnsi="Times New Roman" w:cs="Times New Roman"/>
                      <w:bCs/>
                      <w:sz w:val="21"/>
                      <w:szCs w:val="21"/>
                      <w:vertAlign w:val="superscript"/>
                    </w:rPr>
                    <w:t>+</w:t>
                  </w:r>
                  <w:r>
                    <w:rPr>
                      <w:rFonts w:ascii="Times New Roman" w:hAnsi="Times New Roman" w:cs="Times New Roman"/>
                      <w:bCs/>
                      <w:sz w:val="21"/>
                      <w:szCs w:val="21"/>
                    </w:rPr>
                    <w:t>为极高环境风险</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P的等级判定</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本项目按照《建设项目环境风险评价技术导则》（HJ169-2018）附录B识别出的危险物质</w:t>
            </w:r>
            <w:r>
              <w:rPr>
                <w:rFonts w:hint="eastAsia" w:ascii="Times New Roman" w:hAnsi="Times New Roman" w:cs="Times New Roman"/>
                <w:bCs/>
              </w:rPr>
              <w:t>为</w:t>
            </w:r>
            <w:r>
              <w:rPr>
                <w:rFonts w:ascii="Times New Roman" w:hAnsi="Times New Roman" w:cs="Times New Roman"/>
                <w:bCs/>
              </w:rPr>
              <w:t>甲烷。</w:t>
            </w:r>
            <w:r>
              <w:rPr>
                <w:rFonts w:hint="eastAsia" w:ascii="Times New Roman" w:hAnsi="Times New Roman" w:cs="Times New Roman"/>
                <w:bCs/>
              </w:rPr>
              <w:t>本项目天然气密度为0.73kg/m</w:t>
            </w:r>
            <w:r>
              <w:rPr>
                <w:rFonts w:hint="eastAsia" w:ascii="Times New Roman" w:hAnsi="Times New Roman" w:cs="Times New Roman"/>
                <w:bCs/>
                <w:vertAlign w:val="superscript"/>
              </w:rPr>
              <w:t>3</w:t>
            </w:r>
            <w:r>
              <w:rPr>
                <w:rFonts w:hint="eastAsia" w:ascii="Times New Roman" w:hAnsi="Times New Roman" w:cs="Times New Roman"/>
                <w:bCs/>
              </w:rPr>
              <w:t>，截断阀室之间最大管道长度为5.8km，</w:t>
            </w:r>
            <w:r>
              <w:rPr>
                <w:rFonts w:ascii="Times New Roman" w:hAnsi="Times New Roman" w:cs="Times New Roman"/>
                <w:bCs/>
              </w:rPr>
              <w:t>管径为D</w:t>
            </w:r>
            <w:r>
              <w:rPr>
                <w:rFonts w:hint="eastAsia" w:ascii="Times New Roman" w:hAnsi="Times New Roman" w:cs="Times New Roman"/>
                <w:bCs/>
                <w:lang w:val="en-US" w:eastAsia="zh-CN"/>
              </w:rPr>
              <w:t>400</w:t>
            </w:r>
            <w:r>
              <w:rPr>
                <w:rFonts w:ascii="Times New Roman" w:hAnsi="Times New Roman" w:cs="Times New Roman"/>
                <w:bCs/>
              </w:rPr>
              <w:t>mm</w:t>
            </w:r>
            <w:r>
              <w:rPr>
                <w:rFonts w:hint="eastAsia" w:ascii="Times New Roman" w:hAnsi="Times New Roman" w:cs="Times New Roman"/>
                <w:bCs/>
              </w:rPr>
              <w:t>。标况下，根据理想气体状态方程，计算两截断阀室天然气最大存在总量</w:t>
            </w:r>
            <w:r>
              <w:rPr>
                <w:rFonts w:ascii="Times New Roman" w:hAnsi="Times New Roman" w:cs="Times New Roman"/>
                <w:bCs/>
              </w:rPr>
              <w:t>为</w:t>
            </w:r>
            <w:r>
              <w:rPr>
                <w:rFonts w:hint="eastAsia" w:ascii="Times New Roman" w:hAnsi="Times New Roman" w:cs="Times New Roman"/>
                <w:bCs/>
              </w:rPr>
              <w:t>31.86</w:t>
            </w:r>
            <w:r>
              <w:rPr>
                <w:rFonts w:ascii="Times New Roman" w:hAnsi="Times New Roman" w:cs="Times New Roman"/>
                <w:bCs/>
              </w:rPr>
              <w:t>t，临界量为10t。</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object>
                <v:shape id="_x0000_i1029" o:spt="75" type="#_x0000_t75" style="height:34.25pt;width:301.6pt;" o:ole="t" filled="f" o:preferrelative="t" stroked="f" coordsize="21600,21600">
                  <v:path/>
                  <v:fill on="f" focussize="0,0"/>
                  <v:stroke on="f" joinstyle="miter"/>
                  <v:imagedata r:id="rId27" o:title=""/>
                  <o:lock v:ext="edit" aspectratio="t"/>
                  <w10:wrap type="none"/>
                  <w10:anchorlock/>
                </v:shape>
                <o:OLEObject Type="Embed" ProgID="Equation.3" ShapeID="_x0000_i1029" DrawAspect="Content" ObjectID="_1468075725" r:id="rId26">
                  <o:LockedField>false</o:LockedField>
                </o:OLEObject>
              </w:objec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存在多种危险物质，物质总量与其临界量比值：</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object>
                <v:shape id="_x0000_i1030" o:spt="75" type="#_x0000_t75" style="height:40.6pt;width:72.1pt;" o:ole="t" filled="f" o:preferrelative="t" stroked="f" coordsize="21600,21600">
                  <v:path/>
                  <v:fill on="f" focussize="0,0"/>
                  <v:stroke on="f" joinstyle="miter"/>
                  <v:imagedata r:id="rId29" o:title=""/>
                  <o:lock v:ext="edit" aspectratio="t"/>
                  <w10:wrap type="none"/>
                  <w10:anchorlock/>
                </v:shape>
                <o:OLEObject Type="Embed" ProgID="Equation.3" ShapeID="_x0000_i1030" DrawAspect="Content" ObjectID="_1468075726" r:id="rId28">
                  <o:LockedField>false</o:LockedField>
                </o:OLEObject>
              </w:object>
            </w:r>
            <w:r>
              <w:rPr>
                <w:rFonts w:ascii="Times New Roman" w:hAnsi="Times New Roman" w:cs="Times New Roman"/>
                <w:bCs/>
              </w:rPr>
              <w:t>，</w:t>
            </w:r>
            <w:r>
              <w:rPr>
                <w:rFonts w:hint="eastAsia" w:ascii="Times New Roman" w:hAnsi="Times New Roman" w:cs="Times New Roman"/>
                <w:bCs/>
              </w:rPr>
              <w:t>1</w:t>
            </w:r>
            <w:r>
              <w:rPr>
                <w:rFonts w:ascii="Times New Roman" w:hAnsi="Times New Roman" w:cs="Times New Roman"/>
                <w:bCs/>
              </w:rPr>
              <w:t>≤Q＜10</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查《建设项目环境风险评价技术导则》（HJ 169-2018）中附录C.1可知，</w:t>
            </w:r>
            <w:r>
              <w:rPr>
                <w:rFonts w:hint="eastAsia" w:ascii="Times New Roman" w:hAnsi="Times New Roman" w:cs="Times New Roman"/>
                <w:bCs/>
              </w:rPr>
              <w:t>本项目为新建天然气分输站及配套管网工程项目</w:t>
            </w:r>
            <w:r>
              <w:rPr>
                <w:rFonts w:ascii="Times New Roman" w:hAnsi="Times New Roman" w:cs="Times New Roman"/>
                <w:bCs/>
              </w:rPr>
              <w:t>，属于“石油天然气”行业，M值为10，为M3。</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危险物质及工艺系统危险性等级判断（P）表如下。</w:t>
            </w:r>
          </w:p>
          <w:p>
            <w:pPr>
              <w:pStyle w:val="9"/>
              <w:spacing w:line="360" w:lineRule="auto"/>
              <w:rPr>
                <w:rFonts w:ascii="Times New Roman" w:hAnsi="Times New Roman" w:cs="Times New Roman"/>
                <w:b/>
                <w:kern w:val="2"/>
                <w:lang w:bidi="en-US"/>
              </w:rPr>
            </w:pPr>
            <w:r>
              <w:rPr>
                <w:rFonts w:hint="eastAsia" w:ascii="Times New Roman" w:hAnsi="Times New Roman" w:cs="Times New Roman"/>
                <w:b/>
                <w:kern w:val="2"/>
                <w:lang w:bidi="en-US"/>
              </w:rPr>
              <w:t>表7-</w:t>
            </w:r>
            <w:r>
              <w:rPr>
                <w:rFonts w:hint="eastAsia" w:ascii="Times New Roman" w:hAnsi="Times New Roman" w:cs="Times New Roman"/>
                <w:b/>
                <w:kern w:val="2"/>
                <w:lang w:val="en-US" w:eastAsia="zh-CN" w:bidi="en-US"/>
              </w:rPr>
              <w:t>22</w:t>
            </w:r>
            <w:r>
              <w:rPr>
                <w:rFonts w:hint="eastAsia" w:ascii="Times New Roman" w:hAnsi="Times New Roman" w:cs="Times New Roman"/>
                <w:b/>
                <w:kern w:val="2"/>
                <w:lang w:bidi="en-US"/>
              </w:rPr>
              <w:t xml:space="preserve"> 危险物质及工艺系统危险性等级判断（P）</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1768"/>
              <w:gridCol w:w="1768"/>
              <w:gridCol w:w="1769"/>
              <w:gridCol w:w="17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8" w:type="dxa"/>
                  <w:vMerge w:val="restart"/>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危险物质数量和临界量的比值 Q</w:t>
                  </w:r>
                </w:p>
              </w:tc>
              <w:tc>
                <w:tcPr>
                  <w:tcW w:w="7430" w:type="dxa"/>
                  <w:gridSpan w:val="4"/>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行业及生产工艺(M)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8" w:type="dxa"/>
                  <w:vMerge w:val="continue"/>
                  <w:vAlign w:val="center"/>
                </w:tcPr>
                <w:p>
                  <w:pPr>
                    <w:pStyle w:val="9"/>
                    <w:textAlignment w:val="center"/>
                    <w:rPr>
                      <w:rFonts w:ascii="Times New Roman" w:hAnsi="Times New Roman" w:cs="Times New Roman"/>
                      <w:bCs/>
                      <w:sz w:val="21"/>
                      <w:szCs w:val="21"/>
                    </w:rPr>
                  </w:pP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M1</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M2</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M3</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M4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Q≥100</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P1</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P1</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P2</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10≤Q＜100</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P1</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P2</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P3</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1≤Q＜10</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P2</w:t>
                  </w:r>
                </w:p>
              </w:tc>
              <w:tc>
                <w:tcPr>
                  <w:tcW w:w="1857"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P3</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P4</w:t>
                  </w:r>
                </w:p>
              </w:tc>
              <w:tc>
                <w:tcPr>
                  <w:tcW w:w="1858" w:type="dxa"/>
                  <w:vAlign w:val="center"/>
                </w:tcPr>
                <w:p>
                  <w:pPr>
                    <w:pStyle w:val="9"/>
                    <w:textAlignment w:val="center"/>
                    <w:rPr>
                      <w:rFonts w:ascii="Times New Roman" w:hAnsi="Times New Roman" w:cs="Times New Roman"/>
                      <w:bCs/>
                      <w:sz w:val="21"/>
                      <w:szCs w:val="21"/>
                    </w:rPr>
                  </w:pPr>
                  <w:r>
                    <w:rPr>
                      <w:rFonts w:ascii="Times New Roman" w:hAnsi="Times New Roman" w:cs="Times New Roman"/>
                      <w:bCs/>
                      <w:sz w:val="21"/>
                      <w:szCs w:val="21"/>
                    </w:rPr>
                    <w:t>P4</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highlight w:val="yellow"/>
              </w:rPr>
            </w:pPr>
            <w:r>
              <w:rPr>
                <w:rFonts w:ascii="Times New Roman" w:hAnsi="Times New Roman" w:cs="Times New Roman"/>
                <w:bCs/>
              </w:rPr>
              <w:t>本项目Q值为1≤Q＜10，M值为M3，对应的P值为P</w:t>
            </w:r>
            <w:r>
              <w:rPr>
                <w:rFonts w:hint="eastAsia" w:ascii="Times New Roman" w:hAnsi="Times New Roman" w:cs="Times New Roman"/>
                <w:bCs/>
              </w:rPr>
              <w:t>4</w:t>
            </w:r>
            <w:r>
              <w:rPr>
                <w:rFonts w:ascii="Times New Roman" w:hAnsi="Times New Roman" w:cs="Times New Roman"/>
                <w:bCs/>
              </w:rPr>
              <w:t>。</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E的等级确定</w:t>
            </w:r>
          </w:p>
          <w:p>
            <w:pPr>
              <w:pStyle w:val="9"/>
              <w:spacing w:line="360" w:lineRule="auto"/>
              <w:ind w:firstLine="480" w:firstLineChars="200"/>
              <w:jc w:val="both"/>
              <w:rPr>
                <w:rFonts w:ascii="Times New Roman" w:hAnsi="Times New Roman" w:eastAsia="宋体" w:cs="Times New Roman"/>
                <w:bCs/>
              </w:rPr>
            </w:pPr>
            <w:r>
              <w:rPr>
                <w:rFonts w:ascii="Times New Roman" w:hAnsi="Times New Roman" w:cs="Times New Roman"/>
                <w:bCs/>
              </w:rPr>
              <w:t>查</w:t>
            </w:r>
            <w:r>
              <w:rPr>
                <w:rFonts w:ascii="Times New Roman" w:hAnsi="Times New Roman" w:eastAsia="宋体" w:cs="Times New Roman"/>
                <w:bCs/>
              </w:rPr>
              <w:t>阅《建设项目环境风险评价技术导则》（HJ 169-2018）中附录D可知，本项目大气环境的环境敏感度（E）符合“</w:t>
            </w:r>
            <w:r>
              <w:rPr>
                <w:rFonts w:hint="eastAsia" w:ascii="Times New Roman" w:hAnsi="Times New Roman" w:eastAsia="宋体" w:cs="Times New Roman"/>
                <w:bCs/>
              </w:rPr>
              <w:t>油气、化学品输送管线管段周边200m范围内，每千米管段人口数小于100人</w:t>
            </w:r>
            <w:r>
              <w:rPr>
                <w:rFonts w:ascii="Times New Roman" w:hAnsi="Times New Roman" w:eastAsia="宋体" w:cs="Times New Roman"/>
                <w:bCs/>
              </w:rPr>
              <w:t>”，为环境低度敏感区E3。</w:t>
            </w:r>
          </w:p>
          <w:p>
            <w:pPr>
              <w:pStyle w:val="9"/>
              <w:spacing w:line="360" w:lineRule="auto"/>
              <w:ind w:firstLine="480" w:firstLineChars="200"/>
              <w:jc w:val="both"/>
              <w:rPr>
                <w:rFonts w:ascii="Times New Roman" w:hAnsi="Times New Roman" w:eastAsia="宋体" w:cs="Times New Roman"/>
                <w:bCs/>
              </w:rPr>
            </w:pPr>
            <w:r>
              <w:rPr>
                <w:rFonts w:hint="eastAsia" w:ascii="Times New Roman" w:hAnsi="Times New Roman" w:eastAsia="宋体" w:cs="Times New Roman"/>
                <w:bCs/>
              </w:rPr>
              <w:t>（3）</w:t>
            </w:r>
            <w:r>
              <w:rPr>
                <w:rFonts w:ascii="Times New Roman" w:hAnsi="Times New Roman" w:eastAsia="宋体" w:cs="Times New Roman"/>
                <w:bCs/>
              </w:rPr>
              <w:t>环境风险潜势</w:t>
            </w:r>
            <w:r>
              <w:rPr>
                <w:rFonts w:hint="eastAsia" w:ascii="Times New Roman" w:hAnsi="Times New Roman" w:eastAsia="宋体" w:cs="Times New Roman"/>
                <w:bCs/>
              </w:rPr>
              <w:t>判断</w:t>
            </w:r>
          </w:p>
          <w:p>
            <w:pPr>
              <w:pStyle w:val="9"/>
              <w:spacing w:line="360" w:lineRule="auto"/>
              <w:ind w:firstLine="480" w:firstLineChars="200"/>
              <w:jc w:val="both"/>
              <w:rPr>
                <w:rFonts w:ascii="Times New Roman" w:hAnsi="Times New Roman" w:eastAsia="宋体" w:cs="Times New Roman"/>
                <w:bCs/>
              </w:rPr>
            </w:pPr>
            <w:r>
              <w:rPr>
                <w:rFonts w:ascii="Times New Roman" w:hAnsi="Times New Roman" w:eastAsia="宋体" w:cs="Times New Roman"/>
                <w:bCs/>
              </w:rPr>
              <w:t>将环境要素的P值和E值代入表1，可得本项目大气环境环境风险潜势等级为Ⅰ</w:t>
            </w:r>
            <w:r>
              <w:rPr>
                <w:rFonts w:hint="eastAsia" w:ascii="Times New Roman" w:hAnsi="Times New Roman" w:eastAsia="宋体" w:cs="Times New Roman"/>
                <w:bCs/>
              </w:rPr>
              <w:t>。</w:t>
            </w:r>
          </w:p>
          <w:p>
            <w:pPr>
              <w:pStyle w:val="9"/>
              <w:spacing w:line="360" w:lineRule="auto"/>
              <w:ind w:firstLine="480" w:firstLineChars="200"/>
              <w:jc w:val="both"/>
              <w:rPr>
                <w:rFonts w:ascii="Times New Roman" w:hAnsi="Times New Roman" w:eastAsia="宋体" w:cs="Times New Roman"/>
                <w:bCs/>
              </w:rPr>
            </w:pPr>
            <w:r>
              <w:rPr>
                <w:rFonts w:hint="eastAsia" w:ascii="Times New Roman" w:hAnsi="Times New Roman" w:eastAsia="宋体" w:cs="Times New Roman"/>
                <w:bCs/>
              </w:rPr>
              <w:t>（4）</w:t>
            </w:r>
            <w:r>
              <w:rPr>
                <w:rFonts w:ascii="Times New Roman" w:hAnsi="Times New Roman" w:eastAsia="宋体" w:cs="Times New Roman"/>
                <w:bCs/>
              </w:rPr>
              <w:t>评价等级</w:t>
            </w:r>
          </w:p>
          <w:p>
            <w:pPr>
              <w:pStyle w:val="9"/>
              <w:spacing w:line="360" w:lineRule="auto"/>
              <w:ind w:firstLine="480" w:firstLineChars="200"/>
              <w:jc w:val="both"/>
              <w:rPr>
                <w:rFonts w:ascii="Times New Roman" w:hAnsi="Times New Roman" w:eastAsia="宋体" w:cs="Times New Roman"/>
                <w:bCs/>
              </w:rPr>
            </w:pPr>
            <w:r>
              <w:rPr>
                <w:rFonts w:ascii="Times New Roman" w:hAnsi="Times New Roman" w:eastAsia="宋体" w:cs="Times New Roman"/>
                <w:bCs/>
              </w:rPr>
              <w:t>本项目环境风险评价等级定为</w:t>
            </w:r>
            <w:r>
              <w:rPr>
                <w:rFonts w:hint="eastAsia" w:ascii="Times New Roman" w:hAnsi="Times New Roman" w:eastAsia="宋体" w:cs="Times New Roman"/>
                <w:bCs/>
              </w:rPr>
              <w:t>简单分析</w:t>
            </w:r>
            <w:r>
              <w:rPr>
                <w:rFonts w:ascii="Times New Roman" w:hAnsi="Times New Roman" w:eastAsia="宋体" w:cs="Times New Roman"/>
                <w:bCs/>
              </w:rPr>
              <w:t>，具体见下表。</w:t>
            </w:r>
          </w:p>
          <w:p>
            <w:pPr>
              <w:pStyle w:val="9"/>
              <w:spacing w:line="360" w:lineRule="auto"/>
              <w:ind w:firstLine="482" w:firstLineChars="200"/>
              <w:jc w:val="center"/>
              <w:rPr>
                <w:rFonts w:ascii="Times New Roman" w:hAnsi="Times New Roman" w:eastAsia="宋体" w:cs="Times New Roman"/>
                <w:b/>
                <w:bCs w:val="0"/>
              </w:rPr>
            </w:pPr>
            <w:r>
              <w:rPr>
                <w:rFonts w:hint="eastAsia" w:ascii="Times New Roman" w:hAnsi="Times New Roman" w:eastAsia="宋体" w:cs="Times New Roman"/>
                <w:b/>
                <w:bCs w:val="0"/>
              </w:rPr>
              <w:t>表7-</w:t>
            </w:r>
            <w:r>
              <w:rPr>
                <w:rFonts w:hint="eastAsia" w:ascii="Times New Roman" w:hAnsi="Times New Roman" w:eastAsia="宋体" w:cs="Times New Roman"/>
                <w:b/>
                <w:bCs w:val="0"/>
                <w:lang w:val="en-US" w:eastAsia="zh-CN"/>
              </w:rPr>
              <w:t>23</w:t>
            </w:r>
            <w:r>
              <w:rPr>
                <w:rFonts w:hint="eastAsia" w:ascii="Times New Roman" w:hAnsi="Times New Roman" w:eastAsia="宋体" w:cs="Times New Roman"/>
                <w:b/>
                <w:bCs w:val="0"/>
              </w:rPr>
              <w:t xml:space="preserve">   评价工作等级划分</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53"/>
              <w:gridCol w:w="1248"/>
              <w:gridCol w:w="1248"/>
              <w:gridCol w:w="1798"/>
              <w:gridCol w:w="17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88" w:type="dxa"/>
                  <w:gridSpan w:val="5"/>
                  <w:vAlign w:val="center"/>
                </w:tcPr>
                <w:p>
                  <w:pPr>
                    <w:pStyle w:val="152"/>
                    <w:ind w:firstLine="0"/>
                    <w:jc w:val="center"/>
                    <w:rPr>
                      <w:rFonts w:ascii="Times New Roman" w:hAnsi="Times New Roman" w:cs="Times New Roman"/>
                    </w:rPr>
                  </w:pPr>
                  <w:r>
                    <w:rPr>
                      <w:rFonts w:ascii="Times New Roman" w:hAnsi="Times New Roman" w:cs="Times New Roman"/>
                    </w:rPr>
                    <w:t>HJ/169-2018《建设项目环境风险评价技术导则》要求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99" w:type="dxa"/>
                  <w:vAlign w:val="center"/>
                </w:tcPr>
                <w:p>
                  <w:pPr>
                    <w:pStyle w:val="152"/>
                    <w:ind w:firstLine="0"/>
                    <w:jc w:val="center"/>
                    <w:rPr>
                      <w:rFonts w:ascii="Times New Roman" w:hAnsi="Times New Roman" w:cs="Times New Roman"/>
                    </w:rPr>
                  </w:pPr>
                  <w:r>
                    <w:rPr>
                      <w:rFonts w:ascii="Times New Roman" w:hAnsi="Times New Roman" w:cs="Times New Roman"/>
                    </w:rPr>
                    <w:t>环境风险潜势</w:t>
                  </w:r>
                </w:p>
              </w:tc>
              <w:tc>
                <w:tcPr>
                  <w:tcW w:w="1307" w:type="dxa"/>
                  <w:vAlign w:val="center"/>
                </w:tcPr>
                <w:p>
                  <w:pPr>
                    <w:pStyle w:val="152"/>
                    <w:ind w:firstLine="0"/>
                    <w:jc w:val="center"/>
                    <w:rPr>
                      <w:rFonts w:ascii="Times New Roman" w:hAnsi="Times New Roman" w:cs="Times New Roman"/>
                    </w:rPr>
                  </w:pPr>
                  <w:r>
                    <w:rPr>
                      <w:rFonts w:ascii="Times New Roman" w:hAnsi="Times New Roman" w:cs="Times New Roman"/>
                    </w:rPr>
                    <w:t>Ⅳ、Ⅳ</w:t>
                  </w:r>
                  <w:r>
                    <w:rPr>
                      <w:rFonts w:ascii="Times New Roman" w:hAnsi="Times New Roman" w:cs="Times New Roman"/>
                      <w:vertAlign w:val="superscript"/>
                    </w:rPr>
                    <w:t>+</w:t>
                  </w:r>
                </w:p>
              </w:tc>
              <w:tc>
                <w:tcPr>
                  <w:tcW w:w="1307" w:type="dxa"/>
                  <w:vAlign w:val="center"/>
                </w:tcPr>
                <w:p>
                  <w:pPr>
                    <w:pStyle w:val="152"/>
                    <w:ind w:firstLine="0"/>
                    <w:jc w:val="center"/>
                    <w:rPr>
                      <w:rFonts w:ascii="Times New Roman" w:hAnsi="Times New Roman" w:cs="Times New Roman"/>
                    </w:rPr>
                  </w:pPr>
                  <w:r>
                    <w:rPr>
                      <w:rFonts w:ascii="Times New Roman" w:hAnsi="Times New Roman" w:cs="Times New Roman"/>
                    </w:rPr>
                    <w:t>Ⅲ</w:t>
                  </w:r>
                </w:p>
              </w:tc>
              <w:tc>
                <w:tcPr>
                  <w:tcW w:w="1888" w:type="dxa"/>
                  <w:vAlign w:val="center"/>
                </w:tcPr>
                <w:p>
                  <w:pPr>
                    <w:pStyle w:val="152"/>
                    <w:ind w:firstLine="0"/>
                    <w:jc w:val="center"/>
                    <w:rPr>
                      <w:rFonts w:ascii="Times New Roman" w:hAnsi="Times New Roman" w:cs="Times New Roman"/>
                    </w:rPr>
                  </w:pPr>
                  <w:r>
                    <w:rPr>
                      <w:rFonts w:ascii="Times New Roman" w:hAnsi="Times New Roman" w:cs="Times New Roman"/>
                    </w:rPr>
                    <w:t>Ⅱ</w:t>
                  </w:r>
                </w:p>
              </w:tc>
              <w:tc>
                <w:tcPr>
                  <w:tcW w:w="1887" w:type="dxa"/>
                  <w:vAlign w:val="center"/>
                </w:tcPr>
                <w:p>
                  <w:pPr>
                    <w:pStyle w:val="152"/>
                    <w:ind w:firstLine="0"/>
                    <w:jc w:val="center"/>
                    <w:rPr>
                      <w:rFonts w:ascii="Times New Roman" w:hAnsi="Times New Roman" w:cs="Times New Roman"/>
                    </w:rPr>
                  </w:pPr>
                  <w:r>
                    <w:rPr>
                      <w:rFonts w:ascii="Times New Roman" w:hAnsi="Times New Roman" w:cs="Times New Roman"/>
                    </w:rPr>
                    <w:t>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99" w:type="dxa"/>
                  <w:vAlign w:val="center"/>
                </w:tcPr>
                <w:p>
                  <w:pPr>
                    <w:pStyle w:val="152"/>
                    <w:ind w:firstLine="0"/>
                    <w:jc w:val="center"/>
                    <w:rPr>
                      <w:rFonts w:ascii="Times New Roman" w:hAnsi="Times New Roman" w:cs="Times New Roman"/>
                    </w:rPr>
                  </w:pPr>
                  <w:r>
                    <w:rPr>
                      <w:rFonts w:ascii="Times New Roman" w:hAnsi="Times New Roman" w:cs="Times New Roman"/>
                    </w:rPr>
                    <w:t>评价工作等级</w:t>
                  </w:r>
                </w:p>
              </w:tc>
              <w:tc>
                <w:tcPr>
                  <w:tcW w:w="1307" w:type="dxa"/>
                  <w:vAlign w:val="center"/>
                </w:tcPr>
                <w:p>
                  <w:pPr>
                    <w:pStyle w:val="152"/>
                    <w:ind w:firstLine="0"/>
                    <w:jc w:val="center"/>
                    <w:rPr>
                      <w:rFonts w:ascii="Times New Roman" w:hAnsi="Times New Roman" w:cs="Times New Roman"/>
                    </w:rPr>
                  </w:pPr>
                  <w:r>
                    <w:rPr>
                      <w:rFonts w:ascii="Times New Roman" w:hAnsi="Times New Roman" w:cs="Times New Roman"/>
                    </w:rPr>
                    <w:t>一</w:t>
                  </w:r>
                </w:p>
              </w:tc>
              <w:tc>
                <w:tcPr>
                  <w:tcW w:w="1307" w:type="dxa"/>
                  <w:vAlign w:val="center"/>
                </w:tcPr>
                <w:p>
                  <w:pPr>
                    <w:pStyle w:val="152"/>
                    <w:ind w:firstLine="0"/>
                    <w:jc w:val="center"/>
                    <w:rPr>
                      <w:rFonts w:ascii="Times New Roman" w:hAnsi="Times New Roman" w:cs="Times New Roman"/>
                    </w:rPr>
                  </w:pPr>
                  <w:r>
                    <w:rPr>
                      <w:rFonts w:ascii="Times New Roman" w:hAnsi="Times New Roman" w:cs="Times New Roman"/>
                    </w:rPr>
                    <w:t>二</w:t>
                  </w:r>
                </w:p>
              </w:tc>
              <w:tc>
                <w:tcPr>
                  <w:tcW w:w="1888" w:type="dxa"/>
                  <w:vAlign w:val="center"/>
                </w:tcPr>
                <w:p>
                  <w:pPr>
                    <w:pStyle w:val="152"/>
                    <w:ind w:firstLine="0"/>
                    <w:jc w:val="center"/>
                    <w:rPr>
                      <w:rFonts w:ascii="Times New Roman" w:hAnsi="Times New Roman" w:cs="Times New Roman"/>
                    </w:rPr>
                  </w:pPr>
                  <w:r>
                    <w:rPr>
                      <w:rFonts w:ascii="Times New Roman" w:hAnsi="Times New Roman" w:cs="Times New Roman"/>
                    </w:rPr>
                    <w:t>三</w:t>
                  </w:r>
                </w:p>
              </w:tc>
              <w:tc>
                <w:tcPr>
                  <w:tcW w:w="1887" w:type="dxa"/>
                  <w:vAlign w:val="center"/>
                </w:tcPr>
                <w:p>
                  <w:pPr>
                    <w:pStyle w:val="152"/>
                    <w:ind w:firstLine="0"/>
                    <w:jc w:val="center"/>
                    <w:rPr>
                      <w:rFonts w:ascii="Times New Roman" w:hAnsi="Times New Roman" w:cs="Times New Roman"/>
                    </w:rPr>
                  </w:pPr>
                  <w:r>
                    <w:rPr>
                      <w:rFonts w:ascii="Times New Roman" w:hAnsi="Times New Roman" w:cs="Times New Roman"/>
                    </w:rPr>
                    <w:t>简单分析</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风险识别</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物质危险性识别</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本评价按照《建设项目环境风险评价技术导则》（HJ169-2018）附录B识别出的危险物质</w:t>
            </w:r>
            <w:r>
              <w:rPr>
                <w:rFonts w:hint="eastAsia" w:ascii="Times New Roman" w:hAnsi="Times New Roman" w:cs="Times New Roman"/>
                <w:bCs/>
              </w:rPr>
              <w:t>为</w:t>
            </w:r>
            <w:r>
              <w:rPr>
                <w:rFonts w:ascii="Times New Roman" w:hAnsi="Times New Roman" w:cs="Times New Roman"/>
                <w:bCs/>
              </w:rPr>
              <w:t>甲烷，其危险特性主要为易燃易爆性。危险物质燃烧性质与火灾危险性见表</w:t>
            </w:r>
            <w:r>
              <w:rPr>
                <w:rFonts w:hint="eastAsia" w:ascii="Times New Roman" w:hAnsi="Times New Roman" w:cs="Times New Roman"/>
                <w:bCs/>
              </w:rPr>
              <w:t>7-</w:t>
            </w:r>
            <w:r>
              <w:rPr>
                <w:rFonts w:hint="eastAsia" w:ascii="Times New Roman" w:hAnsi="Times New Roman" w:cs="Times New Roman"/>
                <w:bCs/>
                <w:lang w:val="en-US" w:eastAsia="zh-CN"/>
              </w:rPr>
              <w:t>24</w:t>
            </w:r>
            <w:r>
              <w:rPr>
                <w:rFonts w:ascii="Times New Roman" w:hAnsi="Times New Roman" w:cs="Times New Roman"/>
                <w:bCs/>
              </w:rPr>
              <w:t>，理化性质、毒性及危害性见表</w:t>
            </w:r>
            <w:r>
              <w:rPr>
                <w:rFonts w:hint="eastAsia" w:ascii="Times New Roman" w:hAnsi="Times New Roman" w:cs="Times New Roman"/>
                <w:bCs/>
              </w:rPr>
              <w:t>7-</w:t>
            </w:r>
            <w:r>
              <w:rPr>
                <w:rFonts w:hint="eastAsia" w:ascii="Times New Roman" w:hAnsi="Times New Roman" w:cs="Times New Roman"/>
                <w:bCs/>
                <w:lang w:val="en-US" w:eastAsia="zh-CN"/>
              </w:rPr>
              <w:t>25</w:t>
            </w:r>
            <w:r>
              <w:rPr>
                <w:rFonts w:ascii="Times New Roman" w:hAnsi="Times New Roman" w:cs="Times New Roman"/>
                <w:bCs/>
              </w:rPr>
              <w:t>。</w:t>
            </w:r>
          </w:p>
          <w:p>
            <w:pPr>
              <w:spacing w:line="360" w:lineRule="auto"/>
              <w:jc w:val="center"/>
              <w:rPr>
                <w:rFonts w:ascii="Times New Roman" w:hAnsi="Times New Roman"/>
                <w:b/>
                <w:color w:val="000000"/>
                <w:sz w:val="24"/>
                <w:szCs w:val="24"/>
                <w:lang w:bidi="en-US"/>
              </w:rPr>
            </w:pPr>
            <w:r>
              <w:rPr>
                <w:rFonts w:hint="eastAsia" w:ascii="Times New Roman" w:hAnsi="Times New Roman"/>
                <w:b/>
                <w:color w:val="000000"/>
                <w:sz w:val="24"/>
                <w:szCs w:val="24"/>
                <w:lang w:bidi="en-US"/>
              </w:rPr>
              <w:t>表7-</w:t>
            </w:r>
            <w:r>
              <w:rPr>
                <w:rFonts w:hint="eastAsia" w:ascii="Times New Roman" w:hAnsi="Times New Roman"/>
                <w:b/>
                <w:color w:val="000000"/>
                <w:sz w:val="24"/>
                <w:szCs w:val="24"/>
                <w:lang w:val="en-US" w:eastAsia="zh-CN" w:bidi="en-US"/>
              </w:rPr>
              <w:t>24</w:t>
            </w:r>
            <w:r>
              <w:rPr>
                <w:rFonts w:hint="eastAsia" w:ascii="Times New Roman" w:hAnsi="Times New Roman"/>
                <w:b/>
                <w:color w:val="000000"/>
                <w:sz w:val="24"/>
                <w:szCs w:val="24"/>
                <w:lang w:bidi="en-US"/>
              </w:rPr>
              <w:t xml:space="preserve">  危险物质燃烧性质与火灾危险性</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74"/>
              <w:gridCol w:w="1474"/>
              <w:gridCol w:w="1473"/>
              <w:gridCol w:w="1474"/>
              <w:gridCol w:w="1474"/>
              <w:gridCol w:w="14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548" w:type="dxa"/>
                  <w:vMerge w:val="restart"/>
                  <w:vAlign w:val="center"/>
                </w:tcPr>
                <w:p>
                  <w:pPr>
                    <w:jc w:val="center"/>
                    <w:rPr>
                      <w:rFonts w:ascii="Times New Roman" w:hAnsi="Times New Roman"/>
                      <w:szCs w:val="21"/>
                    </w:rPr>
                  </w:pPr>
                  <w:r>
                    <w:rPr>
                      <w:rFonts w:ascii="Times New Roman" w:hAnsi="Times New Roman"/>
                      <w:szCs w:val="21"/>
                    </w:rPr>
                    <w:t>物质名称</w:t>
                  </w:r>
                </w:p>
              </w:tc>
              <w:tc>
                <w:tcPr>
                  <w:tcW w:w="3095" w:type="dxa"/>
                  <w:gridSpan w:val="2"/>
                  <w:vAlign w:val="center"/>
                </w:tcPr>
                <w:p>
                  <w:pPr>
                    <w:jc w:val="center"/>
                    <w:rPr>
                      <w:rFonts w:ascii="Times New Roman" w:hAnsi="Times New Roman"/>
                      <w:szCs w:val="21"/>
                    </w:rPr>
                  </w:pPr>
                  <w:r>
                    <w:rPr>
                      <w:rFonts w:ascii="Times New Roman" w:hAnsi="Times New Roman"/>
                      <w:szCs w:val="21"/>
                    </w:rPr>
                    <w:t>爆炸极限（%）</w:t>
                  </w:r>
                </w:p>
              </w:tc>
              <w:tc>
                <w:tcPr>
                  <w:tcW w:w="1548" w:type="dxa"/>
                  <w:vMerge w:val="restart"/>
                  <w:vAlign w:val="center"/>
                </w:tcPr>
                <w:p>
                  <w:pPr>
                    <w:jc w:val="center"/>
                    <w:rPr>
                      <w:rFonts w:ascii="Times New Roman" w:hAnsi="Times New Roman"/>
                      <w:szCs w:val="21"/>
                    </w:rPr>
                  </w:pPr>
                  <w:r>
                    <w:rPr>
                      <w:rFonts w:ascii="Times New Roman" w:hAnsi="Times New Roman"/>
                      <w:szCs w:val="21"/>
                    </w:rPr>
                    <w:t>爆炸危险度</w:t>
                  </w:r>
                </w:p>
              </w:tc>
              <w:tc>
                <w:tcPr>
                  <w:tcW w:w="1548" w:type="dxa"/>
                  <w:vMerge w:val="restart"/>
                  <w:vAlign w:val="center"/>
                </w:tcPr>
                <w:p>
                  <w:pPr>
                    <w:jc w:val="center"/>
                    <w:rPr>
                      <w:rFonts w:ascii="Times New Roman" w:hAnsi="Times New Roman"/>
                      <w:szCs w:val="21"/>
                    </w:rPr>
                  </w:pPr>
                  <w:r>
                    <w:rPr>
                      <w:rFonts w:ascii="Times New Roman" w:hAnsi="Times New Roman"/>
                      <w:szCs w:val="21"/>
                    </w:rPr>
                    <w:t>自燃点（℃）</w:t>
                  </w:r>
                </w:p>
              </w:tc>
              <w:tc>
                <w:tcPr>
                  <w:tcW w:w="1549" w:type="dxa"/>
                  <w:vMerge w:val="restart"/>
                  <w:vAlign w:val="center"/>
                </w:tcPr>
                <w:p>
                  <w:pPr>
                    <w:jc w:val="center"/>
                    <w:rPr>
                      <w:rFonts w:ascii="Times New Roman" w:hAnsi="Times New Roman"/>
                      <w:szCs w:val="21"/>
                    </w:rPr>
                  </w:pPr>
                  <w:r>
                    <w:rPr>
                      <w:rFonts w:ascii="Times New Roman" w:hAnsi="Times New Roman"/>
                      <w:szCs w:val="21"/>
                    </w:rPr>
                    <w:t>火灾危险性分类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548" w:type="dxa"/>
                  <w:vMerge w:val="continue"/>
                  <w:vAlign w:val="center"/>
                </w:tcPr>
                <w:p>
                  <w:pPr>
                    <w:jc w:val="center"/>
                    <w:rPr>
                      <w:rFonts w:ascii="Times New Roman" w:hAnsi="Times New Roman"/>
                      <w:szCs w:val="21"/>
                    </w:rPr>
                  </w:pPr>
                </w:p>
              </w:tc>
              <w:tc>
                <w:tcPr>
                  <w:tcW w:w="1548" w:type="dxa"/>
                  <w:vAlign w:val="center"/>
                </w:tcPr>
                <w:p>
                  <w:pPr>
                    <w:jc w:val="center"/>
                    <w:rPr>
                      <w:rFonts w:ascii="Times New Roman" w:hAnsi="Times New Roman"/>
                      <w:szCs w:val="21"/>
                    </w:rPr>
                  </w:pPr>
                  <w:r>
                    <w:rPr>
                      <w:rFonts w:ascii="Times New Roman" w:hAnsi="Times New Roman"/>
                      <w:szCs w:val="21"/>
                    </w:rPr>
                    <w:t>下限</w:t>
                  </w:r>
                </w:p>
              </w:tc>
              <w:tc>
                <w:tcPr>
                  <w:tcW w:w="1547" w:type="dxa"/>
                  <w:vAlign w:val="center"/>
                </w:tcPr>
                <w:p>
                  <w:pPr>
                    <w:jc w:val="center"/>
                    <w:rPr>
                      <w:rFonts w:ascii="Times New Roman" w:hAnsi="Times New Roman"/>
                      <w:szCs w:val="21"/>
                    </w:rPr>
                  </w:pPr>
                  <w:r>
                    <w:rPr>
                      <w:rFonts w:ascii="Times New Roman" w:hAnsi="Times New Roman"/>
                      <w:szCs w:val="21"/>
                    </w:rPr>
                    <w:t>上限</w:t>
                  </w:r>
                </w:p>
              </w:tc>
              <w:tc>
                <w:tcPr>
                  <w:tcW w:w="1548" w:type="dxa"/>
                  <w:vMerge w:val="continue"/>
                  <w:vAlign w:val="center"/>
                </w:tcPr>
                <w:p>
                  <w:pPr>
                    <w:jc w:val="center"/>
                    <w:rPr>
                      <w:rFonts w:ascii="Times New Roman" w:hAnsi="Times New Roman"/>
                      <w:szCs w:val="21"/>
                    </w:rPr>
                  </w:pPr>
                </w:p>
              </w:tc>
              <w:tc>
                <w:tcPr>
                  <w:tcW w:w="1548" w:type="dxa"/>
                  <w:vMerge w:val="continue"/>
                  <w:vAlign w:val="center"/>
                </w:tcPr>
                <w:p>
                  <w:pPr>
                    <w:jc w:val="center"/>
                    <w:rPr>
                      <w:rFonts w:ascii="Times New Roman" w:hAnsi="Times New Roman"/>
                      <w:szCs w:val="21"/>
                    </w:rPr>
                  </w:pPr>
                </w:p>
              </w:tc>
              <w:tc>
                <w:tcPr>
                  <w:tcW w:w="1549" w:type="dxa"/>
                  <w:vMerge w:val="continue"/>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548" w:type="dxa"/>
                  <w:vAlign w:val="center"/>
                </w:tcPr>
                <w:p>
                  <w:pPr>
                    <w:jc w:val="center"/>
                    <w:rPr>
                      <w:rFonts w:ascii="Times New Roman" w:hAnsi="Times New Roman"/>
                      <w:szCs w:val="21"/>
                    </w:rPr>
                  </w:pPr>
                  <w:r>
                    <w:rPr>
                      <w:rFonts w:ascii="Times New Roman" w:hAnsi="Times New Roman"/>
                      <w:szCs w:val="21"/>
                    </w:rPr>
                    <w:t>甲烷</w:t>
                  </w:r>
                </w:p>
              </w:tc>
              <w:tc>
                <w:tcPr>
                  <w:tcW w:w="1548" w:type="dxa"/>
                  <w:vAlign w:val="center"/>
                </w:tcPr>
                <w:p>
                  <w:pPr>
                    <w:jc w:val="center"/>
                    <w:rPr>
                      <w:rFonts w:ascii="Times New Roman" w:hAnsi="Times New Roman"/>
                      <w:szCs w:val="21"/>
                    </w:rPr>
                  </w:pPr>
                  <w:r>
                    <w:rPr>
                      <w:rFonts w:ascii="Times New Roman" w:hAnsi="Times New Roman"/>
                      <w:szCs w:val="21"/>
                    </w:rPr>
                    <w:t>5.0</w:t>
                  </w:r>
                </w:p>
              </w:tc>
              <w:tc>
                <w:tcPr>
                  <w:tcW w:w="1547" w:type="dxa"/>
                  <w:vAlign w:val="center"/>
                </w:tcPr>
                <w:p>
                  <w:pPr>
                    <w:jc w:val="center"/>
                    <w:rPr>
                      <w:rFonts w:ascii="Times New Roman" w:hAnsi="Times New Roman"/>
                      <w:szCs w:val="21"/>
                    </w:rPr>
                  </w:pPr>
                  <w:r>
                    <w:rPr>
                      <w:rFonts w:ascii="Times New Roman" w:hAnsi="Times New Roman"/>
                      <w:szCs w:val="21"/>
                    </w:rPr>
                    <w:t>14.8</w:t>
                  </w:r>
                </w:p>
              </w:tc>
              <w:tc>
                <w:tcPr>
                  <w:tcW w:w="1548" w:type="dxa"/>
                  <w:vAlign w:val="center"/>
                </w:tcPr>
                <w:p>
                  <w:pPr>
                    <w:jc w:val="center"/>
                    <w:rPr>
                      <w:rFonts w:ascii="Times New Roman" w:hAnsi="Times New Roman"/>
                      <w:szCs w:val="21"/>
                    </w:rPr>
                  </w:pPr>
                  <w:r>
                    <w:rPr>
                      <w:rFonts w:ascii="Times New Roman" w:hAnsi="Times New Roman"/>
                      <w:szCs w:val="21"/>
                    </w:rPr>
                    <w:t>2.0</w:t>
                  </w:r>
                </w:p>
              </w:tc>
              <w:tc>
                <w:tcPr>
                  <w:tcW w:w="1548" w:type="dxa"/>
                  <w:vAlign w:val="center"/>
                </w:tcPr>
                <w:p>
                  <w:pPr>
                    <w:jc w:val="center"/>
                    <w:rPr>
                      <w:rFonts w:ascii="Times New Roman" w:hAnsi="Times New Roman"/>
                      <w:szCs w:val="21"/>
                    </w:rPr>
                  </w:pPr>
                  <w:r>
                    <w:rPr>
                      <w:rFonts w:ascii="Times New Roman" w:hAnsi="Times New Roman"/>
                      <w:szCs w:val="21"/>
                    </w:rPr>
                    <w:t>538</w:t>
                  </w:r>
                </w:p>
              </w:tc>
              <w:tc>
                <w:tcPr>
                  <w:tcW w:w="1549" w:type="dxa"/>
                  <w:vAlign w:val="center"/>
                </w:tcPr>
                <w:p>
                  <w:pPr>
                    <w:jc w:val="center"/>
                    <w:rPr>
                      <w:rFonts w:ascii="Times New Roman" w:hAnsi="Times New Roman"/>
                      <w:szCs w:val="21"/>
                    </w:rPr>
                  </w:pPr>
                  <w:r>
                    <w:rPr>
                      <w:rFonts w:ascii="Times New Roman" w:hAnsi="Times New Roman"/>
                      <w:szCs w:val="21"/>
                    </w:rPr>
                    <w:t>甲类</w:t>
                  </w:r>
                </w:p>
              </w:tc>
            </w:tr>
          </w:tbl>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p>
          <w:p>
            <w:pPr>
              <w:spacing w:line="360" w:lineRule="auto"/>
              <w:jc w:val="center"/>
              <w:rPr>
                <w:rFonts w:ascii="Times New Roman" w:hAnsi="Times New Roman"/>
                <w:b/>
                <w:color w:val="000000"/>
                <w:sz w:val="24"/>
                <w:szCs w:val="24"/>
                <w:lang w:bidi="en-US"/>
              </w:rPr>
            </w:pPr>
            <w:r>
              <w:rPr>
                <w:rFonts w:hint="eastAsia" w:ascii="Times New Roman" w:hAnsi="Times New Roman"/>
                <w:b/>
                <w:color w:val="000000"/>
                <w:sz w:val="24"/>
                <w:szCs w:val="24"/>
                <w:lang w:bidi="en-US"/>
              </w:rPr>
              <w:t>表7-</w:t>
            </w:r>
            <w:r>
              <w:rPr>
                <w:rFonts w:hint="eastAsia" w:ascii="Times New Roman" w:hAnsi="Times New Roman"/>
                <w:b/>
                <w:color w:val="000000"/>
                <w:sz w:val="24"/>
                <w:szCs w:val="24"/>
                <w:lang w:val="en-US" w:eastAsia="zh-CN" w:bidi="en-US"/>
              </w:rPr>
              <w:t>25</w:t>
            </w:r>
            <w:r>
              <w:rPr>
                <w:rFonts w:hint="eastAsia" w:ascii="Times New Roman" w:hAnsi="Times New Roman"/>
                <w:b/>
                <w:color w:val="000000"/>
                <w:sz w:val="24"/>
                <w:szCs w:val="24"/>
                <w:lang w:bidi="en-US"/>
              </w:rPr>
              <w:t xml:space="preserve">  危险物质的理化性质、毒性及危害性</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1"/>
              <w:gridCol w:w="2244"/>
              <w:gridCol w:w="53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95" w:type="dxa"/>
                  <w:vAlign w:val="center"/>
                </w:tcPr>
                <w:p>
                  <w:pPr>
                    <w:jc w:val="center"/>
                    <w:rPr>
                      <w:rFonts w:ascii="Times New Roman" w:hAnsi="Times New Roman"/>
                      <w:szCs w:val="21"/>
                    </w:rPr>
                  </w:pPr>
                  <w:r>
                    <w:rPr>
                      <w:rFonts w:ascii="Times New Roman" w:hAnsi="Times New Roman"/>
                      <w:szCs w:val="21"/>
                    </w:rPr>
                    <w:t>物料名称</w:t>
                  </w:r>
                </w:p>
              </w:tc>
              <w:tc>
                <w:tcPr>
                  <w:tcW w:w="2354" w:type="dxa"/>
                  <w:vAlign w:val="center"/>
                </w:tcPr>
                <w:p>
                  <w:pPr>
                    <w:jc w:val="center"/>
                    <w:rPr>
                      <w:rFonts w:ascii="Times New Roman" w:hAnsi="Times New Roman"/>
                      <w:szCs w:val="21"/>
                    </w:rPr>
                  </w:pPr>
                  <w:r>
                    <w:rPr>
                      <w:rFonts w:ascii="Times New Roman" w:hAnsi="Times New Roman"/>
                      <w:szCs w:val="21"/>
                    </w:rPr>
                    <w:t>理化性质</w:t>
                  </w:r>
                </w:p>
              </w:tc>
              <w:tc>
                <w:tcPr>
                  <w:tcW w:w="5639" w:type="dxa"/>
                  <w:vAlign w:val="center"/>
                </w:tcPr>
                <w:p>
                  <w:pPr>
                    <w:jc w:val="center"/>
                    <w:rPr>
                      <w:rFonts w:ascii="Times New Roman" w:hAnsi="Times New Roman"/>
                      <w:szCs w:val="21"/>
                    </w:rPr>
                  </w:pPr>
                  <w:r>
                    <w:rPr>
                      <w:rFonts w:ascii="Times New Roman" w:hAnsi="Times New Roman"/>
                      <w:szCs w:val="21"/>
                    </w:rPr>
                    <w:t>毒性及危害性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95" w:type="dxa"/>
                  <w:vAlign w:val="center"/>
                </w:tcPr>
                <w:p>
                  <w:pPr>
                    <w:jc w:val="center"/>
                    <w:rPr>
                      <w:rFonts w:ascii="Times New Roman" w:hAnsi="Times New Roman"/>
                      <w:szCs w:val="21"/>
                    </w:rPr>
                  </w:pPr>
                  <w:r>
                    <w:rPr>
                      <w:rFonts w:ascii="Times New Roman" w:hAnsi="Times New Roman"/>
                      <w:szCs w:val="21"/>
                    </w:rPr>
                    <w:t>甲烷</w:t>
                  </w:r>
                </w:p>
              </w:tc>
              <w:tc>
                <w:tcPr>
                  <w:tcW w:w="2354" w:type="dxa"/>
                  <w:vAlign w:val="center"/>
                </w:tcPr>
                <w:p>
                  <w:pPr>
                    <w:jc w:val="center"/>
                    <w:rPr>
                      <w:rFonts w:ascii="Times New Roman" w:hAnsi="Times New Roman"/>
                      <w:szCs w:val="21"/>
                    </w:rPr>
                  </w:pPr>
                  <w:r>
                    <w:rPr>
                      <w:rFonts w:ascii="Times New Roman" w:hAnsi="Times New Roman"/>
                      <w:szCs w:val="21"/>
                    </w:rPr>
                    <w:t>无色无臭气体，蒸汽压：53.32kPa/-168.8℃，闪点：-188℃，沸点：-161.5℃</w:t>
                  </w:r>
                </w:p>
              </w:tc>
              <w:tc>
                <w:tcPr>
                  <w:tcW w:w="5639" w:type="dxa"/>
                  <w:vAlign w:val="center"/>
                </w:tcPr>
                <w:p>
                  <w:pPr>
                    <w:jc w:val="center"/>
                    <w:rPr>
                      <w:rFonts w:ascii="Times New Roman" w:hAnsi="Times New Roman"/>
                      <w:szCs w:val="21"/>
                    </w:rPr>
                  </w:pPr>
                  <w:r>
                    <w:rPr>
                      <w:rFonts w:ascii="Times New Roman" w:hAnsi="Times New Roman"/>
                      <w:szCs w:val="21"/>
                    </w:rPr>
                    <w:t>侵入途经：吸入。</w:t>
                  </w:r>
                </w:p>
                <w:p>
                  <w:pPr>
                    <w:jc w:val="center"/>
                    <w:rPr>
                      <w:rFonts w:ascii="Times New Roman" w:hAnsi="Times New Roman"/>
                      <w:szCs w:val="21"/>
                    </w:rPr>
                  </w:pPr>
                  <w:r>
                    <w:rPr>
                      <w:rFonts w:ascii="Times New Roman" w:hAnsi="Times New Roman"/>
                      <w:szCs w:val="21"/>
                    </w:rPr>
                    <w:t>健康危害：甲烷对人基本无毒，但浓度过高时，使空气中氧含量明显降低，使人窒息。</w:t>
                  </w:r>
                </w:p>
                <w:p>
                  <w:pPr>
                    <w:jc w:val="center"/>
                    <w:rPr>
                      <w:rFonts w:ascii="Times New Roman" w:hAnsi="Times New Roman"/>
                      <w:szCs w:val="21"/>
                    </w:rPr>
                  </w:pPr>
                  <w:r>
                    <w:rPr>
                      <w:rFonts w:ascii="Times New Roman" w:hAnsi="Times New Roman"/>
                      <w:szCs w:val="21"/>
                    </w:rPr>
                    <w:t>急性毒性：小鼠吸入42%浓度×60分钟，麻醉作用；免吸入42%浓度×60分钟，麻醉作用。</w:t>
                  </w:r>
                </w:p>
                <w:p>
                  <w:pPr>
                    <w:jc w:val="center"/>
                    <w:rPr>
                      <w:rFonts w:ascii="Times New Roman" w:hAnsi="Times New Roman"/>
                      <w:szCs w:val="21"/>
                    </w:rPr>
                  </w:pPr>
                  <w:r>
                    <w:rPr>
                      <w:rFonts w:ascii="Times New Roman" w:hAnsi="Times New Roman"/>
                      <w:szCs w:val="21"/>
                    </w:rPr>
                    <w:t>危险特性：易燃，与空气混合能形成爆炸性混合物，遇热源和明火有燃烧爆炸的危险。与五氧化溴、氯气、次氯酸、三氟化氮、液氧、二氟化氧及其它强氧化剂接触剧烈反应。</w:t>
                  </w:r>
                </w:p>
                <w:p>
                  <w:pPr>
                    <w:jc w:val="center"/>
                    <w:rPr>
                      <w:rFonts w:ascii="Times New Roman" w:hAnsi="Times New Roman"/>
                      <w:szCs w:val="21"/>
                    </w:rPr>
                  </w:pPr>
                  <w:r>
                    <w:rPr>
                      <w:rFonts w:ascii="Times New Roman" w:hAnsi="Times New Roman"/>
                      <w:szCs w:val="21"/>
                    </w:rPr>
                    <w:t>燃烧（分解）产物：一氧化碳、二氧化碳。</w:t>
                  </w:r>
                </w:p>
              </w:tc>
            </w:tr>
          </w:tbl>
          <w:p>
            <w:pPr>
              <w:pStyle w:val="9"/>
              <w:spacing w:line="520" w:lineRule="exact"/>
              <w:ind w:firstLine="482" w:firstLineChars="200"/>
              <w:rPr>
                <w:rFonts w:ascii="Times New Roman" w:hAnsi="Times New Roman" w:cs="Times New Roman"/>
                <w:b/>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生产系统危险性识别</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w:t>
            </w:r>
            <w:r>
              <w:rPr>
                <w:rFonts w:hint="eastAsia" w:ascii="Times New Roman" w:hAnsi="Times New Roman" w:cs="Times New Roman"/>
                <w:bCs/>
              </w:rPr>
              <w:t>站场危险性识别</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新建高安输气站、横山分输站</w:t>
            </w:r>
            <w:r>
              <w:rPr>
                <w:rFonts w:ascii="Times New Roman" w:hAnsi="Times New Roman" w:cs="Times New Roman"/>
                <w:bCs/>
              </w:rPr>
              <w:t>站场工艺操作压力有日不均、月不均和年不均的变化，存在由于压力波动、疲劳等引起的管材失效。过滤分离器是本工程的主要工艺设备</w:t>
            </w:r>
            <w:r>
              <w:rPr>
                <w:rFonts w:hint="eastAsia" w:ascii="Times New Roman" w:hAnsi="Times New Roman" w:cs="Times New Roman"/>
                <w:bCs/>
              </w:rPr>
              <w:t>之一</w:t>
            </w:r>
            <w:r>
              <w:rPr>
                <w:rFonts w:ascii="Times New Roman" w:hAnsi="Times New Roman" w:cs="Times New Roman"/>
                <w:bCs/>
              </w:rPr>
              <w:t>，当过滤分离器的滤芯堵塞，且未被及时检测到或安全阀失效时，有可能发生憋压或泄露事故。</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站场清管作业、放空作业、现场仪表控制等，都存在可能引发事故的因素。</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分输站</w:t>
            </w:r>
            <w:r>
              <w:rPr>
                <w:rFonts w:ascii="Times New Roman" w:hAnsi="Times New Roman" w:cs="Times New Roman"/>
                <w:bCs/>
              </w:rPr>
              <w:t>燃烧有两个条件，一是气体外泄，二是有火源。气体外泄可能发生的地点很多，管道、阀门等处都有可能发生泄漏；二是火源，气站产生火源的可能性有电器设备产生火花、金属碰撞产生火花、静电产生火花、操作失误及其他火源</w:t>
            </w:r>
            <w:r>
              <w:rPr>
                <w:rFonts w:hint="eastAsia" w:ascii="Times New Roman" w:hAnsi="Times New Roman" w:cs="Times New Roman"/>
                <w:bCs/>
              </w:rPr>
              <w:t>等</w:t>
            </w:r>
            <w:r>
              <w:rPr>
                <w:rFonts w:ascii="Times New Roman" w:hAnsi="Times New Roman" w:cs="Times New Roman"/>
                <w:bCs/>
              </w:rPr>
              <w:t>。</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 xml:space="preserve"> </w:t>
            </w:r>
            <w:r>
              <w:rPr>
                <w:rFonts w:hint="eastAsia" w:ascii="Times New Roman" w:hAnsi="Times New Roman" w:cs="Times New Roman"/>
                <w:bCs/>
              </w:rPr>
              <w:t>分输站</w:t>
            </w:r>
            <w:r>
              <w:rPr>
                <w:rFonts w:ascii="Times New Roman" w:hAnsi="Times New Roman" w:cs="Times New Roman"/>
                <w:bCs/>
              </w:rPr>
              <w:t>爆炸主要是管道、设备，当压力超过了管道、设备能够承受的强度时发生。通常由两个方面构成，一是系统压力超过规定压力，最终超过设备及配件的强度极限而爆炸或局部炸裂；二是设备、管道及配件等在运行时由于腐蚀、疲劳损伤等因素，降低了强度和承受能力而发生炸裂和管道接头松脱产生泄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w:t>
            </w:r>
            <w:r>
              <w:rPr>
                <w:rFonts w:hint="eastAsia" w:ascii="Times New Roman" w:hAnsi="Times New Roman" w:cs="Times New Roman"/>
                <w:bCs/>
              </w:rPr>
              <w:t>输送管道危险性分析</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本项目输气管道</w:t>
            </w:r>
            <w:r>
              <w:rPr>
                <w:rFonts w:ascii="Times New Roman" w:hAnsi="Times New Roman" w:cs="Times New Roman"/>
                <w:bCs/>
              </w:rPr>
              <w:t>全长</w:t>
            </w:r>
            <w:r>
              <w:rPr>
                <w:rFonts w:hint="eastAsia" w:ascii="Times New Roman" w:hAnsi="Times New Roman" w:cs="Times New Roman"/>
                <w:bCs/>
              </w:rPr>
              <w:t>5.8</w:t>
            </w:r>
            <w:r>
              <w:rPr>
                <w:rFonts w:ascii="Times New Roman" w:hAnsi="Times New Roman" w:cs="Times New Roman"/>
                <w:bCs/>
              </w:rPr>
              <w:t>km</w:t>
            </w:r>
            <w:r>
              <w:rPr>
                <w:rFonts w:hint="eastAsia" w:ascii="Times New Roman" w:hAnsi="Times New Roman" w:cs="Times New Roman"/>
                <w:bCs/>
              </w:rPr>
              <w:t>，</w:t>
            </w:r>
            <w:r>
              <w:rPr>
                <w:rFonts w:ascii="Times New Roman" w:hAnsi="Times New Roman" w:cs="Times New Roman"/>
                <w:bCs/>
              </w:rPr>
              <w:t>管道以埋地方式敷设</w:t>
            </w:r>
            <w:r>
              <w:rPr>
                <w:rFonts w:hint="eastAsia" w:ascii="Times New Roman" w:hAnsi="Times New Roman" w:cs="Times New Roman"/>
                <w:bCs/>
              </w:rPr>
              <w:t>，</w:t>
            </w:r>
            <w:r>
              <w:rPr>
                <w:rFonts w:ascii="Times New Roman" w:hAnsi="Times New Roman" w:cs="Times New Roman"/>
                <w:bCs/>
              </w:rPr>
              <w:t>引发管道事故的主要因素有：</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管道腐蚀穿孔</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管道防腐质量差，管道施工时造成防腐层机械损伤，土壤中含水、盐、碱及地下杂散电流等因素都会造成管道的腐蚀，严重的可造成管道穿孔，引发事故。</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本管道工程输送的天然气中含有一定量的CO</w:t>
            </w:r>
            <w:r>
              <w:rPr>
                <w:rFonts w:ascii="Times New Roman" w:hAnsi="Times New Roman" w:cs="Times New Roman"/>
                <w:bCs/>
                <w:vertAlign w:val="subscript"/>
              </w:rPr>
              <w:t>2</w:t>
            </w:r>
            <w:r>
              <w:rPr>
                <w:rFonts w:ascii="Times New Roman" w:hAnsi="Times New Roman" w:cs="Times New Roman"/>
                <w:bCs/>
              </w:rPr>
              <w:t>，若管道中有水存在或天然气露点控制不当，CO</w:t>
            </w:r>
            <w:r>
              <w:rPr>
                <w:rFonts w:ascii="Times New Roman" w:hAnsi="Times New Roman" w:cs="Times New Roman"/>
                <w:bCs/>
                <w:vertAlign w:val="subscript"/>
              </w:rPr>
              <w:t>2</w:t>
            </w:r>
            <w:r>
              <w:rPr>
                <w:rFonts w:ascii="Times New Roman" w:hAnsi="Times New Roman" w:cs="Times New Roman"/>
                <w:bCs/>
              </w:rPr>
              <w:t>可形成碳酸引起管道内壁变薄或形成腐蚀深坑及沟槽，管道易起泡和穿孔。</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管道物理应力开裂</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输气管道存在一定的应力开裂危险。环境因素、材料因素、拉应力、其单方面或三方面都能导致管道的物理应力开裂。</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管道材料缺陷或焊口缺陷</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管材缺陷可导致管道强度达不到要求出现裂缝或断裂现象；施工质量不过关，管道接头焊接差，焊口未焊透或防腐层被损伤等原因，可导致管道强度下降或腐蚀加速，不能满足安全运行要求而发生天然气泄露事故。</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其它</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输气管道上的设备、设施性能差、质量不高也可引发事故。如截断阀性能差，现场控制仪故障等。</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综合以上分析，天然气具有易燃、易爆易扩散，存在发生火灾爆炸的危险；天然气长输管道和工艺设备都是带压操作，工程中的大部分设备属于压力容器或压力管道，工艺操作压力较高，因此火灾爆炸是工程的主要危害因素。</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③事故引发的次生/伴生环境风险识别</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涉及的危险物质主要为甲烷，属于低毒易燃易爆化学品，若发生泄漏事故，泄漏的气体将会迅速进入大气，主要事故为泄漏物质遇火引发火灾、爆炸引发的伴生/次生环境风险，还会发生因火灾事故伴生的大气污染</w:t>
            </w:r>
            <w:r>
              <w:rPr>
                <w:rFonts w:hint="eastAsia" w:ascii="Times New Roman" w:hAnsi="Times New Roman" w:cs="Times New Roman"/>
                <w:bCs/>
              </w:rPr>
              <w:t>，</w:t>
            </w:r>
            <w:r>
              <w:rPr>
                <w:rFonts w:ascii="Times New Roman" w:hAnsi="Times New Roman" w:cs="Times New Roman"/>
                <w:bCs/>
              </w:rPr>
              <w:t>当发生火灾时，在放出大量辐射热的同时，还散发出大量浓烟和不完全燃烧产生的CO，这些物质</w:t>
            </w:r>
            <w:r>
              <w:rPr>
                <w:rFonts w:hint="eastAsia" w:ascii="Times New Roman" w:hAnsi="Times New Roman" w:cs="Times New Roman"/>
                <w:bCs/>
              </w:rPr>
              <w:t>会</w:t>
            </w:r>
            <w:r>
              <w:rPr>
                <w:rFonts w:ascii="Times New Roman" w:hAnsi="Times New Roman" w:cs="Times New Roman"/>
                <w:bCs/>
              </w:rPr>
              <w:t>对火场周围的人员的生命安全和周围的大气环境质量造成污染和破坏。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④风险识别结果</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本项目涉及的危险物质包括甲烷，其主要危险特性为易燃易爆性。火灾危险</w:t>
            </w:r>
            <w:r>
              <w:rPr>
                <w:rFonts w:hint="eastAsia" w:ascii="Times New Roman" w:hAnsi="Times New Roman" w:cs="Times New Roman"/>
                <w:bCs/>
              </w:rPr>
              <w:t>系统</w:t>
            </w:r>
            <w:r>
              <w:rPr>
                <w:rFonts w:ascii="Times New Roman" w:hAnsi="Times New Roman" w:cs="Times New Roman"/>
                <w:bCs/>
              </w:rPr>
              <w:t>主要</w:t>
            </w:r>
            <w:r>
              <w:rPr>
                <w:rFonts w:hint="eastAsia" w:ascii="Times New Roman" w:hAnsi="Times New Roman" w:cs="Times New Roman"/>
                <w:bCs/>
              </w:rPr>
              <w:t>为分输站站场和输气管道</w:t>
            </w:r>
            <w:r>
              <w:rPr>
                <w:rFonts w:ascii="Times New Roman" w:hAnsi="Times New Roman" w:cs="Times New Roman"/>
                <w:bCs/>
              </w:rPr>
              <w:t>，属于甲类火灾危险装置。本项目涉及的危险物质属于低毒易燃易爆化学品，若发生泄漏事故，泄漏的气体将会迅速进入大气，主要事故为泄漏物质遇火引发火灾、爆炸引发的伴生/次生环境风险。</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通过对工程主要生产装置和生产过程的分析，本项目风险类型主要包括火灾、爆炸和泄漏三种类型。</w:t>
            </w:r>
          </w:p>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5、源项</w:t>
            </w:r>
            <w:r>
              <w:rPr>
                <w:rFonts w:ascii="Times New Roman" w:hAnsi="Times New Roman" w:cs="Times New Roman"/>
                <w:bCs/>
              </w:rPr>
              <w:t>分析</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（1）事故统计与事故原因分析</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管道运输因其运输能力大、安全系统高、经济性强，已成为</w:t>
            </w:r>
            <w:r>
              <w:rPr>
                <w:rFonts w:hint="eastAsia" w:ascii="Times New Roman" w:hAnsi="Times New Roman" w:cs="Times New Roman"/>
                <w:bCs/>
              </w:rPr>
              <w:t>天然气</w:t>
            </w:r>
            <w:r>
              <w:rPr>
                <w:rFonts w:ascii="Times New Roman" w:hAnsi="Times New Roman" w:cs="Times New Roman"/>
                <w:bCs/>
              </w:rPr>
              <w:t>主要的运输方式之一，大规模的输气管道建设已成为各国经济发展的必不可少的重要因素之一。同时，</w:t>
            </w:r>
            <w:r>
              <w:rPr>
                <w:rFonts w:hint="eastAsia" w:ascii="Times New Roman" w:hAnsi="Times New Roman" w:cs="Times New Roman"/>
                <w:bCs/>
              </w:rPr>
              <w:t>天然气</w:t>
            </w:r>
            <w:r>
              <w:rPr>
                <w:rFonts w:ascii="Times New Roman" w:hAnsi="Times New Roman" w:cs="Times New Roman"/>
                <w:bCs/>
              </w:rPr>
              <w:t>管道也经常发生事故，下面是国内外事故统计与事故原因分析。</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①国外事故统计分析</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A、事故统计</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根据欧洲EGIG的调查统计，管道事故的主要因素中列前三位的分别是：①第三方破坏（占50%），②施工缺陷或材料缺陷（占16%），③腐蚀（占15%）。</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根据前苏联调查统计，其管道事故的平均事故率为0.46次/(103km·a)。外腐蚀、外部干扰、管材缺陷、焊接和内腐蚀是排在前几位的失效原因。事故发生次数最多的是管直径为820mm 以下的管道，随着管径的增加，事故发生次数逐渐减少。</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美国能源部的统计数据显示，美国天然气管道的平均事故率为0.60次/（103km·a）。在引起事故的原因中，列前几位的分别是：①外部干扰（占53.5%），②材料缺陷（占16.9%），③腐蚀（占16.6%），④结构（占5.6%），⑤其他（占7.4%）。</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B、事故原因分析</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以上几个输气国家和地区的平均事故率是0.48×10-3次/km·a。比较上述国际、地区输气管道的事故原因，发现尽管事故原因在不同国家所占比例不同，即引起事故的原因排序不同，但结果基本相同，即主要为外力影响、腐蚀、材料及施工缺陷三大原因，这三项占输气管道事故的85%以上，由自然因素如地震、洪水、滑坡等造成的事故不到20%</w:t>
            </w:r>
            <w:r>
              <w:rPr>
                <w:rFonts w:hint="eastAsia" w:ascii="Times New Roman" w:hAnsi="Times New Roman" w:cs="Times New Roman"/>
                <w:bCs/>
              </w:rPr>
              <w:t>。</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C、损坏类型和被点燃概率的统计</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管道发生事故后，形成的危害主要有因为</w:t>
            </w:r>
            <w:r>
              <w:rPr>
                <w:rFonts w:hint="eastAsia" w:ascii="Times New Roman" w:hAnsi="Times New Roman" w:cs="Times New Roman"/>
                <w:bCs/>
              </w:rPr>
              <w:t>天然气</w:t>
            </w:r>
            <w:r>
              <w:rPr>
                <w:rFonts w:ascii="Times New Roman" w:hAnsi="Times New Roman" w:cs="Times New Roman"/>
                <w:bCs/>
              </w:rPr>
              <w:t>喷出后可能被点燃形成的燃烧火焰产生的热辐射、因爆炸产生的冲击波等。表</w:t>
            </w:r>
            <w:r>
              <w:rPr>
                <w:rFonts w:hint="eastAsia" w:ascii="Times New Roman" w:hAnsi="Times New Roman" w:cs="Times New Roman"/>
                <w:bCs/>
              </w:rPr>
              <w:t>4</w:t>
            </w:r>
            <w:r>
              <w:rPr>
                <w:rFonts w:ascii="Times New Roman" w:hAnsi="Times New Roman" w:cs="Times New Roman"/>
                <w:bCs/>
              </w:rPr>
              <w:t>-1统计世界范围内的管道事故天然气泄漏后被点燃的统计数据。结果显示，三种泄漏类型中，以针孔泄漏类型被点燃的概率最小，其次是穿孔、断裂。大于0.4m的管线断裂后，天然气被点燃的概率明显增大。</w:t>
            </w:r>
          </w:p>
          <w:p>
            <w:pPr>
              <w:pStyle w:val="9"/>
              <w:spacing w:line="360" w:lineRule="auto"/>
              <w:rPr>
                <w:rFonts w:ascii="Times New Roman" w:hAnsi="Times New Roman" w:cs="Times New Roman"/>
                <w:b/>
                <w:kern w:val="2"/>
                <w:lang w:bidi="en-US"/>
              </w:rPr>
            </w:pPr>
            <w:r>
              <w:rPr>
                <w:rFonts w:ascii="Times New Roman" w:hAnsi="Times New Roman" w:cs="Times New Roman"/>
                <w:bCs/>
              </w:rPr>
              <w:t xml:space="preserve">    </w:t>
            </w:r>
            <w:r>
              <w:rPr>
                <w:rFonts w:hint="eastAsia" w:ascii="Times New Roman" w:hAnsi="Times New Roman" w:cs="Times New Roman"/>
                <w:b/>
                <w:kern w:val="2"/>
                <w:lang w:bidi="en-US"/>
              </w:rPr>
              <w:t>表7-2</w:t>
            </w:r>
            <w:r>
              <w:rPr>
                <w:rFonts w:hint="eastAsia" w:ascii="Times New Roman" w:hAnsi="Times New Roman" w:cs="Times New Roman"/>
                <w:b/>
                <w:kern w:val="2"/>
                <w:lang w:val="en-US" w:eastAsia="zh-CN" w:bidi="en-US"/>
              </w:rPr>
              <w:t>6</w:t>
            </w:r>
            <w:r>
              <w:rPr>
                <w:rFonts w:hint="eastAsia" w:ascii="Times New Roman" w:hAnsi="Times New Roman" w:cs="Times New Roman"/>
                <w:b/>
                <w:kern w:val="2"/>
                <w:lang w:bidi="en-US"/>
              </w:rPr>
              <w:t xml:space="preserve"> 天然气被点燃的概率</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23"/>
              <w:gridCol w:w="44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645"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损坏类型</w:t>
                  </w:r>
                </w:p>
              </w:tc>
              <w:tc>
                <w:tcPr>
                  <w:tcW w:w="4643"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天然气被点燃的概率（×10</w:t>
                  </w:r>
                  <w:r>
                    <w:rPr>
                      <w:rFonts w:hint="eastAsia" w:ascii="Times New Roman" w:hAnsi="Times New Roman" w:cs="Times New Roman"/>
                      <w:bCs/>
                      <w:sz w:val="21"/>
                      <w:szCs w:val="21"/>
                      <w:vertAlign w:val="superscript"/>
                    </w:rPr>
                    <w:t>-</w:t>
                  </w:r>
                  <w:r>
                    <w:rPr>
                      <w:rFonts w:ascii="Times New Roman" w:hAnsi="Times New Roman" w:cs="Times New Roman"/>
                      <w:bCs/>
                      <w:sz w:val="21"/>
                      <w:szCs w:val="21"/>
                      <w:vertAlign w:val="superscript"/>
                    </w:rPr>
                    <w:t>2</w:t>
                  </w:r>
                  <w:r>
                    <w:rPr>
                      <w:rFonts w:ascii="Times New Roman" w:hAnsi="Times New Roman" w:cs="Times New Roman"/>
                      <w:bCs/>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645"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针孔</w:t>
                  </w:r>
                </w:p>
              </w:tc>
              <w:tc>
                <w:tcPr>
                  <w:tcW w:w="4643"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645"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穿孔</w:t>
                  </w:r>
                </w:p>
              </w:tc>
              <w:tc>
                <w:tcPr>
                  <w:tcW w:w="4643"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645"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断裂（管径&lt;0.4m）</w:t>
                  </w:r>
                </w:p>
              </w:tc>
              <w:tc>
                <w:tcPr>
                  <w:tcW w:w="4643"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645"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断裂（管径≧0.4m）</w:t>
                  </w:r>
                </w:p>
              </w:tc>
              <w:tc>
                <w:tcPr>
                  <w:tcW w:w="4643" w:type="dxa"/>
                  <w:vAlign w:val="center"/>
                </w:tcPr>
                <w:p>
                  <w:pPr>
                    <w:pStyle w:val="9"/>
                    <w:rPr>
                      <w:rFonts w:ascii="Times New Roman" w:hAnsi="Times New Roman" w:cs="Times New Roman"/>
                      <w:bCs/>
                      <w:sz w:val="21"/>
                      <w:szCs w:val="21"/>
                    </w:rPr>
                  </w:pPr>
                  <w:r>
                    <w:rPr>
                      <w:rFonts w:ascii="Times New Roman" w:hAnsi="Times New Roman" w:cs="Times New Roman"/>
                      <w:bCs/>
                      <w:sz w:val="21"/>
                      <w:szCs w:val="21"/>
                    </w:rPr>
                    <w:t>35.3</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②国内事故统计分析</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 xml:space="preserve">1）四川输气管道事故统计和原因分析 </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 xml:space="preserve">我国天然气管道工业从上世纪60年代开始起步，其开发和输送主要集中在川渝地区。进入90年代后，在西部建成了几条输气管道。表4-2列出从1969年至1990年四川天然气事故统计结果。 </w:t>
            </w:r>
          </w:p>
          <w:p>
            <w:pPr>
              <w:pStyle w:val="9"/>
              <w:spacing w:line="360" w:lineRule="auto"/>
              <w:rPr>
                <w:rFonts w:ascii="Times New Roman" w:hAnsi="Times New Roman" w:cs="Times New Roman"/>
                <w:b/>
              </w:rPr>
            </w:pPr>
            <w:r>
              <w:rPr>
                <w:rFonts w:hint="eastAsia" w:ascii="Times New Roman" w:hAnsi="Times New Roman" w:cs="Times New Roman"/>
                <w:b/>
              </w:rPr>
              <w:t>表7-2</w:t>
            </w:r>
            <w:r>
              <w:rPr>
                <w:rFonts w:hint="eastAsia" w:ascii="Times New Roman" w:hAnsi="Times New Roman" w:cs="Times New Roman"/>
                <w:b/>
                <w:lang w:val="en-US" w:eastAsia="zh-CN"/>
              </w:rPr>
              <w:t>7</w:t>
            </w:r>
            <w:r>
              <w:rPr>
                <w:rFonts w:hint="eastAsia" w:ascii="Times New Roman" w:hAnsi="Times New Roman" w:cs="Times New Roman"/>
                <w:b/>
              </w:rPr>
              <w:t xml:space="preserve"> 我国输气管道事故原因和次数统计结果</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48"/>
              <w:gridCol w:w="2948"/>
              <w:gridCol w:w="29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事故原因</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事故次数</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事故率（%）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建造/材料缺陷</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60</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38.71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外腐蚀</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21</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13.55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内腐蚀</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46</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29.67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外力破坏</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22</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其它</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6</w:t>
                  </w:r>
                </w:p>
              </w:tc>
              <w:tc>
                <w:tcPr>
                  <w:tcW w:w="309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3.87</w:t>
                  </w:r>
                </w:p>
              </w:tc>
            </w:tr>
          </w:tbl>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我国管道事故主要原因依次是建造/材料缺陷、腐蚀，与前苏联的统计数据接近。造成这种情况的主要原因可能是建设时选取的管材和制管工艺较外国先进水平落后，采用的设备、材料质量较差，自动化操作水平也较低。内腐蚀占据事故率第二位，与所输气体质量和管道材料相关。</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 xml:space="preserve"> 2）国内90年代输气管道事故分析 </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进入90年代，随着陕甘宁气田的勘探开发，我国在西部地区建设了以陕京线、靖西线和靖银线为代表的标志着我国90年代输气管道建设技术水平的三条管道。以上三条管道从1997年投产以来，共发生了2次事故，均由洪水引发并发生在地质灾害比较多的黄土高原地区，统计结果见下表。</w:t>
            </w:r>
          </w:p>
          <w:p>
            <w:pPr>
              <w:pStyle w:val="9"/>
              <w:spacing w:line="360" w:lineRule="auto"/>
              <w:rPr>
                <w:rFonts w:ascii="Times New Roman" w:hAnsi="Times New Roman" w:cs="Times New Roman"/>
                <w:b/>
              </w:rPr>
            </w:pPr>
            <w:r>
              <w:rPr>
                <w:rFonts w:hint="eastAsia" w:ascii="Times New Roman" w:hAnsi="Times New Roman" w:cs="Times New Roman"/>
                <w:b/>
              </w:rPr>
              <w:t>表7-2</w:t>
            </w:r>
            <w:r>
              <w:rPr>
                <w:rFonts w:hint="eastAsia" w:ascii="Times New Roman" w:hAnsi="Times New Roman" w:cs="Times New Roman"/>
                <w:b/>
                <w:lang w:val="en-US" w:eastAsia="zh-CN"/>
              </w:rPr>
              <w:t>8</w:t>
            </w:r>
            <w:r>
              <w:rPr>
                <w:rFonts w:hint="eastAsia" w:ascii="Times New Roman" w:hAnsi="Times New Roman" w:cs="Times New Roman"/>
                <w:b/>
              </w:rPr>
              <w:t xml:space="preserve">  90年代我国主要输气干线事故率（统计至2000年11月）</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474"/>
              <w:gridCol w:w="1372"/>
              <w:gridCol w:w="1463"/>
              <w:gridCol w:w="1746"/>
              <w:gridCol w:w="17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管道名称</w:t>
                  </w:r>
                </w:p>
              </w:tc>
              <w:tc>
                <w:tcPr>
                  <w:tcW w:w="1548"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管道长度（km）</w:t>
                  </w:r>
                </w:p>
              </w:tc>
              <w:tc>
                <w:tcPr>
                  <w:tcW w:w="14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运行年限（a）</w:t>
                  </w:r>
                </w:p>
              </w:tc>
              <w:tc>
                <w:tcPr>
                  <w:tcW w:w="15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出现事故次数</w:t>
                  </w:r>
                </w:p>
              </w:tc>
              <w:tc>
                <w:tcPr>
                  <w:tcW w:w="18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出现事故时间</w:t>
                  </w:r>
                </w:p>
              </w:tc>
              <w:tc>
                <w:tcPr>
                  <w:tcW w:w="184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事故率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陕京线</w:t>
                  </w:r>
                </w:p>
              </w:tc>
              <w:tc>
                <w:tcPr>
                  <w:tcW w:w="1548"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853</w:t>
                  </w:r>
                </w:p>
              </w:tc>
              <w:tc>
                <w:tcPr>
                  <w:tcW w:w="14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2.417</w:t>
                  </w:r>
                </w:p>
              </w:tc>
              <w:tc>
                <w:tcPr>
                  <w:tcW w:w="15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w:t>
                  </w:r>
                </w:p>
              </w:tc>
              <w:tc>
                <w:tcPr>
                  <w:tcW w:w="18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1998.8</w:t>
                  </w:r>
                </w:p>
              </w:tc>
              <w:tc>
                <w:tcPr>
                  <w:tcW w:w="184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0.485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靖西线</w:t>
                  </w:r>
                </w:p>
              </w:tc>
              <w:tc>
                <w:tcPr>
                  <w:tcW w:w="1548"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488.5</w:t>
                  </w:r>
                </w:p>
              </w:tc>
              <w:tc>
                <w:tcPr>
                  <w:tcW w:w="14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2.417</w:t>
                  </w:r>
                </w:p>
              </w:tc>
              <w:tc>
                <w:tcPr>
                  <w:tcW w:w="15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w:t>
                  </w:r>
                </w:p>
              </w:tc>
              <w:tc>
                <w:tcPr>
                  <w:tcW w:w="18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1999.9</w:t>
                  </w:r>
                </w:p>
              </w:tc>
              <w:tc>
                <w:tcPr>
                  <w:tcW w:w="184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1.585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靖银线</w:t>
                  </w:r>
                </w:p>
              </w:tc>
              <w:tc>
                <w:tcPr>
                  <w:tcW w:w="1548"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320</w:t>
                  </w:r>
                </w:p>
              </w:tc>
              <w:tc>
                <w:tcPr>
                  <w:tcW w:w="14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3.083</w:t>
                  </w:r>
                </w:p>
              </w:tc>
              <w:tc>
                <w:tcPr>
                  <w:tcW w:w="15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0</w:t>
                  </w:r>
                </w:p>
              </w:tc>
              <w:tc>
                <w:tcPr>
                  <w:tcW w:w="18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w:t>
                  </w:r>
                </w:p>
              </w:tc>
              <w:tc>
                <w:tcPr>
                  <w:tcW w:w="184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合计</w:t>
                  </w:r>
                </w:p>
              </w:tc>
              <w:tc>
                <w:tcPr>
                  <w:tcW w:w="2988" w:type="dxa"/>
                  <w:gridSpan w:val="2"/>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4785（km•a）</w:t>
                  </w:r>
                </w:p>
              </w:tc>
              <w:tc>
                <w:tcPr>
                  <w:tcW w:w="15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w:t>
                  </w:r>
                </w:p>
              </w:tc>
              <w:tc>
                <w:tcPr>
                  <w:tcW w:w="1836"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w:t>
                  </w:r>
                </w:p>
              </w:tc>
              <w:tc>
                <w:tcPr>
                  <w:tcW w:w="184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0.42</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3）第三方破坏对管道安全运行的危害</w:t>
            </w:r>
            <w:r>
              <w:rPr>
                <w:rFonts w:hint="eastAsia" w:ascii="Times New Roman" w:hAnsi="Times New Roman" w:cs="Times New Roman"/>
                <w:bCs/>
              </w:rPr>
              <w:br w:type="textWrapping"/>
            </w:r>
            <w:r>
              <w:rPr>
                <w:rFonts w:hint="eastAsia" w:ascii="Times New Roman" w:hAnsi="Times New Roman" w:cs="Times New Roman"/>
                <w:bCs/>
              </w:rPr>
              <w:t xml:space="preserve">    进入90年代以后，随着我国经济飞速发展，地方保护主义及社会环境的变化造成管道侵权事件频频发生，在管道上人为打孔盗油盗气的情况急剧上升，严重危害管道安全，并造成巨大损失，已引起人们的高度重视。</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表4-4是中国石油天然气股份有限公司质量安全环保部提供的有关管道第三方破坏（主要指打孔盗油）的情况统计。从表中可以看出，第三方破坏相当严重，损伤次数呈逐年上升趋势。</w:t>
            </w:r>
            <w:r>
              <w:rPr>
                <w:rFonts w:hint="eastAsia" w:ascii="Times New Roman" w:hAnsi="Times New Roman" w:cs="Times New Roman"/>
                <w:bCs/>
              </w:rPr>
              <w:br w:type="textWrapping"/>
            </w:r>
            <w:r>
              <w:rPr>
                <w:rFonts w:hint="eastAsia" w:ascii="Times New Roman" w:hAnsi="Times New Roman" w:cs="Times New Roman"/>
                <w:bCs/>
              </w:rPr>
              <w:t xml:space="preserve">    2001年8月21日国务院第313号令颁布了《石油天然气管道保护条例》，对1989年的条例进行了修改和完善，这对保护天然气管道安全起到了积极作用，成为有效地打击和遏制第三者破坏的有效依据。</w:t>
            </w:r>
          </w:p>
          <w:p>
            <w:pPr>
              <w:pStyle w:val="9"/>
              <w:spacing w:line="360" w:lineRule="auto"/>
              <w:rPr>
                <w:rFonts w:ascii="Times New Roman" w:hAnsi="Times New Roman" w:cs="Times New Roman"/>
                <w:b/>
              </w:rPr>
            </w:pPr>
            <w:r>
              <w:rPr>
                <w:rFonts w:hint="eastAsia" w:ascii="Times New Roman" w:hAnsi="Times New Roman" w:cs="Times New Roman"/>
                <w:b/>
              </w:rPr>
              <w:t>表7-2</w:t>
            </w:r>
            <w:r>
              <w:rPr>
                <w:rFonts w:hint="eastAsia" w:ascii="Times New Roman" w:hAnsi="Times New Roman" w:cs="Times New Roman"/>
                <w:b/>
                <w:lang w:val="en-US" w:eastAsia="zh-CN"/>
              </w:rPr>
              <w:t>9</w:t>
            </w:r>
            <w:r>
              <w:rPr>
                <w:rFonts w:hint="eastAsia" w:ascii="Times New Roman" w:hAnsi="Times New Roman" w:cs="Times New Roman"/>
                <w:b/>
              </w:rPr>
              <w:t xml:space="preserve">  近几年管道打孔盗油（气）情况统计</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1573"/>
              <w:gridCol w:w="1802"/>
              <w:gridCol w:w="1696"/>
              <w:gridCol w:w="18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年份</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打孔次数（次）</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停输时间（min）</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损失原油（t）</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经济损失（万元）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1996</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68</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285</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8436</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3686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1997</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178</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467</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18931</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3910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1998</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756</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2154</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21319</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4504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1999</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2458</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8126</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39322</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8797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2000（1-9）</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6266</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19236</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171916</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36606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4"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合计</w:t>
                  </w:r>
                </w:p>
              </w:tc>
              <w:tc>
                <w:tcPr>
                  <w:tcW w:w="165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9726</w:t>
                  </w:r>
                </w:p>
              </w:tc>
              <w:tc>
                <w:tcPr>
                  <w:tcW w:w="1892"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30268</w:t>
                  </w:r>
                </w:p>
              </w:tc>
              <w:tc>
                <w:tcPr>
                  <w:tcW w:w="178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259906</w:t>
                  </w:r>
                </w:p>
              </w:tc>
              <w:tc>
                <w:tcPr>
                  <w:tcW w:w="1940" w:type="dxa"/>
                  <w:vAlign w:val="center"/>
                </w:tcPr>
                <w:p>
                  <w:pPr>
                    <w:pStyle w:val="9"/>
                    <w:rPr>
                      <w:rFonts w:ascii="Times New Roman" w:hAnsi="Times New Roman" w:cs="Times New Roman"/>
                      <w:bCs/>
                      <w:sz w:val="21"/>
                      <w:szCs w:val="21"/>
                    </w:rPr>
                  </w:pPr>
                  <w:r>
                    <w:rPr>
                      <w:rFonts w:hint="eastAsia" w:ascii="Times New Roman" w:hAnsi="Times New Roman" w:cs="Times New Roman"/>
                      <w:bCs/>
                      <w:sz w:val="21"/>
                      <w:szCs w:val="21"/>
                    </w:rPr>
                    <w:t>57503</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可能产生的事故及原因简析</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可能产生的事故主要是生产装置的危险物质泄露以及火灾、爆炸等，会造成财产损失、人员伤亡、环境污染等，事故原因可能是：工艺设计不合理，操作中关键参数控制要求不严格；设备本身缺陷，材料及安装质量未达到标准要求；违章操作、误操作、缺少必要的安全生产和岗位技能知识；外来物体的打击、碰撞等。</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rPr>
              <w:t>6</w:t>
            </w:r>
            <w:r>
              <w:rPr>
                <w:rFonts w:ascii="Times New Roman" w:hAnsi="Times New Roman" w:cs="Times New Roman"/>
                <w:bCs/>
              </w:rPr>
              <w:t>、风险评价</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（1）大气风险评价</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本项目的生产装置等发生泄露后，对大气的污染物主要是非甲烷总烃等，若不及时处理，浓度达到一定量时，遇明火可能会引起火灾爆炸事故，产生NO</w:t>
            </w:r>
            <w:r>
              <w:rPr>
                <w:rFonts w:ascii="Times New Roman" w:hAnsi="Times New Roman" w:cs="Times New Roman"/>
                <w:bCs/>
                <w:vertAlign w:val="subscript"/>
              </w:rPr>
              <w:t>X</w:t>
            </w:r>
            <w:r>
              <w:rPr>
                <w:rFonts w:ascii="Times New Roman" w:hAnsi="Times New Roman" w:cs="Times New Roman"/>
                <w:bCs/>
              </w:rPr>
              <w:t>、CO等污染物，会对周围的大气环境造成十分不利的影响。企业设计了可燃气体探测装置，当装置泄漏时报警装置报警，附近人员应迅速撤离到当季主导风向的上风向，同时组织人员配带必要的防护设备，防止泄漏物质向主要目标或危险源扩散，视情况使用泡沫覆盖泄漏物，在全包安全的前提下，关阀堵漏。为有效实施公司的应急预案，企业应加强安全防护管理及事故应急演练，及时有效的减少及避免因装置泄漏而引发的火灾、爆炸事故带来的环境污染和人群健康危害。</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（2）地表水风险评价</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本项目输气管道穿越河流，由于天然气密度比空气小，且溶解率低，管道泄露天然气对地表水影响很小。通过严格管理，规范施工，可将上述影响降低到最小。发生火灾事故时要设置截留设施对消防废水进行收集处理，不可直接排入河流。</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7</w:t>
            </w:r>
            <w:r>
              <w:rPr>
                <w:rFonts w:ascii="Times New Roman" w:hAnsi="Times New Roman" w:cs="Times New Roman"/>
                <w:bCs/>
              </w:rPr>
              <w:t>、环境风险管理</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风险防范措施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建设项目应严格执行设计要求的风险防范措施及安全评价提出的防范措施。本环评补充以下建议措施：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①工艺技术设计安全防范措施</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对生产过程中的重要参数均有越极限报警系统，自调系统在紧急状态下均应可以手动操作。</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设备、管道尽可能露天布置，封闭厂房应设置良好的通风设施。加强生产过程中设备与管道系统的管理与维修，例如站内设备和管道应经过防腐处理。使生产系统始终处于密闭化状态，严格防止跑冒滴漏现象。</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②自动控制设计安全防范措施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在易燃易爆区和散发有毒有害气体场所应设置火灾和有害气体检测报警，该系统的启动应根据气体爆炸下限的50%确定。各检测型号由控制室集中控制。在生产过程中，定期对</w:t>
            </w:r>
            <w:r>
              <w:rPr>
                <w:rFonts w:hint="eastAsia" w:ascii="Times New Roman" w:hAnsi="Times New Roman" w:cs="Times New Roman"/>
                <w:bCs/>
              </w:rPr>
              <w:t>站场和</w:t>
            </w:r>
            <w:r>
              <w:rPr>
                <w:rFonts w:ascii="Times New Roman" w:hAnsi="Times New Roman" w:cs="Times New Roman"/>
                <w:bCs/>
              </w:rPr>
              <w:t>大气中有害污染物的浓度进行监测分析，经常对各密封点进行检查，发现隐患及时消除。</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③制定完善的检修安全制度</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大检修时，应制定完善的开、停车方案及检修安全注意事项，并应树立高度的责任心，严格管理制度。</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检修现场应保持消防通道畅通，急救医疗组健全，达到备用状态，以防意外。进入检修现场的人员必须正确穿戴劳保用品，必须带安全帽。严禁赤膊、穿高跟鞋、穿裙子的违章行为。</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在开车、停车及检修过程中，严防易燃易爆与空气混合的一些环节，严防意外能量激发而造成火灾和爆炸事故的一切因素。</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④检修结束后，各级负责人要认真检点维修项目、监测项目、探伤项目是否遗漏，归档检查记录档案。并按照规定方案进行试压、试漏、试安全阀、试仪表和连锁装置，按照步骤进行单体试车和联动试车。</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④天然气管道风险防范措施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防止泄露发生，必须从源头开始，即从设计施工阶段开始就要考虑，包括多管道、防腐材料的选择、施工队伍的选择等。</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严格按照有关设计规范的要求进行天然气输送管道的设计，确保输送管道与周围其他建筑物之间留有足够的安全防护距离。</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消除管道缺陷，力求设计合理，避免选材不当等方面的初始缺陷以及焊接和安装等方面的施工缺陷。</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制定有效的安全管理制度。</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定期巡检，及时发现露点。</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5）</w:t>
            </w:r>
            <w:r>
              <w:rPr>
                <w:rFonts w:ascii="Times New Roman" w:hAnsi="Times New Roman" w:cs="Times New Roman"/>
                <w:bCs/>
              </w:rPr>
              <w:t>请专业人员制定安全应急预案，对可能出现的事故制定有效的应急预案，定期进行反事故演习。</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6）</w:t>
            </w:r>
            <w:r>
              <w:rPr>
                <w:rFonts w:ascii="Times New Roman" w:hAnsi="Times New Roman" w:cs="Times New Roman"/>
                <w:bCs/>
              </w:rPr>
              <w:t>加强对有关人员的安全教育，普及有关甲烷气体燃烧和爆炸的基础知识，让全体员工人事到执行安全管理制度的重要性。</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7）</w:t>
            </w:r>
            <w:r>
              <w:rPr>
                <w:rFonts w:ascii="Times New Roman" w:hAnsi="Times New Roman" w:cs="Times New Roman"/>
                <w:bCs/>
              </w:rPr>
              <w:t>要做好管道附近施工的监察和与施工方的沟通工作。禁止大型机械在管道上方开挖，禁止在非安全距离内钻探爆破等，提箱管线位置，树立管线标志，防止施工方破坏管道。</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8）</w:t>
            </w:r>
            <w:r>
              <w:rPr>
                <w:rFonts w:ascii="Times New Roman" w:hAnsi="Times New Roman" w:cs="Times New Roman"/>
                <w:bCs/>
              </w:rPr>
              <w:t>管道运行至中后期，要定期对管道进行综合评价，检查管道壁厚，抽查管道防腐层，该大修时要进行大修。</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9）</w:t>
            </w:r>
            <w:r>
              <w:rPr>
                <w:rFonts w:ascii="Times New Roman" w:hAnsi="Times New Roman" w:cs="Times New Roman"/>
                <w:bCs/>
              </w:rPr>
              <w:t>当管网发生泄漏时，抢修人员可挖坑或钻孔，散发集聚在地下的天然气，必要时采取强制通风。泄漏抢修宜在降低燃气压力或切断气源后进行，抢修中如无法有效消除漏气现场或切断气源，应通知有关部门，并做好事故现场的安全防护工作。</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10）</w:t>
            </w:r>
            <w:r>
              <w:rPr>
                <w:rFonts w:ascii="Times New Roman" w:hAnsi="Times New Roman" w:cs="Times New Roman"/>
                <w:bCs/>
              </w:rPr>
              <w:t>当管道发生爆炸后，抢修人员应迅速控制气源，防止次生灾害，保护事故现场；火灾与爆炸灾情缓解后，对管道进行全面检修，杜绝隐患。</w:t>
            </w:r>
          </w:p>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8</w:t>
            </w:r>
            <w:r>
              <w:rPr>
                <w:rFonts w:ascii="Times New Roman" w:hAnsi="Times New Roman" w:cs="Times New Roman"/>
                <w:bCs/>
              </w:rPr>
              <w:t>、应急预案</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应急计划区</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根据建设项目使用、贮存危险物品的品种、数量、危险性质以及可能引起化学事故的特点，并考虑生产实际情况，确定</w:t>
            </w:r>
            <w:r>
              <w:rPr>
                <w:rFonts w:hint="eastAsia" w:ascii="Times New Roman" w:hAnsi="Times New Roman" w:cs="Times New Roman"/>
                <w:bCs/>
              </w:rPr>
              <w:t>站场及配套输气管道</w:t>
            </w:r>
            <w:r>
              <w:rPr>
                <w:rFonts w:ascii="Times New Roman" w:hAnsi="Times New Roman" w:cs="Times New Roman"/>
                <w:bCs/>
              </w:rPr>
              <w:t>为应急救援危险目标。</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急组织机构、人员</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本项目厂区成立环境风险事故应急救援指挥领导小组，由厂长任组长，负责应急救援工作的组织和指挥。</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由于本项目处于上报、审批阶段，尚无具体的指挥领导小组的人员及分工安排，企业建成后应立即落实指挥领导小组的人员、分工及职责，并设置24小时应急电话。</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在发生事故时，各应急小组按各自职责分工开展应急救援工作。通过平时的演习、训练，完善事故应急预案。</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应急响应程序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根据所发事故的大小，确定相应的分级响应程序。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①站区发生小规模泄漏</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站场</w:t>
            </w:r>
            <w:r>
              <w:rPr>
                <w:rFonts w:ascii="Times New Roman" w:hAnsi="Times New Roman" w:cs="Times New Roman"/>
                <w:bCs/>
              </w:rPr>
              <w:t>天然气发生少量泄漏时，应立即采取有限堵漏措施，以防止事故进步发展。首先应停止所有工作，迅速采用合适有效的堵漏措施，堵漏完毕后全面检查设备及管线，确保危险已排除。</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②火灾、爆炸事故</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当发生重大火灾、爆炸事故，按照以下程序处理。</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Ⅰ、爆炸事故应急处理</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 xml:space="preserve"> 一旦发生火灾或者爆炸事故，应马上发出火灾警报，迅速疏散非应急人员；停止厂区的全部生产活动，关闭所有管线，组织人员迅速撤离现场。</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 xml:space="preserve"> </w:t>
            </w:r>
            <w:r>
              <w:rPr>
                <w:rFonts w:hint="eastAsia" w:ascii="Times New Roman" w:hAnsi="Times New Roman" w:cs="Times New Roman"/>
                <w:bCs/>
              </w:rPr>
              <w:t>2）</w:t>
            </w:r>
            <w:r>
              <w:rPr>
                <w:rFonts w:ascii="Times New Roman" w:hAnsi="Times New Roman" w:cs="Times New Roman"/>
                <w:bCs/>
              </w:rPr>
              <w:t>向应急中心汇报事故情况，初步预测可能对人员、管线和设备造成的危害。</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 xml:space="preserve"> </w:t>
            </w:r>
            <w:r>
              <w:rPr>
                <w:rFonts w:hint="eastAsia" w:ascii="Times New Roman" w:hAnsi="Times New Roman" w:cs="Times New Roman"/>
                <w:bCs/>
              </w:rPr>
              <w:t>3）</w:t>
            </w:r>
            <w:r>
              <w:rPr>
                <w:rFonts w:ascii="Times New Roman" w:hAnsi="Times New Roman" w:cs="Times New Roman"/>
                <w:bCs/>
              </w:rPr>
              <w:t>调整应急人员及装备，组成火灾事故应急救援队，在现场指挥人员的指挥下及时开展灭火行动。</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由应急中心领导和相关安全、环保专家紧急制定撤离疏散方案。</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5）</w:t>
            </w:r>
            <w:r>
              <w:rPr>
                <w:rFonts w:ascii="Times New Roman" w:hAnsi="Times New Roman" w:cs="Times New Roman"/>
                <w:bCs/>
              </w:rPr>
              <w:t>在条件允许的情况下，灭火队员应站在火焰的上风向或侧风向，保证人员安全。</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6）</w:t>
            </w:r>
            <w:r>
              <w:rPr>
                <w:rFonts w:ascii="Times New Roman" w:hAnsi="Times New Roman" w:cs="Times New Roman"/>
                <w:bCs/>
              </w:rPr>
              <w:t>灭火行动应坚持到火焰全部熄灭为止，并仔细检查现场，防止死灰复燃或再次爆炸。</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Ⅱ、事故后处理</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事故发生后应设立以下各小组，对事故进行善后处理。</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 xml:space="preserve"> 事故调查组：负责事故的调查，查清事故的原因和责任。</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 xml:space="preserve"> 专家组：负责对事故应急救援提出方案和安全措施，现场指导救援工作，参与事故的调查分析，并制定防范措施。由应急救援指挥中心负责。</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 xml:space="preserve"> 环境监测组：负责对大气环境等进行监测，确定危险区域范围和危险物质的成分及浓度，对事故造成的环境影响做出正确评估，为指挥人员决策和消除事故污染提供依据。</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 xml:space="preserve"> 善后组：负责事故伤亡人员及家属的接待、安抚、抚恤、理赔等善后处臵和社会稳定工作。</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应急救援保障</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①内部保障</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A</w:t>
            </w:r>
            <w:r>
              <w:rPr>
                <w:rFonts w:hint="eastAsia" w:ascii="Times New Roman" w:hAnsi="Times New Roman" w:cs="Times New Roman"/>
                <w:bCs/>
              </w:rPr>
              <w:t>、</w:t>
            </w:r>
            <w:r>
              <w:rPr>
                <w:rFonts w:ascii="Times New Roman" w:hAnsi="Times New Roman" w:cs="Times New Roman"/>
                <w:bCs/>
              </w:rPr>
              <w:t>救援队伍：厂区内全体员工都负有事故应急救援责任，应急救援领导小组及义务消防人员是厂区事故应急救援的骨干力量，其任务是担负厂区内各种危险化学品事故救援及处置。</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B</w:t>
            </w:r>
            <w:r>
              <w:rPr>
                <w:rFonts w:hint="eastAsia" w:ascii="Times New Roman" w:hAnsi="Times New Roman" w:cs="Times New Roman"/>
                <w:bCs/>
              </w:rPr>
              <w:t>、</w:t>
            </w:r>
            <w:r>
              <w:rPr>
                <w:rFonts w:ascii="Times New Roman" w:hAnsi="Times New Roman" w:cs="Times New Roman"/>
                <w:bCs/>
              </w:rPr>
              <w:t>消防设施：厂区内应设置独立的消防基础设施。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C</w:t>
            </w:r>
            <w:r>
              <w:rPr>
                <w:rFonts w:hint="eastAsia" w:ascii="Times New Roman" w:hAnsi="Times New Roman" w:cs="Times New Roman"/>
                <w:bCs/>
              </w:rPr>
              <w:t>、</w:t>
            </w:r>
            <w:r>
              <w:rPr>
                <w:rFonts w:ascii="Times New Roman" w:hAnsi="Times New Roman" w:cs="Times New Roman"/>
                <w:bCs/>
              </w:rPr>
              <w:t>应急通信：整个厂区的电信电缆线路包括扩音对讲电话线路、火灾自动报警系统线路，各系统的电缆均各自独立，自成系统。整个厂区的报警系统建议采用消防报警系统、可燃气体报警仪、手动报警和电话报警系统相结合方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D</w:t>
            </w:r>
            <w:r>
              <w:rPr>
                <w:rFonts w:hint="eastAsia" w:ascii="Times New Roman" w:hAnsi="Times New Roman" w:cs="Times New Roman"/>
                <w:bCs/>
              </w:rPr>
              <w:t>、</w:t>
            </w:r>
            <w:r>
              <w:rPr>
                <w:rFonts w:ascii="Times New Roman" w:hAnsi="Times New Roman" w:cs="Times New Roman"/>
                <w:bCs/>
              </w:rPr>
              <w:t>道路交通：厂区道路交通方便。</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E</w:t>
            </w:r>
            <w:r>
              <w:rPr>
                <w:rFonts w:hint="eastAsia" w:ascii="Times New Roman" w:hAnsi="Times New Roman" w:cs="Times New Roman"/>
                <w:bCs/>
              </w:rPr>
              <w:t>、</w:t>
            </w:r>
            <w:r>
              <w:rPr>
                <w:rFonts w:ascii="Times New Roman" w:hAnsi="Times New Roman" w:cs="Times New Roman"/>
                <w:bCs/>
              </w:rPr>
              <w:t>救援设备、物质及药品：厂区内应配备所需的个体防护设备，便于紧急情况下使用，在易发生事故的必要位置设置洗眼器及相应的药品。</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F</w:t>
            </w:r>
            <w:r>
              <w:rPr>
                <w:rFonts w:hint="eastAsia" w:ascii="Times New Roman" w:hAnsi="Times New Roman" w:cs="Times New Roman"/>
                <w:bCs/>
              </w:rPr>
              <w:t>、</w:t>
            </w:r>
            <w:r>
              <w:rPr>
                <w:rFonts w:ascii="Times New Roman" w:hAnsi="Times New Roman" w:cs="Times New Roman"/>
                <w:bCs/>
              </w:rPr>
              <w:t>保障制度：厂区建立应急救援设备、物资维护和检修制度，由专人负责设备或物质的维护、定期检查与更新。</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②外部保障</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A</w:t>
            </w:r>
            <w:r>
              <w:rPr>
                <w:rFonts w:hint="eastAsia" w:ascii="Times New Roman" w:hAnsi="Times New Roman" w:cs="Times New Roman"/>
                <w:bCs/>
              </w:rPr>
              <w:t>、</w:t>
            </w:r>
            <w:r>
              <w:rPr>
                <w:rFonts w:ascii="Times New Roman" w:hAnsi="Times New Roman" w:cs="Times New Roman"/>
                <w:bCs/>
              </w:rPr>
              <w:t>单位互助体系：建设单位和周边居民应建立良好的应急互助关系，在重大事故发生后，能够相互支援。</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B</w:t>
            </w:r>
            <w:r>
              <w:rPr>
                <w:rFonts w:hint="eastAsia" w:ascii="Times New Roman" w:hAnsi="Times New Roman" w:cs="Times New Roman"/>
                <w:bCs/>
              </w:rPr>
              <w:t>、</w:t>
            </w:r>
            <w:r>
              <w:rPr>
                <w:rFonts w:ascii="Times New Roman" w:hAnsi="Times New Roman" w:cs="Times New Roman"/>
                <w:bCs/>
              </w:rPr>
              <w:t>公共援助力量：储备站还可以联系消防队、医院、公安、交通、安监局以及各相关职能部门，请求救援力量、设备的支持。</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（5）</w:t>
            </w:r>
            <w:r>
              <w:rPr>
                <w:rFonts w:ascii="Times New Roman" w:hAnsi="Times New Roman" w:cs="Times New Roman"/>
                <w:bCs/>
              </w:rPr>
              <w:t>突发事故的信息报送程序与联络方式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①突发事故的报告时限和程序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在经营过程中发生小规模泄漏事件时，岗位操作人员应立即向厂长报警，厂长接到报警后，下达按应急救援预案处置的指令，立即按照应急预案要求采取堵漏措施；当发生火灾爆炸事故时，厂区一方面根据应急预案要求采取必要措施，降低危害程度，同时应向安检、公安、环保、消防、卫生等上级领导机关报告事故情况。</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②突发事故的报告方式与内容</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初报从发现事件后起1小时内上报。初报可用电话或直接报告，主要内容包括：环境事件的类型、发生时间、地点（说明单位旁边标志性的建筑）、单位的名称、所处位置、是何原因发生事故、留下报警人的联系电话、污染源、主要污染物质、人员受害等初步情况。</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 xml:space="preserve"> 续报在查清有关基本情况后随时上报。续报可通过电话、网络或书面报告，在初报的基础上报告有关确切数据，事件发生的原因、过程、进展情况及采取的应急措施等基本情况。</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 xml:space="preserve"> 处理结果报告在事件处理完毕后立即上报。处理结果报告采用书面报告，处理结果报告在初报和续报的基础上，报告处理事件的措施、过程和结果，事件潜在或间接的危害、社会影响、处理后的遗留问题，参加处理工作的有关部门和工作内容，出具有关危害与损失的证明文件等详细情况。</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报告应采用适当方式，避免在当地群众中造成不利影响。各部门之间的信息交换按照相关规定程序执行。</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③联络方式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一旦发生险情及时用固定电话或手机等通信联络工具报警，如遇到夜间或节假日发生事故，由第一时间发现险情者及时报警并报告单位领导，具体工作由当日值班班长担任临时总指挥，立即组织事故的抢救工作；社会救援及报告电话表见下表。</w:t>
            </w:r>
          </w:p>
          <w:p>
            <w:pPr>
              <w:spacing w:line="360" w:lineRule="auto"/>
              <w:jc w:val="center"/>
              <w:rPr>
                <w:rFonts w:ascii="Times New Roman" w:hAnsi="Times New Roman"/>
                <w:b/>
                <w:color w:val="000000"/>
                <w:kern w:val="0"/>
                <w:sz w:val="24"/>
                <w:szCs w:val="24"/>
              </w:rPr>
            </w:pPr>
          </w:p>
          <w:p>
            <w:pPr>
              <w:spacing w:line="360" w:lineRule="auto"/>
              <w:jc w:val="center"/>
              <w:rPr>
                <w:rFonts w:ascii="Times New Roman" w:hAnsi="Times New Roman"/>
                <w:b/>
                <w:color w:val="000000"/>
                <w:kern w:val="0"/>
                <w:sz w:val="24"/>
                <w:szCs w:val="24"/>
              </w:rPr>
            </w:pPr>
          </w:p>
          <w:p>
            <w:pPr>
              <w:spacing w:line="360" w:lineRule="auto"/>
              <w:jc w:val="center"/>
              <w:rPr>
                <w:rFonts w:ascii="Times New Roman" w:hAnsi="Times New Roman"/>
                <w:b/>
                <w:color w:val="000000"/>
                <w:kern w:val="0"/>
                <w:sz w:val="24"/>
                <w:szCs w:val="24"/>
              </w:rPr>
            </w:pPr>
          </w:p>
          <w:p>
            <w:pPr>
              <w:spacing w:line="360" w:lineRule="auto"/>
              <w:jc w:val="center"/>
              <w:rPr>
                <w:rFonts w:ascii="Times New Roman" w:hAnsi="Times New Roman"/>
                <w:b/>
                <w:color w:val="000000"/>
                <w:kern w:val="0"/>
                <w:sz w:val="24"/>
                <w:szCs w:val="24"/>
              </w:rPr>
            </w:pPr>
          </w:p>
          <w:p>
            <w:pPr>
              <w:spacing w:line="360" w:lineRule="auto"/>
              <w:jc w:val="center"/>
              <w:rPr>
                <w:rFonts w:ascii="Times New Roman" w:hAnsi="Times New Roman"/>
                <w:b/>
                <w:color w:val="000000"/>
                <w:kern w:val="0"/>
                <w:sz w:val="24"/>
                <w:szCs w:val="24"/>
              </w:rPr>
            </w:pPr>
          </w:p>
          <w:p>
            <w:pPr>
              <w:spacing w:line="360" w:lineRule="auto"/>
              <w:jc w:val="center"/>
              <w:rPr>
                <w:rFonts w:ascii="Times New Roman" w:hAnsi="Times New Roman"/>
                <w:b/>
                <w:color w:val="000000"/>
                <w:kern w:val="0"/>
                <w:sz w:val="24"/>
                <w:szCs w:val="24"/>
              </w:rPr>
            </w:pPr>
            <w:r>
              <w:rPr>
                <w:rFonts w:hint="eastAsia" w:ascii="Times New Roman" w:hAnsi="Times New Roman"/>
                <w:b/>
                <w:color w:val="000000"/>
                <w:kern w:val="0"/>
                <w:sz w:val="24"/>
                <w:szCs w:val="24"/>
              </w:rPr>
              <w:t>表7-</w:t>
            </w:r>
            <w:r>
              <w:rPr>
                <w:rFonts w:hint="eastAsia" w:ascii="Times New Roman" w:hAnsi="Times New Roman"/>
                <w:b/>
                <w:color w:val="000000"/>
                <w:kern w:val="0"/>
                <w:sz w:val="24"/>
                <w:szCs w:val="24"/>
                <w:lang w:val="en-US" w:eastAsia="zh-CN"/>
              </w:rPr>
              <w:t>30</w:t>
            </w:r>
            <w:r>
              <w:rPr>
                <w:rFonts w:hint="eastAsia" w:ascii="Times New Roman" w:hAnsi="Times New Roman"/>
                <w:b/>
                <w:color w:val="000000"/>
                <w:kern w:val="0"/>
                <w:sz w:val="24"/>
                <w:szCs w:val="24"/>
              </w:rPr>
              <w:t xml:space="preserve">  救援及报告电话表</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47"/>
              <w:gridCol w:w="2949"/>
              <w:gridCol w:w="29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7" w:type="dxa"/>
                  <w:vAlign w:val="center"/>
                </w:tcPr>
                <w:p>
                  <w:pPr>
                    <w:jc w:val="center"/>
                    <w:rPr>
                      <w:rFonts w:ascii="Times New Roman" w:hAnsi="Times New Roman"/>
                      <w:szCs w:val="21"/>
                    </w:rPr>
                  </w:pPr>
                  <w:r>
                    <w:rPr>
                      <w:rFonts w:ascii="Times New Roman" w:hAnsi="Times New Roman"/>
                      <w:szCs w:val="21"/>
                    </w:rPr>
                    <w:t>单位名称</w:t>
                  </w:r>
                </w:p>
              </w:tc>
              <w:tc>
                <w:tcPr>
                  <w:tcW w:w="2949" w:type="dxa"/>
                  <w:vAlign w:val="center"/>
                </w:tcPr>
                <w:p>
                  <w:pPr>
                    <w:jc w:val="center"/>
                    <w:rPr>
                      <w:rFonts w:ascii="Times New Roman" w:hAnsi="Times New Roman"/>
                      <w:szCs w:val="21"/>
                    </w:rPr>
                  </w:pPr>
                  <w:r>
                    <w:rPr>
                      <w:rFonts w:ascii="Times New Roman" w:hAnsi="Times New Roman"/>
                      <w:szCs w:val="21"/>
                    </w:rPr>
                    <w:t>联系电话</w:t>
                  </w:r>
                </w:p>
              </w:tc>
              <w:tc>
                <w:tcPr>
                  <w:tcW w:w="2948" w:type="dxa"/>
                  <w:vAlign w:val="center"/>
                </w:tcPr>
                <w:p>
                  <w:pPr>
                    <w:jc w:val="center"/>
                    <w:rPr>
                      <w:rFonts w:ascii="Times New Roman" w:hAnsi="Times New Roman"/>
                      <w:szCs w:val="21"/>
                    </w:rPr>
                  </w:pPr>
                  <w:r>
                    <w:rPr>
                      <w:rFonts w:ascii="Times New Roman" w:hAnsi="Times New Roman"/>
                      <w:szCs w:val="21"/>
                    </w:rPr>
                    <w:t>报告内容及求助内容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7" w:type="dxa"/>
                  <w:vAlign w:val="center"/>
                </w:tcPr>
                <w:p>
                  <w:pPr>
                    <w:jc w:val="center"/>
                    <w:rPr>
                      <w:rFonts w:ascii="Times New Roman" w:hAnsi="Times New Roman"/>
                      <w:szCs w:val="21"/>
                    </w:rPr>
                  </w:pPr>
                  <w:r>
                    <w:rPr>
                      <w:rFonts w:ascii="Times New Roman" w:hAnsi="Times New Roman"/>
                      <w:szCs w:val="21"/>
                    </w:rPr>
                    <w:t>消防</w:t>
                  </w:r>
                </w:p>
              </w:tc>
              <w:tc>
                <w:tcPr>
                  <w:tcW w:w="2949" w:type="dxa"/>
                  <w:vAlign w:val="center"/>
                </w:tcPr>
                <w:p>
                  <w:pPr>
                    <w:jc w:val="center"/>
                    <w:rPr>
                      <w:rFonts w:ascii="Times New Roman" w:hAnsi="Times New Roman"/>
                      <w:szCs w:val="21"/>
                    </w:rPr>
                  </w:pPr>
                  <w:r>
                    <w:rPr>
                      <w:rFonts w:ascii="Times New Roman" w:hAnsi="Times New Roman"/>
                      <w:szCs w:val="21"/>
                    </w:rPr>
                    <w:t>119</w:t>
                  </w:r>
                </w:p>
              </w:tc>
              <w:tc>
                <w:tcPr>
                  <w:tcW w:w="2948" w:type="dxa"/>
                  <w:vAlign w:val="center"/>
                </w:tcPr>
                <w:p>
                  <w:pPr>
                    <w:jc w:val="center"/>
                    <w:rPr>
                      <w:rFonts w:ascii="Times New Roman" w:hAnsi="Times New Roman"/>
                      <w:szCs w:val="21"/>
                    </w:rPr>
                  </w:pPr>
                  <w:r>
                    <w:rPr>
                      <w:rFonts w:ascii="Times New Roman" w:hAnsi="Times New Roman"/>
                      <w:szCs w:val="21"/>
                    </w:rPr>
                    <w:t>灭火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7" w:type="dxa"/>
                  <w:vAlign w:val="center"/>
                </w:tcPr>
                <w:p>
                  <w:pPr>
                    <w:jc w:val="center"/>
                    <w:rPr>
                      <w:rFonts w:ascii="Times New Roman" w:hAnsi="Times New Roman"/>
                      <w:szCs w:val="21"/>
                    </w:rPr>
                  </w:pPr>
                  <w:r>
                    <w:rPr>
                      <w:rFonts w:ascii="Times New Roman" w:hAnsi="Times New Roman"/>
                      <w:szCs w:val="21"/>
                    </w:rPr>
                    <w:t>救护</w:t>
                  </w:r>
                </w:p>
              </w:tc>
              <w:tc>
                <w:tcPr>
                  <w:tcW w:w="2949" w:type="dxa"/>
                  <w:vAlign w:val="center"/>
                </w:tcPr>
                <w:p>
                  <w:pPr>
                    <w:jc w:val="center"/>
                    <w:rPr>
                      <w:rFonts w:ascii="Times New Roman" w:hAnsi="Times New Roman"/>
                      <w:szCs w:val="21"/>
                    </w:rPr>
                  </w:pPr>
                  <w:r>
                    <w:rPr>
                      <w:rFonts w:ascii="Times New Roman" w:hAnsi="Times New Roman"/>
                      <w:szCs w:val="21"/>
                    </w:rPr>
                    <w:t>120</w:t>
                  </w:r>
                </w:p>
              </w:tc>
              <w:tc>
                <w:tcPr>
                  <w:tcW w:w="2948" w:type="dxa"/>
                  <w:vAlign w:val="center"/>
                </w:tcPr>
                <w:p>
                  <w:pPr>
                    <w:jc w:val="center"/>
                    <w:rPr>
                      <w:rFonts w:ascii="Times New Roman" w:hAnsi="Times New Roman"/>
                      <w:szCs w:val="21"/>
                    </w:rPr>
                  </w:pPr>
                  <w:r>
                    <w:rPr>
                      <w:rFonts w:ascii="Times New Roman" w:hAnsi="Times New Roman"/>
                      <w:szCs w:val="21"/>
                    </w:rPr>
                    <w:t>人员抢救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7" w:type="dxa"/>
                  <w:vAlign w:val="center"/>
                </w:tcPr>
                <w:p>
                  <w:pPr>
                    <w:jc w:val="center"/>
                    <w:rPr>
                      <w:rFonts w:ascii="Times New Roman" w:hAnsi="Times New Roman"/>
                      <w:szCs w:val="21"/>
                    </w:rPr>
                  </w:pPr>
                  <w:r>
                    <w:rPr>
                      <w:rFonts w:ascii="Times New Roman" w:hAnsi="Times New Roman"/>
                      <w:szCs w:val="21"/>
                    </w:rPr>
                    <w:t>110指挥中心</w:t>
                  </w:r>
                </w:p>
              </w:tc>
              <w:tc>
                <w:tcPr>
                  <w:tcW w:w="2949" w:type="dxa"/>
                  <w:vAlign w:val="center"/>
                </w:tcPr>
                <w:p>
                  <w:pPr>
                    <w:jc w:val="center"/>
                    <w:rPr>
                      <w:rFonts w:ascii="Times New Roman" w:hAnsi="Times New Roman"/>
                      <w:szCs w:val="21"/>
                    </w:rPr>
                  </w:pPr>
                  <w:r>
                    <w:rPr>
                      <w:rFonts w:ascii="Times New Roman" w:hAnsi="Times New Roman"/>
                      <w:szCs w:val="21"/>
                    </w:rPr>
                    <w:t>110</w:t>
                  </w:r>
                </w:p>
              </w:tc>
              <w:tc>
                <w:tcPr>
                  <w:tcW w:w="2948" w:type="dxa"/>
                  <w:vAlign w:val="center"/>
                </w:tcPr>
                <w:p>
                  <w:pPr>
                    <w:jc w:val="center"/>
                    <w:rPr>
                      <w:rFonts w:ascii="Times New Roman" w:hAnsi="Times New Roman"/>
                      <w:szCs w:val="21"/>
                    </w:rPr>
                  </w:pPr>
                  <w:r>
                    <w:rPr>
                      <w:rFonts w:ascii="Times New Roman" w:hAnsi="Times New Roman"/>
                      <w:szCs w:val="21"/>
                    </w:rPr>
                    <w:t>事故控制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7" w:type="dxa"/>
                  <w:vAlign w:val="center"/>
                </w:tcPr>
                <w:p>
                  <w:pPr>
                    <w:jc w:val="center"/>
                    <w:rPr>
                      <w:rFonts w:ascii="Times New Roman" w:hAnsi="Times New Roman"/>
                      <w:szCs w:val="21"/>
                    </w:rPr>
                  </w:pPr>
                  <w:r>
                    <w:rPr>
                      <w:rFonts w:ascii="Times New Roman" w:hAnsi="Times New Roman"/>
                      <w:szCs w:val="21"/>
                    </w:rPr>
                    <w:t>环保热线</w:t>
                  </w:r>
                </w:p>
              </w:tc>
              <w:tc>
                <w:tcPr>
                  <w:tcW w:w="2949" w:type="dxa"/>
                  <w:vAlign w:val="center"/>
                </w:tcPr>
                <w:p>
                  <w:pPr>
                    <w:jc w:val="center"/>
                    <w:rPr>
                      <w:rFonts w:ascii="Times New Roman" w:hAnsi="Times New Roman"/>
                      <w:szCs w:val="21"/>
                    </w:rPr>
                  </w:pPr>
                  <w:r>
                    <w:rPr>
                      <w:rFonts w:ascii="Times New Roman" w:hAnsi="Times New Roman"/>
                      <w:szCs w:val="21"/>
                    </w:rPr>
                    <w:t>12369</w:t>
                  </w:r>
                </w:p>
              </w:tc>
              <w:tc>
                <w:tcPr>
                  <w:tcW w:w="2948" w:type="dxa"/>
                  <w:vAlign w:val="center"/>
                </w:tcPr>
                <w:p>
                  <w:pPr>
                    <w:jc w:val="center"/>
                    <w:rPr>
                      <w:rFonts w:ascii="Times New Roman" w:hAnsi="Times New Roman"/>
                      <w:szCs w:val="21"/>
                    </w:rPr>
                  </w:pPr>
                  <w:r>
                    <w:rPr>
                      <w:rFonts w:ascii="Times New Roman" w:hAnsi="Times New Roman"/>
                      <w:szCs w:val="21"/>
                    </w:rPr>
                    <w:t>影响报告及请求监测援助</w:t>
                  </w:r>
                </w:p>
              </w:tc>
            </w:tr>
          </w:tbl>
          <w:p>
            <w:pPr>
              <w:pStyle w:val="9"/>
              <w:spacing w:line="360" w:lineRule="auto"/>
              <w:ind w:firstLine="480" w:firstLineChars="200"/>
              <w:jc w:val="both"/>
              <w:rPr>
                <w:rFonts w:ascii="Times New Roman" w:hAnsi="Times New Roman" w:cs="Times New Roman"/>
                <w:bCs/>
              </w:rPr>
            </w:pP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（6）</w:t>
            </w:r>
            <w:r>
              <w:rPr>
                <w:rFonts w:ascii="Times New Roman" w:hAnsi="Times New Roman" w:cs="Times New Roman"/>
                <w:bCs/>
              </w:rPr>
              <w:t>应急环境监测、抢险、救援及控制措施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若发生事故，制定环境监测方案时，应根据事故波及范围选择适当的监测因子，根据事故持续时间决定监测时间，根据事故严重性决定监测频次，根据环境要素的特点以及事故情况布设监测点位，综合考虑合理制定监测方案。监测人员应在必要的防护措施和保证安全的情况下进入处理现场采样。此外，监测方案应根据事故的具体情况由指挥部作调整和安排。</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（7）</w:t>
            </w:r>
            <w:r>
              <w:rPr>
                <w:rFonts w:ascii="Times New Roman" w:hAnsi="Times New Roman" w:cs="Times New Roman"/>
                <w:bCs/>
              </w:rPr>
              <w:t>应急监测、防护措施、清除泄漏措施和器材</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事故发生后，立即启动厂区环境风险应急预案，根据发生事故的类型，有针对性的采取对策措施。由厂区委托专门机构负责对事故现场进行现场应急监测，对事故性质、参数与后果进行评估，为指挥部门提供决策依据。</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①应急救援原则</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人是社会最宝贵的财富，一旦发生事故，如果有人受困，必须首先抢救人员，确保人员的安全。其次应急处理必须遵循先控制后制止，兼顾先重点后一般的原则，尽力将损失降低到最低水平。</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②主要物料的应急救援措施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针对不同物料事故现场将采取不同的控制和清除污染措施及相应设备。</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③发生物料泄漏后的具体预防及应急措施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针对物料泄漏原因，用提前准备好的消防设施，进行覆盖、拦截、引流等措施；同时采取相应的回收、吸附等措施清除污染物，降低对环境的影响。装置区等备用防护服，面罩，以及手套、应急灯等相关的救生装置若干，以应付突发性环境污染事故的处理需要。</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④建筑物的应急救援措施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当建筑物一端起火向另一端蔓延时，可从中间适当部位控制；建筑物的中间着火时，应从两侧控制，以下风方向为主。</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⑤配电柜、用电设备失火</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要迅速切断电源，使用正确的灭火器（如：干粉、二氧化碳灭火器）进行扑救。</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⑥个人救护方式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人工呼吸：当呼吸停止，心脏仍然跳动或刚停止跳动时，用人工呼吸的方法使空气进出肺部，供给人体组织所需要的氧气。</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⑦事故发生后紧急处理方法</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事故发生后，首要的切断厂区总电源（晚上可用应急灯）。</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w:t>
            </w:r>
            <w:r>
              <w:rPr>
                <w:rFonts w:ascii="Times New Roman" w:hAnsi="Times New Roman" w:cs="Times New Roman"/>
                <w:bCs/>
              </w:rPr>
              <w:t>有可能的话将容器从火场移到厂区内的空旷处。</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2）</w:t>
            </w:r>
            <w:r>
              <w:rPr>
                <w:rFonts w:ascii="Times New Roman" w:hAnsi="Times New Roman" w:cs="Times New Roman"/>
                <w:bCs/>
              </w:rPr>
              <w:t>另一方面用干粉灭火器、砂土等向火源扑救。</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3）</w:t>
            </w:r>
            <w:r>
              <w:rPr>
                <w:rFonts w:ascii="Times New Roman" w:hAnsi="Times New Roman" w:cs="Times New Roman"/>
                <w:bCs/>
              </w:rPr>
              <w:t>事故区清点人数及人员控制，划定事故区域的防护区，指定专人防护，维护现场秩序。</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4）</w:t>
            </w:r>
            <w:r>
              <w:rPr>
                <w:rFonts w:ascii="Times New Roman" w:hAnsi="Times New Roman" w:cs="Times New Roman"/>
                <w:bCs/>
              </w:rPr>
              <w:t>立即组织营救受害人员，组织撤离或者采取其他措施保护危险区域内的其他人员。</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5）</w:t>
            </w:r>
            <w:r>
              <w:rPr>
                <w:rFonts w:ascii="Times New Roman" w:hAnsi="Times New Roman" w:cs="Times New Roman"/>
                <w:bCs/>
              </w:rPr>
              <w:t>迅速控制危害源。</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6）</w:t>
            </w:r>
            <w:r>
              <w:rPr>
                <w:rFonts w:ascii="Times New Roman" w:hAnsi="Times New Roman" w:cs="Times New Roman"/>
                <w:bCs/>
              </w:rPr>
              <w:t>采取必要措施减少事故损失，防止事故蔓延扩大。</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（生产过程中发生停电、停水等紧急情况，按照操作规程的处理措施进行。）</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（8）</w:t>
            </w:r>
            <w:r>
              <w:rPr>
                <w:rFonts w:ascii="Times New Roman" w:hAnsi="Times New Roman" w:cs="Times New Roman"/>
                <w:bCs/>
              </w:rPr>
              <w:t>人员紧急撤离、疏散，应急剂量控制、撤离组织计划</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依据对可能发生危险化学品事故场所、设施及周围情况的分析结果，人员紧急疏散、撤离方式、方法如下：</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①事故发生后，在事故现场周围设岗，划分禁区并加强警戒和巡逻检查，严禁无关人员进入。</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②非事故现场人员在事故发生后，由厂区主干道有序撤离。</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③抢救人员在撤离前、撤离后均需报告，统一行动。</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④人员的自身撤离要求迅速，一旦听到火灾报警或意识到自己可能被烟火包围，要立即跑出房间，设法脱险。应急分工负责人组织事故现场人员有秩序地向上侧风向或可利用的掩体等安全地点疏散撤离。</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⑤人员逃生时，不管附近有无烟雾，都应该采取防烟措施（火灾中产生的一氧化碳在空气中的含量达1.28%时，人在1～3min内即可窒息死亡）。常用的措施是用干、湿毛巾捂住口鼻。无水时，干毛巾也行，身边没有毛巾，口罩、衣服也可以，要多叠几层。</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⑥事故扩散到厂区外，危及厂区外人员时，应迅速组织有关人员协助周边人员在应急分工负责人及上级有关部门指挥协调下，向上侧风方向的安全地带疏散。</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⑦事故处理结束，应对所有事故现场人员、救援人员进行清点，不可遗漏。</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根据针对泄漏毒物的毒性，确定适当的救护、医疗方法，确保公众健康。</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（9）</w:t>
            </w:r>
            <w:r>
              <w:rPr>
                <w:rFonts w:ascii="Times New Roman" w:hAnsi="Times New Roman" w:cs="Times New Roman"/>
                <w:bCs/>
              </w:rPr>
              <w:t>事故应急救援关闭程序与恢复措施</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当事故污染源已得到有效控制，事故现场处置已完成，现场监测符合要求，中毒人员已得到救治，危险化学品泄漏区基本恢复正常秩序，由指挥中心宣布事故应急工作结束，并进行事故现场的善后处理，对厂区进行恢复、重建工作。若事故波及周边区域，则应通知周边单位、群众危险已解除。</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事故应急救援终止后，应视事故类别，进行或协助上级有关部门开展事故原因调查、分析、取证、善后等处理工作。</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（10）</w:t>
            </w:r>
            <w:r>
              <w:rPr>
                <w:rFonts w:ascii="Times New Roman" w:hAnsi="Times New Roman" w:cs="Times New Roman"/>
                <w:bCs/>
              </w:rPr>
              <w:t>急培训计划</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①应急救援人员的培训</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总指挥组织应急救援小组成员、有关人员每年进行一次应急救援培训。应在每年的11月9日消防安全日开展一次事故应急救援演练并作记录。应急救援演练后应进行评审，对不符合项进行整改，并对预案进行修订完善。应急救援演练后应及时对应急设备、设施、器材进行添置、更换、维护保养，保持充足、完好有效。</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②员工应急响应的培训</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每季度对员工进行危险化学品知识、中毒急救、消防灭火、自救、疏散撤离知识的教育培训，并进行考核。</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每年一次组织员工进行应急救援演练或观摩，要求每位员工讲述演练体会并征求他们的意见对预案进行修订完善。</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（11）</w:t>
            </w:r>
            <w:r>
              <w:rPr>
                <w:rFonts w:ascii="Times New Roman" w:hAnsi="Times New Roman" w:cs="Times New Roman"/>
                <w:bCs/>
              </w:rPr>
              <w:t>公众教育和信息</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利用每年的11月9日消防安全日在储备站附近利用黑板报、横幅标语、宣传画等形式进行危险化学品事故应急响应知识的宣传。</w:t>
            </w:r>
          </w:p>
          <w:p>
            <w:pPr>
              <w:pStyle w:val="9"/>
              <w:spacing w:line="360" w:lineRule="auto"/>
              <w:ind w:firstLine="480" w:firstLineChars="200"/>
              <w:jc w:val="both"/>
              <w:rPr>
                <w:rFonts w:ascii="Times New Roman" w:hAnsi="Times New Roman" w:cs="Times New Roman"/>
                <w:bCs/>
              </w:rPr>
            </w:pPr>
            <w:r>
              <w:rPr>
                <w:rFonts w:hint="eastAsia" w:ascii="Times New Roman" w:hAnsi="Times New Roman" w:cs="Times New Roman"/>
                <w:bCs/>
              </w:rPr>
              <w:t>9</w:t>
            </w:r>
            <w:r>
              <w:rPr>
                <w:rFonts w:ascii="Times New Roman" w:hAnsi="Times New Roman" w:cs="Times New Roman"/>
                <w:bCs/>
              </w:rPr>
              <w:t>、环境风险评价结论</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本项目涉及的主要危险物质为甲烷。主要事故类型为生产过程中危险物质的泄露和火灾、爆炸事故。</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为了防范事故、减小危害，建设项目从总图布置、防火防爆、消防设施、防静电危害、可燃气体报警安全管理对策等方面编制了详细的风险防范措施，并制定应急预案提出相关要求。当出现事故时，要采取紧急的工程应急措施，如有必要，应采取社会应急措施，以控制事故和减少对环境造成的危害。</w:t>
            </w:r>
          </w:p>
          <w:p>
            <w:pPr>
              <w:pStyle w:val="9"/>
              <w:spacing w:line="360" w:lineRule="auto"/>
              <w:ind w:firstLine="480" w:firstLineChars="200"/>
              <w:jc w:val="both"/>
              <w:rPr>
                <w:rFonts w:ascii="Times New Roman" w:hAnsi="Times New Roman" w:cs="Times New Roman"/>
                <w:bCs/>
              </w:rPr>
            </w:pPr>
            <w:r>
              <w:rPr>
                <w:rFonts w:ascii="Times New Roman" w:hAnsi="Times New Roman" w:cs="Times New Roman"/>
                <w:bCs/>
              </w:rPr>
              <w:t>在认真落实工程拟采取的安全措施及评价提出的风险防范措施及风险应急预案后，本项目事故风险可控，风险水平是可以接受的。</w:t>
            </w:r>
          </w:p>
          <w:p>
            <w:pPr>
              <w:spacing w:line="360" w:lineRule="auto"/>
              <w:jc w:val="center"/>
              <w:rPr>
                <w:rFonts w:ascii="Times New Roman" w:hAnsi="Times New Roman"/>
                <w:b/>
                <w:color w:val="000000"/>
                <w:kern w:val="0"/>
                <w:sz w:val="24"/>
                <w:szCs w:val="24"/>
              </w:rPr>
            </w:pPr>
            <w:r>
              <w:rPr>
                <w:rFonts w:hint="eastAsia" w:ascii="Times New Roman" w:hAnsi="Times New Roman"/>
                <w:b/>
                <w:color w:val="000000"/>
                <w:kern w:val="0"/>
                <w:sz w:val="24"/>
                <w:szCs w:val="24"/>
              </w:rPr>
              <w:t>表7-</w:t>
            </w:r>
            <w:r>
              <w:rPr>
                <w:rFonts w:hint="eastAsia" w:ascii="Times New Roman" w:hAnsi="Times New Roman"/>
                <w:b/>
                <w:color w:val="000000"/>
                <w:kern w:val="0"/>
                <w:sz w:val="24"/>
                <w:szCs w:val="24"/>
                <w:lang w:val="en-US" w:eastAsia="zh-CN"/>
              </w:rPr>
              <w:t>31</w:t>
            </w:r>
            <w:r>
              <w:rPr>
                <w:rFonts w:hint="eastAsia" w:ascii="Times New Roman" w:hAnsi="Times New Roman"/>
                <w:b/>
                <w:color w:val="000000"/>
                <w:kern w:val="0"/>
                <w:sz w:val="24"/>
                <w:szCs w:val="24"/>
              </w:rPr>
              <w:t xml:space="preserve"> 环境风险评价自查表</w:t>
            </w:r>
          </w:p>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6"/>
              <w:gridCol w:w="1296"/>
              <w:gridCol w:w="869"/>
              <w:gridCol w:w="297"/>
              <w:gridCol w:w="625"/>
              <w:gridCol w:w="594"/>
              <w:gridCol w:w="275"/>
              <w:gridCol w:w="144"/>
              <w:gridCol w:w="159"/>
              <w:gridCol w:w="84"/>
              <w:gridCol w:w="364"/>
              <w:gridCol w:w="167"/>
              <w:gridCol w:w="577"/>
              <w:gridCol w:w="125"/>
              <w:gridCol w:w="487"/>
              <w:gridCol w:w="289"/>
              <w:gridCol w:w="308"/>
              <w:gridCol w:w="286"/>
              <w:gridCol w:w="274"/>
              <w:gridCol w:w="12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tcPr>
                <w:p>
                  <w:pPr>
                    <w:pStyle w:val="154"/>
                  </w:pPr>
                  <w:r>
                    <w:t>工作内容</w:t>
                  </w:r>
                </w:p>
              </w:tc>
              <w:tc>
                <w:tcPr>
                  <w:tcW w:w="7519" w:type="dxa"/>
                  <w:gridSpan w:val="18"/>
                </w:tcPr>
                <w:p>
                  <w:pPr>
                    <w:pStyle w:val="154"/>
                  </w:pPr>
                  <w:r>
                    <w:t>完成情况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restart"/>
                </w:tcPr>
                <w:p>
                  <w:pPr>
                    <w:pStyle w:val="154"/>
                  </w:pPr>
                </w:p>
                <w:p>
                  <w:pPr>
                    <w:pStyle w:val="154"/>
                  </w:pPr>
                </w:p>
                <w:p>
                  <w:pPr>
                    <w:pStyle w:val="154"/>
                  </w:pPr>
                  <w:r>
                    <w:t>风险调查</w:t>
                  </w:r>
                </w:p>
              </w:tc>
              <w:tc>
                <w:tcPr>
                  <w:tcW w:w="1362" w:type="dxa"/>
                  <w:vMerge w:val="restart"/>
                  <w:vAlign w:val="center"/>
                </w:tcPr>
                <w:p>
                  <w:pPr>
                    <w:pStyle w:val="154"/>
                  </w:pPr>
                  <w:r>
                    <w:t>危险物质</w:t>
                  </w:r>
                </w:p>
              </w:tc>
              <w:tc>
                <w:tcPr>
                  <w:tcW w:w="909" w:type="dxa"/>
                </w:tcPr>
                <w:p>
                  <w:pPr>
                    <w:pStyle w:val="154"/>
                  </w:pPr>
                  <w:r>
                    <w:t>名称</w:t>
                  </w:r>
                </w:p>
              </w:tc>
              <w:tc>
                <w:tcPr>
                  <w:tcW w:w="6610" w:type="dxa"/>
                  <w:gridSpan w:val="17"/>
                </w:tcPr>
                <w:p>
                  <w:pPr>
                    <w:pStyle w:val="154"/>
                  </w:pPr>
                  <w:r>
                    <w:t>甲烷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tcPr>
                <w:p>
                  <w:pPr>
                    <w:pStyle w:val="154"/>
                  </w:pPr>
                  <w:r>
                    <w:t>存在总量/t</w:t>
                  </w:r>
                </w:p>
              </w:tc>
              <w:tc>
                <w:tcPr>
                  <w:tcW w:w="6610" w:type="dxa"/>
                  <w:gridSpan w:val="17"/>
                  <w:vAlign w:val="center"/>
                </w:tcPr>
                <w:p>
                  <w:pPr>
                    <w:pStyle w:val="154"/>
                  </w:pPr>
                  <w:r>
                    <w:t>甲烷（</w:t>
                  </w:r>
                  <w:r>
                    <w:rPr>
                      <w:rFonts w:hint="eastAsia"/>
                    </w:rPr>
                    <w:t>31.86</w:t>
                  </w:r>
                  <w:r>
                    <w:t>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restart"/>
                  <w:vAlign w:val="center"/>
                </w:tcPr>
                <w:p>
                  <w:pPr>
                    <w:pStyle w:val="154"/>
                  </w:pPr>
                  <w:r>
                    <w:t>环境敏感性</w:t>
                  </w:r>
                </w:p>
              </w:tc>
              <w:tc>
                <w:tcPr>
                  <w:tcW w:w="909" w:type="dxa"/>
                  <w:vMerge w:val="restart"/>
                  <w:vAlign w:val="center"/>
                </w:tcPr>
                <w:p>
                  <w:pPr>
                    <w:pStyle w:val="154"/>
                  </w:pPr>
                  <w:r>
                    <w:t>大气</w:t>
                  </w:r>
                </w:p>
              </w:tc>
              <w:tc>
                <w:tcPr>
                  <w:tcW w:w="3589" w:type="dxa"/>
                  <w:gridSpan w:val="11"/>
                </w:tcPr>
                <w:p>
                  <w:pPr>
                    <w:pStyle w:val="154"/>
                  </w:pPr>
                  <w:r>
                    <w:t>500m范围内人口数</w:t>
                  </w:r>
                  <w:r>
                    <w:rPr>
                      <w:rFonts w:hint="eastAsia"/>
                      <w:u w:val="single"/>
                    </w:rPr>
                    <w:t xml:space="preserve">    </w:t>
                  </w:r>
                  <w:r>
                    <w:t>人</w:t>
                  </w:r>
                </w:p>
              </w:tc>
              <w:tc>
                <w:tcPr>
                  <w:tcW w:w="3021" w:type="dxa"/>
                  <w:gridSpan w:val="6"/>
                </w:tcPr>
                <w:p>
                  <w:pPr>
                    <w:pStyle w:val="154"/>
                  </w:pPr>
                  <w:r>
                    <w:t>5km范围内人口数</w:t>
                  </w:r>
                  <w:r>
                    <w:rPr>
                      <w:u w:val="single"/>
                    </w:rPr>
                    <w:t xml:space="preserve">    </w:t>
                  </w:r>
                  <w: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continue"/>
                </w:tcPr>
                <w:p>
                  <w:pPr>
                    <w:pStyle w:val="154"/>
                  </w:pPr>
                </w:p>
              </w:tc>
              <w:tc>
                <w:tcPr>
                  <w:tcW w:w="5320" w:type="dxa"/>
                  <w:gridSpan w:val="16"/>
                </w:tcPr>
                <w:p>
                  <w:pPr>
                    <w:pStyle w:val="154"/>
                  </w:pPr>
                  <w:r>
                    <w:t>每公里管段周边200m范围内人口数（最大）</w:t>
                  </w:r>
                </w:p>
              </w:tc>
              <w:tc>
                <w:tcPr>
                  <w:tcW w:w="1290" w:type="dxa"/>
                </w:tcPr>
                <w:p>
                  <w:pPr>
                    <w:pStyle w:val="154"/>
                    <w:jc w:val="both"/>
                  </w:pPr>
                  <w:r>
                    <w:t xml:space="preserve"> </w:t>
                  </w:r>
                  <w:r>
                    <w:rPr>
                      <w:rFonts w:hint="eastAsia"/>
                      <w:u w:val="single"/>
                    </w:rPr>
                    <w:t>≤100</w:t>
                  </w:r>
                  <w:r>
                    <w:rPr>
                      <w:u w:val="single"/>
                    </w:rPr>
                    <w:t xml:space="preserve"> </w:t>
                  </w:r>
                  <w: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restart"/>
                  <w:vAlign w:val="center"/>
                </w:tcPr>
                <w:p>
                  <w:pPr>
                    <w:pStyle w:val="154"/>
                  </w:pPr>
                  <w:r>
                    <w:t>地表水</w:t>
                  </w:r>
                </w:p>
              </w:tc>
              <w:tc>
                <w:tcPr>
                  <w:tcW w:w="2036" w:type="dxa"/>
                  <w:gridSpan w:val="5"/>
                </w:tcPr>
                <w:p>
                  <w:pPr>
                    <w:pStyle w:val="154"/>
                  </w:pPr>
                  <w:r>
                    <w:t>地表水功能敏感性</w:t>
                  </w:r>
                </w:p>
              </w:tc>
              <w:tc>
                <w:tcPr>
                  <w:tcW w:w="1553" w:type="dxa"/>
                  <w:gridSpan w:val="6"/>
                </w:tcPr>
                <w:p>
                  <w:pPr>
                    <w:pStyle w:val="154"/>
                  </w:pPr>
                  <w:r>
                    <w:t xml:space="preserve">F1 </w:t>
                  </w:r>
                  <w:r>
                    <w:rPr/>
                    <w:sym w:font="Wingdings 2" w:char="00A3"/>
                  </w:r>
                </w:p>
              </w:tc>
              <w:tc>
                <w:tcPr>
                  <w:tcW w:w="1731" w:type="dxa"/>
                  <w:gridSpan w:val="5"/>
                </w:tcPr>
                <w:p>
                  <w:pPr>
                    <w:pStyle w:val="154"/>
                  </w:pPr>
                  <w:r>
                    <w:t xml:space="preserve">F2 </w:t>
                  </w:r>
                  <w:r>
                    <w:rPr/>
                    <w:sym w:font="Wingdings 2" w:char="00A3"/>
                  </w:r>
                </w:p>
              </w:tc>
              <w:tc>
                <w:tcPr>
                  <w:tcW w:w="1290" w:type="dxa"/>
                </w:tcPr>
                <w:p>
                  <w:pPr>
                    <w:pStyle w:val="154"/>
                  </w:pPr>
                  <w:r>
                    <w:t>F3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continue"/>
                  <w:vAlign w:val="center"/>
                </w:tcPr>
                <w:p>
                  <w:pPr>
                    <w:pStyle w:val="154"/>
                  </w:pPr>
                </w:p>
              </w:tc>
              <w:tc>
                <w:tcPr>
                  <w:tcW w:w="2036" w:type="dxa"/>
                  <w:gridSpan w:val="5"/>
                </w:tcPr>
                <w:p>
                  <w:pPr>
                    <w:pStyle w:val="154"/>
                  </w:pPr>
                  <w:r>
                    <w:t>环境敏感目标分级</w:t>
                  </w:r>
                </w:p>
              </w:tc>
              <w:tc>
                <w:tcPr>
                  <w:tcW w:w="1553" w:type="dxa"/>
                  <w:gridSpan w:val="6"/>
                </w:tcPr>
                <w:p>
                  <w:pPr>
                    <w:pStyle w:val="154"/>
                  </w:pPr>
                  <w:r>
                    <w:t xml:space="preserve">S1 </w:t>
                  </w:r>
                  <w:r>
                    <w:rPr/>
                    <w:sym w:font="Wingdings 2" w:char="00A3"/>
                  </w:r>
                </w:p>
              </w:tc>
              <w:tc>
                <w:tcPr>
                  <w:tcW w:w="1731" w:type="dxa"/>
                  <w:gridSpan w:val="5"/>
                </w:tcPr>
                <w:p>
                  <w:pPr>
                    <w:pStyle w:val="154"/>
                  </w:pPr>
                  <w:r>
                    <w:t xml:space="preserve">S2 </w:t>
                  </w:r>
                  <w:r>
                    <w:rPr/>
                    <w:sym w:font="Wingdings 2" w:char="00A3"/>
                  </w:r>
                </w:p>
              </w:tc>
              <w:tc>
                <w:tcPr>
                  <w:tcW w:w="1290" w:type="dxa"/>
                </w:tcPr>
                <w:p>
                  <w:pPr>
                    <w:pStyle w:val="154"/>
                  </w:pPr>
                  <w:r>
                    <w:t xml:space="preserve">S3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restart"/>
                  <w:vAlign w:val="center"/>
                </w:tcPr>
                <w:p>
                  <w:pPr>
                    <w:pStyle w:val="154"/>
                  </w:pPr>
                  <w:r>
                    <w:t>地下水</w:t>
                  </w:r>
                </w:p>
              </w:tc>
              <w:tc>
                <w:tcPr>
                  <w:tcW w:w="2036" w:type="dxa"/>
                  <w:gridSpan w:val="5"/>
                </w:tcPr>
                <w:p>
                  <w:pPr>
                    <w:pStyle w:val="154"/>
                  </w:pPr>
                  <w:r>
                    <w:t>地下水功能敏感性</w:t>
                  </w:r>
                </w:p>
              </w:tc>
              <w:tc>
                <w:tcPr>
                  <w:tcW w:w="1553" w:type="dxa"/>
                  <w:gridSpan w:val="6"/>
                </w:tcPr>
                <w:p>
                  <w:pPr>
                    <w:pStyle w:val="154"/>
                  </w:pPr>
                  <w:r>
                    <w:t xml:space="preserve">G1 </w:t>
                  </w:r>
                  <w:r>
                    <w:rPr/>
                    <w:sym w:font="Wingdings 2" w:char="00A3"/>
                  </w:r>
                </w:p>
              </w:tc>
              <w:tc>
                <w:tcPr>
                  <w:tcW w:w="1731" w:type="dxa"/>
                  <w:gridSpan w:val="5"/>
                </w:tcPr>
                <w:p>
                  <w:pPr>
                    <w:pStyle w:val="154"/>
                  </w:pPr>
                  <w:r>
                    <w:t>G2 □</w:t>
                  </w:r>
                </w:p>
              </w:tc>
              <w:tc>
                <w:tcPr>
                  <w:tcW w:w="1290" w:type="dxa"/>
                </w:tcPr>
                <w:p>
                  <w:pPr>
                    <w:pStyle w:val="154"/>
                  </w:pPr>
                  <w:r>
                    <w:t xml:space="preserve">G3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continue"/>
                </w:tcPr>
                <w:p>
                  <w:pPr>
                    <w:pStyle w:val="154"/>
                  </w:pPr>
                </w:p>
              </w:tc>
              <w:tc>
                <w:tcPr>
                  <w:tcW w:w="2036" w:type="dxa"/>
                  <w:gridSpan w:val="5"/>
                </w:tcPr>
                <w:p>
                  <w:pPr>
                    <w:pStyle w:val="154"/>
                  </w:pPr>
                  <w:r>
                    <w:t>包气带防污性能</w:t>
                  </w:r>
                </w:p>
              </w:tc>
              <w:tc>
                <w:tcPr>
                  <w:tcW w:w="1553" w:type="dxa"/>
                  <w:gridSpan w:val="6"/>
                </w:tcPr>
                <w:p>
                  <w:pPr>
                    <w:pStyle w:val="154"/>
                  </w:pPr>
                  <w:r>
                    <w:t>D1 □</w:t>
                  </w:r>
                </w:p>
              </w:tc>
              <w:tc>
                <w:tcPr>
                  <w:tcW w:w="1731" w:type="dxa"/>
                  <w:gridSpan w:val="5"/>
                </w:tcPr>
                <w:p>
                  <w:pPr>
                    <w:pStyle w:val="154"/>
                  </w:pPr>
                  <w:r>
                    <w:t xml:space="preserve">D2 </w:t>
                  </w:r>
                  <w:r>
                    <w:rPr/>
                    <w:sym w:font="Wingdings 2" w:char="00A3"/>
                  </w:r>
                </w:p>
              </w:tc>
              <w:tc>
                <w:tcPr>
                  <w:tcW w:w="1290" w:type="dxa"/>
                </w:tcPr>
                <w:p>
                  <w:pPr>
                    <w:pStyle w:val="154"/>
                  </w:pPr>
                  <w:r>
                    <w:t xml:space="preserve">D3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vMerge w:val="restart"/>
                  <w:vAlign w:val="center"/>
                </w:tcPr>
                <w:p>
                  <w:pPr>
                    <w:pStyle w:val="154"/>
                  </w:pPr>
                  <w:r>
                    <w:t>物质及工艺系统危险性</w:t>
                  </w:r>
                </w:p>
              </w:tc>
              <w:tc>
                <w:tcPr>
                  <w:tcW w:w="909" w:type="dxa"/>
                </w:tcPr>
                <w:p>
                  <w:pPr>
                    <w:pStyle w:val="154"/>
                  </w:pPr>
                  <w:r>
                    <w:t>Q值</w:t>
                  </w:r>
                </w:p>
              </w:tc>
              <w:tc>
                <w:tcPr>
                  <w:tcW w:w="2036" w:type="dxa"/>
                  <w:gridSpan w:val="5"/>
                </w:tcPr>
                <w:p>
                  <w:pPr>
                    <w:pStyle w:val="154"/>
                  </w:pPr>
                  <w:r>
                    <w:t xml:space="preserve">Q＜1 </w:t>
                  </w:r>
                  <w:r>
                    <w:rPr/>
                    <w:sym w:font="Wingdings 2" w:char="00A3"/>
                  </w:r>
                  <w:r>
                    <w:t xml:space="preserve"> </w:t>
                  </w:r>
                </w:p>
              </w:tc>
              <w:tc>
                <w:tcPr>
                  <w:tcW w:w="1553" w:type="dxa"/>
                  <w:gridSpan w:val="6"/>
                </w:tcPr>
                <w:p>
                  <w:pPr>
                    <w:pStyle w:val="154"/>
                  </w:pPr>
                  <w:r>
                    <w:t xml:space="preserve">1≤Q＜10 </w:t>
                  </w:r>
                  <w:r>
                    <w:rPr/>
                    <w:sym w:font="Wingdings 2" w:char="0052"/>
                  </w:r>
                  <w:r>
                    <w:t xml:space="preserve"> </w:t>
                  </w:r>
                </w:p>
              </w:tc>
              <w:tc>
                <w:tcPr>
                  <w:tcW w:w="1731" w:type="dxa"/>
                  <w:gridSpan w:val="5"/>
                </w:tcPr>
                <w:p>
                  <w:pPr>
                    <w:pStyle w:val="154"/>
                  </w:pPr>
                  <w:r>
                    <w:t xml:space="preserve">10≤Q＜100 </w:t>
                  </w:r>
                  <w:r>
                    <w:rPr/>
                    <w:sym w:font="Wingdings 2" w:char="00A3"/>
                  </w:r>
                  <w:r>
                    <w:t xml:space="preserve"> </w:t>
                  </w:r>
                </w:p>
              </w:tc>
              <w:tc>
                <w:tcPr>
                  <w:tcW w:w="1290" w:type="dxa"/>
                </w:tcPr>
                <w:p>
                  <w:pPr>
                    <w:pStyle w:val="154"/>
                  </w:pPr>
                  <w:r>
                    <w:t xml:space="preserve">Q＞100 </w:t>
                  </w:r>
                  <w:r>
                    <w:rPr/>
                    <w:sym w:font="Wingdings 2" w:char="00A3"/>
                  </w:r>
                  <w: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vMerge w:val="continue"/>
                </w:tcPr>
                <w:p>
                  <w:pPr>
                    <w:pStyle w:val="154"/>
                  </w:pPr>
                </w:p>
              </w:tc>
              <w:tc>
                <w:tcPr>
                  <w:tcW w:w="909" w:type="dxa"/>
                </w:tcPr>
                <w:p>
                  <w:pPr>
                    <w:pStyle w:val="154"/>
                  </w:pPr>
                  <w:r>
                    <w:t>M值</w:t>
                  </w:r>
                </w:p>
              </w:tc>
              <w:tc>
                <w:tcPr>
                  <w:tcW w:w="2036" w:type="dxa"/>
                  <w:gridSpan w:val="5"/>
                </w:tcPr>
                <w:p>
                  <w:pPr>
                    <w:pStyle w:val="154"/>
                  </w:pPr>
                  <w:r>
                    <w:t xml:space="preserve">M1 </w:t>
                  </w:r>
                  <w:r>
                    <w:rPr/>
                    <w:sym w:font="Wingdings 2" w:char="00A3"/>
                  </w:r>
                </w:p>
              </w:tc>
              <w:tc>
                <w:tcPr>
                  <w:tcW w:w="1553" w:type="dxa"/>
                  <w:gridSpan w:val="6"/>
                </w:tcPr>
                <w:p>
                  <w:pPr>
                    <w:pStyle w:val="154"/>
                  </w:pPr>
                  <w:r>
                    <w:t xml:space="preserve">M2 </w:t>
                  </w:r>
                  <w:r>
                    <w:rPr/>
                    <w:sym w:font="Wingdings 2" w:char="00A3"/>
                  </w:r>
                </w:p>
              </w:tc>
              <w:tc>
                <w:tcPr>
                  <w:tcW w:w="1731" w:type="dxa"/>
                  <w:gridSpan w:val="5"/>
                </w:tcPr>
                <w:p>
                  <w:pPr>
                    <w:pStyle w:val="154"/>
                  </w:pPr>
                  <w:r>
                    <w:t xml:space="preserve">M3 </w:t>
                  </w:r>
                  <w:r>
                    <w:rPr/>
                    <w:sym w:font="Wingdings 2" w:char="0052"/>
                  </w:r>
                </w:p>
              </w:tc>
              <w:tc>
                <w:tcPr>
                  <w:tcW w:w="1290" w:type="dxa"/>
                </w:tcPr>
                <w:p>
                  <w:pPr>
                    <w:pStyle w:val="154"/>
                  </w:pPr>
                  <w:r>
                    <w:t xml:space="preserve">M4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vMerge w:val="continue"/>
                </w:tcPr>
                <w:p>
                  <w:pPr>
                    <w:pStyle w:val="154"/>
                  </w:pPr>
                </w:p>
              </w:tc>
              <w:tc>
                <w:tcPr>
                  <w:tcW w:w="909" w:type="dxa"/>
                </w:tcPr>
                <w:p>
                  <w:pPr>
                    <w:pStyle w:val="154"/>
                  </w:pPr>
                  <w:r>
                    <w:t>P值</w:t>
                  </w:r>
                </w:p>
              </w:tc>
              <w:tc>
                <w:tcPr>
                  <w:tcW w:w="2036" w:type="dxa"/>
                  <w:gridSpan w:val="5"/>
                </w:tcPr>
                <w:p>
                  <w:pPr>
                    <w:pStyle w:val="154"/>
                  </w:pPr>
                  <w:r>
                    <w:t xml:space="preserve">P1 </w:t>
                  </w:r>
                  <w:r>
                    <w:rPr/>
                    <w:sym w:font="Wingdings 2" w:char="00A3"/>
                  </w:r>
                </w:p>
              </w:tc>
              <w:tc>
                <w:tcPr>
                  <w:tcW w:w="1553" w:type="dxa"/>
                  <w:gridSpan w:val="6"/>
                </w:tcPr>
                <w:p>
                  <w:pPr>
                    <w:pStyle w:val="154"/>
                  </w:pPr>
                  <w:r>
                    <w:t xml:space="preserve">P2 </w:t>
                  </w:r>
                  <w:r>
                    <w:rPr/>
                    <w:sym w:font="Wingdings 2" w:char="00A3"/>
                  </w:r>
                </w:p>
              </w:tc>
              <w:tc>
                <w:tcPr>
                  <w:tcW w:w="1731" w:type="dxa"/>
                  <w:gridSpan w:val="5"/>
                </w:tcPr>
                <w:p>
                  <w:pPr>
                    <w:pStyle w:val="154"/>
                  </w:pPr>
                  <w:r>
                    <w:t xml:space="preserve">P3 </w:t>
                  </w:r>
                  <w:r>
                    <w:rPr/>
                    <w:sym w:font="Wingdings 2" w:char="00A3"/>
                  </w:r>
                </w:p>
              </w:tc>
              <w:tc>
                <w:tcPr>
                  <w:tcW w:w="1290" w:type="dxa"/>
                </w:tcPr>
                <w:p>
                  <w:pPr>
                    <w:pStyle w:val="154"/>
                  </w:pPr>
                  <w:r>
                    <w:t xml:space="preserve">P4 </w:t>
                  </w:r>
                  <w:r>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vMerge w:val="restart"/>
                  <w:vAlign w:val="center"/>
                </w:tcPr>
                <w:p>
                  <w:pPr>
                    <w:pStyle w:val="154"/>
                  </w:pPr>
                  <w:r>
                    <w:t>环境敏感程度</w:t>
                  </w:r>
                </w:p>
              </w:tc>
              <w:tc>
                <w:tcPr>
                  <w:tcW w:w="909" w:type="dxa"/>
                  <w:vAlign w:val="center"/>
                </w:tcPr>
                <w:p>
                  <w:pPr>
                    <w:pStyle w:val="154"/>
                  </w:pPr>
                  <w:r>
                    <w:t>大气</w:t>
                  </w:r>
                </w:p>
              </w:tc>
              <w:tc>
                <w:tcPr>
                  <w:tcW w:w="2203" w:type="dxa"/>
                  <w:gridSpan w:val="6"/>
                </w:tcPr>
                <w:p>
                  <w:pPr>
                    <w:pStyle w:val="154"/>
                  </w:pPr>
                  <w:r>
                    <w:t xml:space="preserve">E1 </w:t>
                  </w:r>
                  <w:r>
                    <w:rPr/>
                    <w:sym w:font="Wingdings 2" w:char="00A3"/>
                  </w:r>
                </w:p>
              </w:tc>
              <w:tc>
                <w:tcPr>
                  <w:tcW w:w="2202" w:type="dxa"/>
                  <w:gridSpan w:val="7"/>
                </w:tcPr>
                <w:p>
                  <w:pPr>
                    <w:pStyle w:val="154"/>
                  </w:pPr>
                  <w:r>
                    <w:t xml:space="preserve">E2 </w:t>
                  </w:r>
                  <w:r>
                    <w:rPr/>
                    <w:sym w:font="Wingdings 2" w:char="00A3"/>
                  </w:r>
                </w:p>
              </w:tc>
              <w:tc>
                <w:tcPr>
                  <w:tcW w:w="2205" w:type="dxa"/>
                  <w:gridSpan w:val="4"/>
                </w:tcPr>
                <w:p>
                  <w:pPr>
                    <w:pStyle w:val="154"/>
                  </w:pPr>
                  <w:r>
                    <w:t xml:space="preserve">E3 </w:t>
                  </w:r>
                  <w:r>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vMerge w:val="continue"/>
                </w:tcPr>
                <w:p>
                  <w:pPr>
                    <w:pStyle w:val="154"/>
                  </w:pPr>
                </w:p>
              </w:tc>
              <w:tc>
                <w:tcPr>
                  <w:tcW w:w="909" w:type="dxa"/>
                  <w:vAlign w:val="center"/>
                </w:tcPr>
                <w:p>
                  <w:pPr>
                    <w:pStyle w:val="154"/>
                  </w:pPr>
                  <w:r>
                    <w:t>地表水</w:t>
                  </w:r>
                </w:p>
              </w:tc>
              <w:tc>
                <w:tcPr>
                  <w:tcW w:w="2203" w:type="dxa"/>
                  <w:gridSpan w:val="6"/>
                </w:tcPr>
                <w:p>
                  <w:pPr>
                    <w:pStyle w:val="154"/>
                  </w:pPr>
                  <w:r>
                    <w:t xml:space="preserve">E1 </w:t>
                  </w:r>
                  <w:r>
                    <w:rPr/>
                    <w:sym w:font="Wingdings 2" w:char="00A3"/>
                  </w:r>
                </w:p>
              </w:tc>
              <w:tc>
                <w:tcPr>
                  <w:tcW w:w="2202" w:type="dxa"/>
                  <w:gridSpan w:val="7"/>
                </w:tcPr>
                <w:p>
                  <w:pPr>
                    <w:pStyle w:val="154"/>
                  </w:pPr>
                  <w:r>
                    <w:t xml:space="preserve">E2 </w:t>
                  </w:r>
                  <w:r>
                    <w:rPr/>
                    <w:sym w:font="Wingdings 2" w:char="00A3"/>
                  </w:r>
                </w:p>
              </w:tc>
              <w:tc>
                <w:tcPr>
                  <w:tcW w:w="2205" w:type="dxa"/>
                  <w:gridSpan w:val="4"/>
                </w:tcPr>
                <w:p>
                  <w:pPr>
                    <w:pStyle w:val="154"/>
                  </w:pPr>
                  <w:r>
                    <w:t xml:space="preserve">E3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vMerge w:val="continue"/>
                </w:tcPr>
                <w:p>
                  <w:pPr>
                    <w:pStyle w:val="154"/>
                  </w:pPr>
                </w:p>
              </w:tc>
              <w:tc>
                <w:tcPr>
                  <w:tcW w:w="909" w:type="dxa"/>
                  <w:vAlign w:val="center"/>
                </w:tcPr>
                <w:p>
                  <w:pPr>
                    <w:pStyle w:val="154"/>
                  </w:pPr>
                  <w:r>
                    <w:t>地下水</w:t>
                  </w:r>
                </w:p>
              </w:tc>
              <w:tc>
                <w:tcPr>
                  <w:tcW w:w="2203" w:type="dxa"/>
                  <w:gridSpan w:val="6"/>
                </w:tcPr>
                <w:p>
                  <w:pPr>
                    <w:pStyle w:val="154"/>
                  </w:pPr>
                  <w:r>
                    <w:t xml:space="preserve">E1 </w:t>
                  </w:r>
                  <w:r>
                    <w:rPr/>
                    <w:sym w:font="Wingdings 2" w:char="00A3"/>
                  </w:r>
                </w:p>
              </w:tc>
              <w:tc>
                <w:tcPr>
                  <w:tcW w:w="2202" w:type="dxa"/>
                  <w:gridSpan w:val="7"/>
                </w:tcPr>
                <w:p>
                  <w:pPr>
                    <w:pStyle w:val="154"/>
                  </w:pPr>
                  <w:r>
                    <w:t xml:space="preserve">E2 </w:t>
                  </w:r>
                  <w:r>
                    <w:rPr/>
                    <w:sym w:font="Wingdings 2" w:char="00A3"/>
                  </w:r>
                </w:p>
              </w:tc>
              <w:tc>
                <w:tcPr>
                  <w:tcW w:w="2205" w:type="dxa"/>
                  <w:gridSpan w:val="4"/>
                </w:tcPr>
                <w:p>
                  <w:pPr>
                    <w:pStyle w:val="154"/>
                  </w:pPr>
                  <w:r>
                    <w:t xml:space="preserve">E3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tcPr>
                <w:p>
                  <w:pPr>
                    <w:pStyle w:val="154"/>
                  </w:pPr>
                  <w:r>
                    <w:t>环境风险潜势</w:t>
                  </w:r>
                </w:p>
              </w:tc>
              <w:tc>
                <w:tcPr>
                  <w:tcW w:w="1222" w:type="dxa"/>
                  <w:gridSpan w:val="2"/>
                  <w:vAlign w:val="center"/>
                </w:tcPr>
                <w:p>
                  <w:pPr>
                    <w:pStyle w:val="154"/>
                  </w:pPr>
                  <w:r>
                    <w:t xml:space="preserve">Ⅳ+ </w:t>
                  </w:r>
                  <w:r>
                    <w:rPr/>
                    <w:sym w:font="Wingdings 2" w:char="00A3"/>
                  </w:r>
                </w:p>
              </w:tc>
              <w:tc>
                <w:tcPr>
                  <w:tcW w:w="1572" w:type="dxa"/>
                  <w:gridSpan w:val="3"/>
                  <w:vAlign w:val="center"/>
                </w:tcPr>
                <w:p>
                  <w:pPr>
                    <w:pStyle w:val="154"/>
                  </w:pPr>
                  <w:r>
                    <w:t xml:space="preserve">Ⅳ </w:t>
                  </w:r>
                  <w:r>
                    <w:rPr/>
                    <w:sym w:font="Wingdings 2" w:char="00A3"/>
                  </w:r>
                </w:p>
              </w:tc>
              <w:tc>
                <w:tcPr>
                  <w:tcW w:w="1573" w:type="dxa"/>
                  <w:gridSpan w:val="6"/>
                  <w:vAlign w:val="center"/>
                </w:tcPr>
                <w:p>
                  <w:pPr>
                    <w:pStyle w:val="154"/>
                  </w:pPr>
                  <w:r>
                    <w:t xml:space="preserve">Ⅲ </w:t>
                  </w:r>
                  <w:r>
                    <w:rPr/>
                    <w:sym w:font="Wingdings 2" w:char="00A3"/>
                  </w:r>
                </w:p>
              </w:tc>
              <w:tc>
                <w:tcPr>
                  <w:tcW w:w="1573" w:type="dxa"/>
                  <w:gridSpan w:val="5"/>
                  <w:vAlign w:val="center"/>
                </w:tcPr>
                <w:p>
                  <w:pPr>
                    <w:pStyle w:val="154"/>
                  </w:pPr>
                  <w:r>
                    <w:t xml:space="preserve">Ⅱ </w:t>
                  </w:r>
                  <w:r>
                    <w:rPr/>
                    <w:sym w:font="Wingdings 2" w:char="00A3"/>
                  </w:r>
                </w:p>
              </w:tc>
              <w:tc>
                <w:tcPr>
                  <w:tcW w:w="1579" w:type="dxa"/>
                  <w:gridSpan w:val="2"/>
                  <w:vAlign w:val="center"/>
                </w:tcPr>
                <w:p>
                  <w:pPr>
                    <w:pStyle w:val="154"/>
                  </w:pPr>
                  <w:r>
                    <w:t xml:space="preserve">Ⅰ </w:t>
                  </w:r>
                  <w:r>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tcPr>
                <w:p>
                  <w:pPr>
                    <w:pStyle w:val="154"/>
                  </w:pPr>
                  <w:r>
                    <w:t>评价等级</w:t>
                  </w:r>
                </w:p>
              </w:tc>
              <w:tc>
                <w:tcPr>
                  <w:tcW w:w="2794" w:type="dxa"/>
                  <w:gridSpan w:val="5"/>
                </w:tcPr>
                <w:p>
                  <w:pPr>
                    <w:pStyle w:val="154"/>
                  </w:pPr>
                  <w:r>
                    <w:t xml:space="preserve">一级 </w:t>
                  </w:r>
                  <w:r>
                    <w:rPr/>
                    <w:sym w:font="Wingdings 2" w:char="00A3"/>
                  </w:r>
                </w:p>
              </w:tc>
              <w:tc>
                <w:tcPr>
                  <w:tcW w:w="1573" w:type="dxa"/>
                  <w:gridSpan w:val="6"/>
                </w:tcPr>
                <w:p>
                  <w:pPr>
                    <w:pStyle w:val="154"/>
                  </w:pPr>
                  <w:r>
                    <w:t xml:space="preserve">二级 </w:t>
                  </w:r>
                  <w:r>
                    <w:rPr/>
                    <w:sym w:font="Wingdings 2" w:char="00A3"/>
                  </w:r>
                </w:p>
              </w:tc>
              <w:tc>
                <w:tcPr>
                  <w:tcW w:w="1573" w:type="dxa"/>
                  <w:gridSpan w:val="5"/>
                </w:tcPr>
                <w:p>
                  <w:pPr>
                    <w:pStyle w:val="154"/>
                  </w:pPr>
                  <w:r>
                    <w:t xml:space="preserve">三级 </w:t>
                  </w:r>
                  <w:r>
                    <w:rPr/>
                    <w:sym w:font="Wingdings 2" w:char="00A3"/>
                  </w:r>
                </w:p>
              </w:tc>
              <w:tc>
                <w:tcPr>
                  <w:tcW w:w="1579" w:type="dxa"/>
                  <w:gridSpan w:val="2"/>
                </w:tcPr>
                <w:p>
                  <w:pPr>
                    <w:pStyle w:val="154"/>
                  </w:pPr>
                  <w:r>
                    <w:t xml:space="preserve">简单分析 </w:t>
                  </w:r>
                  <w:r>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restart"/>
                </w:tcPr>
                <w:p>
                  <w:pPr>
                    <w:pStyle w:val="154"/>
                  </w:pPr>
                  <w:r>
                    <w:t>风险识别</w:t>
                  </w:r>
                </w:p>
              </w:tc>
              <w:tc>
                <w:tcPr>
                  <w:tcW w:w="1362" w:type="dxa"/>
                </w:tcPr>
                <w:p>
                  <w:pPr>
                    <w:pStyle w:val="154"/>
                  </w:pPr>
                  <w:r>
                    <w:t>物质危险性</w:t>
                  </w:r>
                </w:p>
              </w:tc>
              <w:tc>
                <w:tcPr>
                  <w:tcW w:w="3583" w:type="dxa"/>
                  <w:gridSpan w:val="9"/>
                  <w:vAlign w:val="center"/>
                </w:tcPr>
                <w:p>
                  <w:pPr>
                    <w:pStyle w:val="154"/>
                  </w:pPr>
                  <w:r>
                    <w:t xml:space="preserve">有毒有害 </w:t>
                  </w:r>
                  <w:r>
                    <w:rPr/>
                    <w:sym w:font="Wingdings 2" w:char="00A3"/>
                  </w:r>
                </w:p>
              </w:tc>
              <w:tc>
                <w:tcPr>
                  <w:tcW w:w="3936" w:type="dxa"/>
                  <w:gridSpan w:val="9"/>
                  <w:vAlign w:val="center"/>
                </w:tcPr>
                <w:p>
                  <w:pPr>
                    <w:pStyle w:val="154"/>
                  </w:pPr>
                  <w:r>
                    <w:t xml:space="preserve">易燃易爆 </w:t>
                  </w:r>
                  <w:r>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tcPr>
                <w:p>
                  <w:pPr>
                    <w:pStyle w:val="154"/>
                  </w:pPr>
                  <w:r>
                    <w:t>环境风险类型</w:t>
                  </w:r>
                </w:p>
              </w:tc>
              <w:tc>
                <w:tcPr>
                  <w:tcW w:w="3200" w:type="dxa"/>
                  <w:gridSpan w:val="8"/>
                  <w:vAlign w:val="center"/>
                </w:tcPr>
                <w:p>
                  <w:pPr>
                    <w:pStyle w:val="154"/>
                  </w:pPr>
                  <w:r>
                    <w:t xml:space="preserve">泄露 </w:t>
                  </w:r>
                  <w:r>
                    <w:rPr/>
                    <w:sym w:font="Wingdings 2" w:char="0052"/>
                  </w:r>
                </w:p>
              </w:tc>
              <w:tc>
                <w:tcPr>
                  <w:tcW w:w="4319" w:type="dxa"/>
                  <w:gridSpan w:val="10"/>
                  <w:vAlign w:val="center"/>
                </w:tcPr>
                <w:p>
                  <w:pPr>
                    <w:pStyle w:val="154"/>
                  </w:pPr>
                  <w:r>
                    <w:t xml:space="preserve">火灾、爆炸引发伴生/次生污染物排放 </w:t>
                  </w:r>
                  <w:r>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tcPr>
                <w:p>
                  <w:pPr>
                    <w:pStyle w:val="154"/>
                  </w:pPr>
                  <w:r>
                    <w:t>影响途径</w:t>
                  </w:r>
                </w:p>
              </w:tc>
              <w:tc>
                <w:tcPr>
                  <w:tcW w:w="2505" w:type="dxa"/>
                  <w:gridSpan w:val="4"/>
                </w:tcPr>
                <w:p>
                  <w:pPr>
                    <w:pStyle w:val="154"/>
                  </w:pPr>
                  <w:r>
                    <w:t xml:space="preserve">大气 </w:t>
                  </w:r>
                  <w:r>
                    <w:rPr/>
                    <w:sym w:font="Wingdings 2" w:char="0052"/>
                  </w:r>
                </w:p>
              </w:tc>
              <w:tc>
                <w:tcPr>
                  <w:tcW w:w="2505" w:type="dxa"/>
                  <w:gridSpan w:val="9"/>
                </w:tcPr>
                <w:p>
                  <w:pPr>
                    <w:pStyle w:val="154"/>
                  </w:pPr>
                  <w:r>
                    <w:t xml:space="preserve">地表水 </w:t>
                  </w:r>
                  <w:r>
                    <w:rPr/>
                    <w:sym w:font="Wingdings 2" w:char="00A3"/>
                  </w:r>
                </w:p>
              </w:tc>
              <w:tc>
                <w:tcPr>
                  <w:tcW w:w="2509" w:type="dxa"/>
                  <w:gridSpan w:val="5"/>
                </w:tcPr>
                <w:p>
                  <w:pPr>
                    <w:pStyle w:val="154"/>
                  </w:pPr>
                  <w:r>
                    <w:t xml:space="preserve">地下水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tcPr>
                <w:p>
                  <w:pPr>
                    <w:pStyle w:val="154"/>
                  </w:pPr>
                  <w:r>
                    <w:t>事故情形分析</w:t>
                  </w:r>
                </w:p>
              </w:tc>
              <w:tc>
                <w:tcPr>
                  <w:tcW w:w="1879" w:type="dxa"/>
                  <w:gridSpan w:val="3"/>
                </w:tcPr>
                <w:p>
                  <w:pPr>
                    <w:pStyle w:val="154"/>
                  </w:pPr>
                  <w:r>
                    <w:t>源强设定方法</w:t>
                  </w:r>
                </w:p>
              </w:tc>
              <w:tc>
                <w:tcPr>
                  <w:tcW w:w="1879" w:type="dxa"/>
                  <w:gridSpan w:val="7"/>
                </w:tcPr>
                <w:p>
                  <w:pPr>
                    <w:pStyle w:val="154"/>
                  </w:pPr>
                  <w:r>
                    <w:t xml:space="preserve">计算法 </w:t>
                  </w:r>
                  <w:r>
                    <w:rPr/>
                    <w:sym w:font="Wingdings 2" w:char="00A3"/>
                  </w:r>
                </w:p>
              </w:tc>
              <w:tc>
                <w:tcPr>
                  <w:tcW w:w="1880" w:type="dxa"/>
                  <w:gridSpan w:val="5"/>
                </w:tcPr>
                <w:p>
                  <w:pPr>
                    <w:pStyle w:val="154"/>
                  </w:pPr>
                  <w:r>
                    <w:t xml:space="preserve">经验估算法 </w:t>
                  </w:r>
                  <w:r>
                    <w:rPr/>
                    <w:sym w:font="Wingdings 2" w:char="0052"/>
                  </w:r>
                </w:p>
              </w:tc>
              <w:tc>
                <w:tcPr>
                  <w:tcW w:w="1881" w:type="dxa"/>
                  <w:gridSpan w:val="3"/>
                </w:tcPr>
                <w:p>
                  <w:pPr>
                    <w:pStyle w:val="154"/>
                  </w:pPr>
                  <w:r>
                    <w:t xml:space="preserve">其他估算法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restart"/>
                </w:tcPr>
                <w:p>
                  <w:pPr>
                    <w:pStyle w:val="154"/>
                  </w:pPr>
                  <w:r>
                    <w:t>风险预测与评价</w:t>
                  </w:r>
                </w:p>
              </w:tc>
              <w:tc>
                <w:tcPr>
                  <w:tcW w:w="1362" w:type="dxa"/>
                  <w:vMerge w:val="restart"/>
                  <w:vAlign w:val="center"/>
                </w:tcPr>
                <w:p>
                  <w:pPr>
                    <w:pStyle w:val="154"/>
                  </w:pPr>
                  <w:r>
                    <w:t>大气</w:t>
                  </w:r>
                </w:p>
              </w:tc>
              <w:tc>
                <w:tcPr>
                  <w:tcW w:w="909" w:type="dxa"/>
                </w:tcPr>
                <w:p>
                  <w:pPr>
                    <w:pStyle w:val="154"/>
                  </w:pPr>
                  <w:r>
                    <w:t>预测模型</w:t>
                  </w:r>
                </w:p>
              </w:tc>
              <w:tc>
                <w:tcPr>
                  <w:tcW w:w="2203" w:type="dxa"/>
                  <w:gridSpan w:val="6"/>
                  <w:vAlign w:val="center"/>
                </w:tcPr>
                <w:p>
                  <w:pPr>
                    <w:pStyle w:val="154"/>
                  </w:pPr>
                  <w:r>
                    <w:t xml:space="preserve">SLAB </w:t>
                  </w:r>
                  <w:r>
                    <w:rPr/>
                    <w:sym w:font="Wingdings 2" w:char="00A3"/>
                  </w:r>
                </w:p>
              </w:tc>
              <w:tc>
                <w:tcPr>
                  <w:tcW w:w="2202" w:type="dxa"/>
                  <w:gridSpan w:val="7"/>
                  <w:vAlign w:val="center"/>
                </w:tcPr>
                <w:p>
                  <w:pPr>
                    <w:pStyle w:val="154"/>
                  </w:pPr>
                  <w:r>
                    <w:t xml:space="preserve">AFTOX </w:t>
                  </w:r>
                  <w:r>
                    <w:rPr/>
                    <w:sym w:font="Wingdings 2" w:char="00A3"/>
                  </w:r>
                </w:p>
              </w:tc>
              <w:tc>
                <w:tcPr>
                  <w:tcW w:w="2205" w:type="dxa"/>
                  <w:gridSpan w:val="4"/>
                  <w:vAlign w:val="center"/>
                </w:tcPr>
                <w:p>
                  <w:pPr>
                    <w:pStyle w:val="154"/>
                  </w:pPr>
                  <w:r>
                    <w:t xml:space="preserve">其他 </w:t>
                  </w:r>
                  <w:r>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restart"/>
                  <w:vAlign w:val="center"/>
                </w:tcPr>
                <w:p>
                  <w:pPr>
                    <w:pStyle w:val="154"/>
                  </w:pPr>
                  <w:r>
                    <w:t>预测结果</w:t>
                  </w:r>
                </w:p>
              </w:tc>
              <w:tc>
                <w:tcPr>
                  <w:tcW w:w="6610" w:type="dxa"/>
                  <w:gridSpan w:val="17"/>
                </w:tcPr>
                <w:p>
                  <w:pPr>
                    <w:pStyle w:val="154"/>
                  </w:pPr>
                  <w:r>
                    <w:t>大气毒性终点浓度-1  最大影响范围  / 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909" w:type="dxa"/>
                  <w:vMerge w:val="continue"/>
                </w:tcPr>
                <w:p>
                  <w:pPr>
                    <w:pStyle w:val="154"/>
                  </w:pPr>
                </w:p>
              </w:tc>
              <w:tc>
                <w:tcPr>
                  <w:tcW w:w="6610" w:type="dxa"/>
                  <w:gridSpan w:val="17"/>
                </w:tcPr>
                <w:p>
                  <w:pPr>
                    <w:pStyle w:val="154"/>
                  </w:pPr>
                  <w:r>
                    <w:t>大气毒性终点浓度-2  最大影响范围  / 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tcPr>
                <w:p>
                  <w:pPr>
                    <w:pStyle w:val="154"/>
                  </w:pPr>
                  <w:r>
                    <w:t>地表水</w:t>
                  </w:r>
                </w:p>
              </w:tc>
              <w:tc>
                <w:tcPr>
                  <w:tcW w:w="7519" w:type="dxa"/>
                  <w:gridSpan w:val="18"/>
                </w:tcPr>
                <w:p>
                  <w:pPr>
                    <w:pStyle w:val="154"/>
                  </w:pPr>
                  <w:r>
                    <w:t>最近环境敏感目标  / ，到达时间 / 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restart"/>
                  <w:vAlign w:val="center"/>
                </w:tcPr>
                <w:p>
                  <w:pPr>
                    <w:pStyle w:val="154"/>
                  </w:pPr>
                  <w:r>
                    <w:t>地下水</w:t>
                  </w:r>
                </w:p>
              </w:tc>
              <w:tc>
                <w:tcPr>
                  <w:tcW w:w="7519" w:type="dxa"/>
                  <w:gridSpan w:val="18"/>
                </w:tcPr>
                <w:p>
                  <w:pPr>
                    <w:pStyle w:val="154"/>
                  </w:pPr>
                  <w:r>
                    <w:t>下游厂区边界到达时间 / 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dxa"/>
                  <w:vMerge w:val="continue"/>
                </w:tcPr>
                <w:p>
                  <w:pPr>
                    <w:pStyle w:val="154"/>
                  </w:pPr>
                </w:p>
              </w:tc>
              <w:tc>
                <w:tcPr>
                  <w:tcW w:w="1362" w:type="dxa"/>
                  <w:vMerge w:val="continue"/>
                </w:tcPr>
                <w:p>
                  <w:pPr>
                    <w:pStyle w:val="154"/>
                  </w:pPr>
                </w:p>
              </w:tc>
              <w:tc>
                <w:tcPr>
                  <w:tcW w:w="7519" w:type="dxa"/>
                  <w:gridSpan w:val="18"/>
                </w:tcPr>
                <w:p>
                  <w:pPr>
                    <w:pStyle w:val="154"/>
                  </w:pPr>
                  <w:r>
                    <w:t>最近环境敏感目标  / ，到达时间 / 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tcPr>
                <w:p>
                  <w:pPr>
                    <w:pStyle w:val="154"/>
                  </w:pPr>
                  <w:r>
                    <w:t>重点风险防范措施</w:t>
                  </w:r>
                </w:p>
              </w:tc>
              <w:tc>
                <w:tcPr>
                  <w:tcW w:w="7519" w:type="dxa"/>
                  <w:gridSpan w:val="18"/>
                </w:tcPr>
                <w:p>
                  <w:pPr>
                    <w:pStyle w:val="154"/>
                  </w:pPr>
                  <w:r>
                    <w:t>为了防范事故、减小危害，建设项目从总图布置、防火防爆、消防设施、防静电危害、可燃气体报警安全管理对策等方面编制了详细的风险防范措施，并制定应急预案提出相关要求。当出现事故时，要采取紧急的工程应急措施，如有必要，应采取社会应急措施，以控制事故和减少对环境造成的危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69" w:type="dxa"/>
                  <w:gridSpan w:val="2"/>
                </w:tcPr>
                <w:p>
                  <w:pPr>
                    <w:pStyle w:val="154"/>
                  </w:pPr>
                  <w:r>
                    <w:t>评价结论与建议</w:t>
                  </w:r>
                </w:p>
              </w:tc>
              <w:tc>
                <w:tcPr>
                  <w:tcW w:w="7519" w:type="dxa"/>
                  <w:gridSpan w:val="18"/>
                </w:tcPr>
                <w:p>
                  <w:pPr>
                    <w:pStyle w:val="154"/>
                  </w:pPr>
                  <w:r>
                    <w:t>建设项目环境风险可控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288" w:type="dxa"/>
                  <w:gridSpan w:val="20"/>
                </w:tcPr>
                <w:p>
                  <w:pPr>
                    <w:pStyle w:val="154"/>
                  </w:pPr>
                  <w:r>
                    <w:t>注：“□”为勾选项，“   ”为填写项。</w:t>
                  </w:r>
                </w:p>
              </w:tc>
            </w:tr>
          </w:tbl>
          <w:p>
            <w:pPr>
              <w:pStyle w:val="9"/>
              <w:rPr>
                <w:rFonts w:ascii="Times New Roman" w:hAnsi="Times New Roman" w:cs="Times New Roman"/>
                <w:bCs/>
              </w:rPr>
            </w:pPr>
          </w:p>
          <w:p>
            <w:pPr>
              <w:tabs>
                <w:tab w:val="left" w:pos="2445"/>
              </w:tabs>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九</w:t>
            </w:r>
            <w:r>
              <w:rPr>
                <w:rFonts w:ascii="Times New Roman" w:hAnsi="Times New Roman"/>
                <w:color w:val="000000"/>
                <w:sz w:val="24"/>
                <w:szCs w:val="24"/>
              </w:rPr>
              <w:t>、环境管理及监测计划</w:t>
            </w:r>
          </w:p>
          <w:p>
            <w:pPr>
              <w:pStyle w:val="4"/>
              <w:pageBreakBefore w:val="0"/>
              <w:widowControl w:val="0"/>
              <w:kinsoku/>
              <w:wordWrap/>
              <w:overflowPunct/>
              <w:topLinePunct w:val="0"/>
              <w:autoSpaceDE/>
              <w:autoSpaceDN/>
              <w:bidi w:val="0"/>
              <w:adjustRightInd/>
              <w:snapToGrid/>
              <w:spacing w:before="0" w:beforeLines="0" w:after="0" w:afterLines="0"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1、工程环境监理重点</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本项目工程环境监理的工作重点内容包括环保达标监理和环保工程监理。</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环保达标监理指对主体工程的施工过程是否符合环境保护的要求进行监理，如噪声、废气、污水等排放应达到有关的标准等，施工是否造成水土流失和生态环境破坏，是否符合有关环境保护法律、法规规定等进行监理。</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环保工程监理是指对为保护施工和营运期的环境而建设的各项环境保护设施（包括临时工程）进行监理，如施工污水处理设施、临时隔声装置、绿化工程、土地复垦工程（包括弃土压实、拦渣工程、排水工程等）等。</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cs="Times New Roman"/>
                <w:bCs w:val="0"/>
                <w:color w:val="000000"/>
                <w:kern w:val="2"/>
                <w:sz w:val="24"/>
                <w:szCs w:val="24"/>
                <w:lang w:val="en-US" w:eastAsia="zh-CN" w:bidi="ar-SA"/>
              </w:rPr>
              <w:t>1</w:t>
            </w:r>
            <w:r>
              <w:rPr>
                <w:rFonts w:hint="eastAsia" w:ascii="Times New Roman" w:hAnsi="Times New Roman" w:eastAsia="宋体" w:cs="Times New Roman"/>
                <w:bCs w:val="0"/>
                <w:color w:val="000000"/>
                <w:kern w:val="2"/>
                <w:sz w:val="24"/>
                <w:szCs w:val="24"/>
                <w:lang w:val="en-US" w:eastAsia="zh-CN" w:bidi="ar-SA"/>
              </w:rPr>
              <w:t>）环保达标监理</w:t>
            </w:r>
          </w:p>
          <w:p>
            <w:pPr>
              <w:pStyle w:val="5"/>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本项目环保达标监理的重点为主题工程，结合环评中提出的各项环保措施，对本项目提出以下环境监理要求，其监理内容要点见表10.3-1。</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cs="Times New Roman"/>
                <w:bCs w:val="0"/>
                <w:color w:val="000000"/>
                <w:kern w:val="2"/>
                <w:sz w:val="24"/>
                <w:szCs w:val="24"/>
                <w:lang w:val="en-US" w:eastAsia="zh-CN" w:bidi="ar-SA"/>
              </w:rPr>
              <w:t>2</w:t>
            </w:r>
            <w:r>
              <w:rPr>
                <w:rFonts w:hint="eastAsia" w:ascii="Times New Roman" w:hAnsi="Times New Roman" w:eastAsia="宋体" w:cs="Times New Roman"/>
                <w:bCs w:val="0"/>
                <w:color w:val="000000"/>
                <w:kern w:val="2"/>
                <w:sz w:val="24"/>
                <w:szCs w:val="24"/>
                <w:lang w:val="en-US" w:eastAsia="zh-CN" w:bidi="ar-SA"/>
              </w:rPr>
              <w:t>）环保工程监理</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环保工程与其它管道主体工程一样，实施质量、进度和费用监理，其建立的重点为质量监理。环保工程的质量监理内容及方法按交通行业有关标准、规范进行。</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cs="Times New Roman"/>
                <w:bCs w:val="0"/>
                <w:color w:val="000000"/>
                <w:kern w:val="2"/>
                <w:sz w:val="24"/>
                <w:szCs w:val="24"/>
                <w:lang w:val="en-US" w:eastAsia="zh-CN" w:bidi="ar-SA"/>
              </w:rPr>
              <w:t>3</w:t>
            </w:r>
            <w:r>
              <w:rPr>
                <w:rFonts w:hint="eastAsia" w:ascii="Times New Roman" w:hAnsi="Times New Roman" w:eastAsia="宋体" w:cs="Times New Roman"/>
                <w:bCs w:val="0"/>
                <w:color w:val="000000"/>
                <w:kern w:val="2"/>
                <w:sz w:val="24"/>
                <w:szCs w:val="24"/>
                <w:lang w:val="en-US" w:eastAsia="zh-CN" w:bidi="ar-SA"/>
              </w:rPr>
              <w:t>）建立环境监管档案及编写监理日志</w:t>
            </w:r>
          </w:p>
          <w:p>
            <w:pPr>
              <w:pStyle w:val="5"/>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val="0"/>
                <w:color w:val="000000"/>
                <w:kern w:val="2"/>
                <w:sz w:val="24"/>
                <w:szCs w:val="24"/>
                <w:lang w:val="en-US" w:eastAsia="zh-CN" w:bidi="ar-SA"/>
              </w:rPr>
            </w:pPr>
            <w:r>
              <w:rPr>
                <w:rFonts w:hint="eastAsia" w:ascii="Times New Roman" w:hAnsi="Times New Roman" w:eastAsia="宋体" w:cs="Times New Roman"/>
                <w:bCs w:val="0"/>
                <w:color w:val="000000"/>
                <w:kern w:val="2"/>
                <w:sz w:val="24"/>
                <w:szCs w:val="24"/>
                <w:lang w:val="en-US" w:eastAsia="zh-CN" w:bidi="ar-SA"/>
              </w:rPr>
              <w:t>派出环境监理人员对施工区进行现场检查、监测，全面监督和检查项目区环保措施的实施及其效果，建立施工期环境监管档案并编写环境监理日志。</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r>
              <w:rPr>
                <w:rFonts w:hint="eastAsia" w:ascii="Times New Roman" w:hAnsi="Times New Roman" w:eastAsia="宋体" w:cs="Times New Roman"/>
                <w:b/>
                <w:color w:val="000000"/>
                <w:kern w:val="0"/>
                <w:sz w:val="24"/>
                <w:szCs w:val="24"/>
                <w:lang w:val="en-US" w:eastAsia="zh-CN" w:bidi="ar-SA"/>
              </w:rPr>
              <w:t>表7-32     拟建管线工程环境监理重点及内容</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2164"/>
              <w:gridCol w:w="1121"/>
              <w:gridCol w:w="4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trPr>
              <w:tc>
                <w:tcPr>
                  <w:tcW w:w="643"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单位工程</w:t>
                  </w:r>
                </w:p>
              </w:tc>
              <w:tc>
                <w:tcPr>
                  <w:tcW w:w="1192"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监理地点</w:t>
                  </w:r>
                </w:p>
              </w:tc>
              <w:tc>
                <w:tcPr>
                  <w:tcW w:w="617"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监理方法</w:t>
                  </w:r>
                </w:p>
              </w:tc>
              <w:tc>
                <w:tcPr>
                  <w:tcW w:w="2545"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监理重点及内容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管沟工程</w:t>
                  </w:r>
                </w:p>
              </w:tc>
              <w:tc>
                <w:tcPr>
                  <w:tcW w:w="1192" w:type="pct"/>
                  <w:shd w:val="clear" w:color="auto" w:fill="auto"/>
                  <w:vAlign w:val="center"/>
                </w:tcPr>
                <w:p>
                  <w:pPr>
                    <w:widowControl w:val="0"/>
                    <w:autoSpaceDE w:val="0"/>
                    <w:autoSpaceDN w:val="0"/>
                    <w:adjustRightInd w:val="0"/>
                    <w:jc w:val="center"/>
                    <w:rPr>
                      <w:rFonts w:hint="default" w:ascii="Times New Roman" w:hAnsi="Times New Roman" w:eastAsia="宋体" w:cs="Times New Roman"/>
                      <w:spacing w:val="5"/>
                      <w:sz w:val="21"/>
                      <w:szCs w:val="21"/>
                    </w:rPr>
                  </w:pPr>
                  <w:r>
                    <w:rPr>
                      <w:rFonts w:hint="default" w:ascii="Times New Roman" w:hAnsi="Times New Roman" w:eastAsia="宋体" w:cs="Times New Roman"/>
                      <w:sz w:val="21"/>
                      <w:szCs w:val="21"/>
                    </w:rPr>
                    <w:t>沿线基本农田</w:t>
                  </w:r>
                </w:p>
              </w:tc>
              <w:tc>
                <w:tcPr>
                  <w:tcW w:w="617" w:type="pc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旁站</w:t>
                  </w:r>
                </w:p>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巡视</w:t>
                  </w:r>
                </w:p>
              </w:tc>
              <w:tc>
                <w:tcPr>
                  <w:tcW w:w="2545" w:type="pct"/>
                  <w:shd w:val="clear" w:color="auto" w:fill="auto"/>
                  <w:vAlign w:val="center"/>
                </w:tcPr>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临时用地的恢复和耕地复垦等措施的执行情况；</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管道开挖作业时，对挖出的土壤是否按“分层开挖、分层堆放、分层回填”的原则进行；</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回填后多余的土方是否有随意丢弃的现象；</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施工带宽度选择是否合理，是否有超越施工带施工作业的现象；</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施工期是否避开农作物的生长季节。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trPr>
              <w:tc>
                <w:tcPr>
                  <w:tcW w:w="643" w:type="pct"/>
                  <w:vMerge w:val="restar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穿越工程</w:t>
                  </w:r>
                </w:p>
              </w:tc>
              <w:tc>
                <w:tcPr>
                  <w:tcW w:w="1192"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高速公路、县道、其他道路</w:t>
                  </w:r>
                </w:p>
              </w:tc>
              <w:tc>
                <w:tcPr>
                  <w:tcW w:w="617" w:type="pct"/>
                  <w:vMerge w:val="restar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现场监测</w:t>
                  </w:r>
                </w:p>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巡视</w:t>
                  </w:r>
                </w:p>
              </w:tc>
              <w:tc>
                <w:tcPr>
                  <w:tcW w:w="2545" w:type="pct"/>
                  <w:vMerge w:val="restart"/>
                  <w:shd w:val="clear" w:color="auto" w:fill="auto"/>
                  <w:vAlign w:val="center"/>
                </w:tcPr>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现场抽测声环境敏感路段的场界噪声达标情况；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检查河流是否按设计要求穿越为定向钻施工，检查小河穿越是否安排在枯水期施工，抽测小河水质情况；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检查基础开挖是否有随意丢弃沿线沟渠的现象；水保措施是否到位；</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检查是否都设置了定向钻、顶管施工泥浆水处理、泥浆处置设施，是否设置了清管试压废水收集、处理设施，检查监督施工单位生活和生产污水是否回用，未随意排放；</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监督作业期间水环境保护措施的落实情况；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检查施工点及施工点上下游河段是否有设置预留饮用水源地保护宣传牌；</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检查穿越工程临时占地的生态恢复措施、监管生态恢复效果。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pct"/>
                  <w:vMerge w:val="continue"/>
                  <w:shd w:val="clear" w:color="auto" w:fill="auto"/>
                  <w:vAlign w:val="center"/>
                </w:tcPr>
                <w:p>
                  <w:pPr>
                    <w:pStyle w:val="102"/>
                    <w:rPr>
                      <w:rFonts w:hint="default" w:ascii="Times New Roman" w:hAnsi="Times New Roman" w:eastAsia="宋体" w:cs="Times New Roman"/>
                      <w:spacing w:val="5"/>
                      <w:sz w:val="21"/>
                      <w:szCs w:val="21"/>
                      <w:highlight w:val="yellow"/>
                    </w:rPr>
                  </w:pPr>
                </w:p>
              </w:tc>
              <w:tc>
                <w:tcPr>
                  <w:tcW w:w="1192" w:type="pct"/>
                  <w:shd w:val="clear" w:color="auto" w:fill="auto"/>
                  <w:vAlign w:val="center"/>
                </w:tcPr>
                <w:p>
                  <w:pPr>
                    <w:pStyle w:val="102"/>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水渠及鱼塘</w:t>
                  </w:r>
                </w:p>
              </w:tc>
              <w:tc>
                <w:tcPr>
                  <w:tcW w:w="617" w:type="pct"/>
                  <w:vMerge w:val="continue"/>
                  <w:shd w:val="clear" w:color="auto" w:fill="auto"/>
                  <w:vAlign w:val="center"/>
                </w:tcPr>
                <w:p>
                  <w:pPr>
                    <w:pStyle w:val="102"/>
                    <w:rPr>
                      <w:rFonts w:hint="default" w:ascii="Times New Roman" w:hAnsi="Times New Roman" w:eastAsia="宋体" w:cs="Times New Roman"/>
                      <w:sz w:val="21"/>
                      <w:szCs w:val="21"/>
                      <w:highlight w:val="yellow"/>
                    </w:rPr>
                  </w:pPr>
                </w:p>
              </w:tc>
              <w:tc>
                <w:tcPr>
                  <w:tcW w:w="2545" w:type="pct"/>
                  <w:vMerge w:val="continue"/>
                  <w:shd w:val="clear" w:color="auto" w:fill="auto"/>
                  <w:vAlign w:val="center"/>
                </w:tcPr>
                <w:p>
                  <w:pPr>
                    <w:pStyle w:val="102"/>
                    <w:jc w:val="both"/>
                    <w:rPr>
                      <w:rFonts w:hint="default" w:ascii="Times New Roman" w:hAnsi="Times New Roman" w:eastAsia="宋体" w:cs="Times New Roman"/>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pc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表土临时堆场</w:t>
                  </w:r>
                </w:p>
              </w:tc>
              <w:tc>
                <w:tcPr>
                  <w:tcW w:w="1192" w:type="pc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沿线表土临时堆场</w:t>
                  </w:r>
                </w:p>
              </w:tc>
              <w:tc>
                <w:tcPr>
                  <w:tcW w:w="617" w:type="pc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巡视</w:t>
                  </w:r>
                </w:p>
              </w:tc>
              <w:tc>
                <w:tcPr>
                  <w:tcW w:w="2545" w:type="pct"/>
                  <w:shd w:val="clear" w:color="auto" w:fill="auto"/>
                  <w:vAlign w:val="center"/>
                </w:tcPr>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审核表土的变更情况；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检查表土</w:t>
                  </w:r>
                  <w:r>
                    <w:rPr>
                      <w:rFonts w:hint="default" w:ascii="Times New Roman" w:hAnsi="Times New Roman" w:eastAsia="宋体" w:cs="Times New Roman"/>
                      <w:spacing w:val="5"/>
                      <w:sz w:val="21"/>
                      <w:szCs w:val="21"/>
                    </w:rPr>
                    <w:t>临时堆</w:t>
                  </w:r>
                  <w:r>
                    <w:rPr>
                      <w:rFonts w:hint="default" w:ascii="Times New Roman" w:hAnsi="Times New Roman" w:eastAsia="宋体" w:cs="Times New Roman"/>
                      <w:sz w:val="21"/>
                      <w:szCs w:val="21"/>
                    </w:rPr>
                    <w:t>场拦渣工程的建设情况；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检查施工完毕后表土是否及时回填；</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加强避开农耕季节施工，耕作层、表土剖离的监理；加强表土堆放监理：河堤加固摊放、洼地堆放，并加强其适宜性、挡土、防洪、防崩塌滑坡和后期生态恢复的监理。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pc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施工便道以及临时材料堆放场（堆管区）</w:t>
                  </w:r>
                </w:p>
              </w:tc>
              <w:tc>
                <w:tcPr>
                  <w:tcW w:w="1192"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项目管线沿线施工便道全路段及临时材料的堆放场</w:t>
                  </w:r>
                  <w:r>
                    <w:rPr>
                      <w:rFonts w:hint="default" w:ascii="Times New Roman" w:hAnsi="Times New Roman" w:eastAsia="宋体" w:cs="Times New Roman"/>
                      <w:spacing w:val="5"/>
                      <w:sz w:val="21"/>
                      <w:szCs w:val="21"/>
                    </w:rPr>
                    <w:t>（堆管区）</w:t>
                  </w:r>
                </w:p>
              </w:tc>
              <w:tc>
                <w:tcPr>
                  <w:tcW w:w="617" w:type="pct"/>
                  <w:shd w:val="clear" w:color="auto" w:fill="auto"/>
                  <w:vAlign w:val="center"/>
                </w:tcPr>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现场监测</w:t>
                  </w:r>
                </w:p>
                <w:p>
                  <w:pPr>
                    <w:pStyle w:val="102"/>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巡视</w:t>
                  </w:r>
                </w:p>
              </w:tc>
              <w:tc>
                <w:tcPr>
                  <w:tcW w:w="2545" w:type="pct"/>
                  <w:shd w:val="clear" w:color="auto" w:fill="auto"/>
                  <w:vAlign w:val="center"/>
                </w:tcPr>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审批施工生产生活区是否按要求建设；</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严格控制施工道路修筑边界；</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检查监督施工定期洒水情况；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现场抽测施工便道两侧敏感点噪声达标情况；</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检查材料堆场的选址及占地规模；是否有防止物料散漏污染措施，是否避开基本农田等；</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检查施工便道及临时材料堆放场等地的生态恢复措施、监管生态恢复效果，是否采用当地常见绿化植被，是否在雨季前做好生态恢复措施。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沿线受影响的集中居民区</w:t>
                  </w:r>
                </w:p>
              </w:tc>
              <w:tc>
                <w:tcPr>
                  <w:tcW w:w="1192"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沿线两侧200m的居民区</w:t>
                  </w:r>
                </w:p>
              </w:tc>
              <w:tc>
                <w:tcPr>
                  <w:tcW w:w="617"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旁站</w:t>
                  </w:r>
                </w:p>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现场监测</w:t>
                  </w:r>
                </w:p>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巡视</w:t>
                  </w:r>
                </w:p>
              </w:tc>
              <w:tc>
                <w:tcPr>
                  <w:tcW w:w="2545" w:type="pct"/>
                  <w:shd w:val="clear" w:color="auto" w:fill="auto"/>
                  <w:vAlign w:val="center"/>
                </w:tcPr>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施工场地是否合理安排，应尽量远离学校、医院、集中居民区；</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施工现场是否设围栏或部分围栏，以减少施工扬尘扩散范围；</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每天22点至次日凌晨6点是否按要求禁止高噪声设备作业，是否存在噪声扰民的现象，是否有居民投诉；</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施工车辆在夜间施工时，要采取减速缓行、禁止鸣笛等措施；</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施工时是否做好洒水抑尘措施；</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运输路线是否尽可能地避开村庄，施工便道是否进行夯实硬化处理，以减少扬尘的起尘量；</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大风时，是否避免进行挖掘、回填等大土方量作业或采取喷水抑尘措施；</w:t>
                  </w:r>
                </w:p>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对推过的土地是否做到及时整理，是否有植被恢复或绿化措施；</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施工过程中是否根据施工进展进行噪声监测，有无发现施工噪声超标并对附近居民点产生影响，并及时采取有效的噪声污染防治措施。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站场</w:t>
                  </w:r>
                </w:p>
              </w:tc>
              <w:tc>
                <w:tcPr>
                  <w:tcW w:w="1192"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站场所在地</w:t>
                  </w:r>
                </w:p>
              </w:tc>
              <w:tc>
                <w:tcPr>
                  <w:tcW w:w="617" w:type="pct"/>
                  <w:shd w:val="clear" w:color="auto" w:fill="auto"/>
                  <w:vAlign w:val="center"/>
                </w:tcPr>
                <w:p>
                  <w:pPr>
                    <w:pStyle w:val="102"/>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巡视</w:t>
                  </w:r>
                </w:p>
              </w:tc>
              <w:tc>
                <w:tcPr>
                  <w:tcW w:w="2545" w:type="pct"/>
                  <w:shd w:val="clear" w:color="auto" w:fill="auto"/>
                  <w:vAlign w:val="center"/>
                </w:tcPr>
                <w:p>
                  <w:pPr>
                    <w:widowControl w:val="0"/>
                    <w:autoSpaceDE w:val="0"/>
                    <w:autoSpaceDN w:val="0"/>
                    <w:adjustRightIn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（1）各站场的环保设施，施工是否严格按照设计方案执行，施工质量是否能达到要求；</w:t>
                  </w:r>
                </w:p>
                <w:p>
                  <w:pPr>
                    <w:pStyle w:val="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（2）站场绿化是否达到要求。</w:t>
                  </w:r>
                </w:p>
              </w:tc>
            </w:tr>
          </w:tbl>
          <w:p>
            <w:pPr>
              <w:pStyle w:val="156"/>
            </w:pPr>
          </w:p>
          <w:p>
            <w:pPr>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1、施工过程中的监测计划</w:t>
            </w:r>
          </w:p>
          <w:p>
            <w:pPr>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为了加强污染施工治理项目的环境管理，监控项目实施过程中各种污染物的排放，减少对周围的影响，防止二次污染，特制定了污染物排放及环境影响监测方案，主要为环境土壤、空气、噪声、扬尘、度水排放等分项目的监测。</w:t>
            </w: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r>
              <w:rPr>
                <w:rFonts w:hint="eastAsia" w:ascii="Times New Roman" w:hAnsi="Times New Roman" w:eastAsia="宋体" w:cs="Times New Roman"/>
                <w:b/>
                <w:color w:val="000000"/>
                <w:kern w:val="0"/>
                <w:sz w:val="24"/>
                <w:szCs w:val="24"/>
                <w:lang w:val="en-US" w:eastAsia="zh-CN" w:bidi="ar-SA"/>
              </w:rPr>
              <w:t>表7-33    项目施工期环境监测、监控计划</w:t>
            </w:r>
          </w:p>
          <w:tbl>
            <w:tblPr>
              <w:tblStyle w:val="32"/>
              <w:tblW w:w="487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29"/>
              <w:gridCol w:w="531"/>
              <w:gridCol w:w="1947"/>
              <w:gridCol w:w="1823"/>
              <w:gridCol w:w="1253"/>
              <w:gridCol w:w="1447"/>
              <w:gridCol w:w="13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299"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阶段</w:t>
                  </w: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监测项目</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监测内容</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监测点位</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工作方式</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监测频率</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实施机构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299" w:type="pct"/>
                  <w:vMerge w:val="restar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施工期</w:t>
                  </w: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地表水</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textAlignment w:val="auto"/>
                    <w:rPr>
                      <w:rFonts w:ascii="Times New Roman" w:hAnsi="Times New Roman" w:eastAsiaTheme="minorEastAsia"/>
                      <w:sz w:val="21"/>
                      <w:szCs w:val="21"/>
                      <w:lang w:eastAsia="zh-CN"/>
                    </w:rPr>
                  </w:pPr>
                  <w:r>
                    <w:rPr>
                      <w:rFonts w:ascii="Times New Roman" w:hAnsi="Times New Roman"/>
                      <w:sz w:val="21"/>
                      <w:szCs w:val="21"/>
                      <w:lang w:eastAsia="zh-CN"/>
                    </w:rPr>
                    <w:t>pH、COD、BOD</w:t>
                  </w:r>
                  <w:r>
                    <w:rPr>
                      <w:rFonts w:ascii="Times New Roman" w:hAnsi="Times New Roman"/>
                      <w:sz w:val="21"/>
                      <w:szCs w:val="21"/>
                      <w:vertAlign w:val="subscript"/>
                      <w:lang w:eastAsia="zh-CN"/>
                    </w:rPr>
                    <w:t>5</w:t>
                  </w:r>
                  <w:r>
                    <w:rPr>
                      <w:rFonts w:ascii="Times New Roman" w:hAnsi="Times New Roman"/>
                      <w:sz w:val="21"/>
                      <w:szCs w:val="21"/>
                      <w:lang w:eastAsia="zh-CN"/>
                    </w:rPr>
                    <w:t>、氨氮、DO、总磷、石油类、SS、粪大肠菌群</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hint="eastAsia" w:ascii="Times New Roman" w:hAnsi="Times New Roman"/>
                      <w:sz w:val="21"/>
                      <w:szCs w:val="21"/>
                      <w:lang w:val="en-US" w:eastAsia="zh-CN"/>
                    </w:rPr>
                    <w:t>小江</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rPr>
                  </w:pPr>
                  <w:r>
                    <w:rPr>
                      <w:rFonts w:ascii="Times New Roman" w:hAnsi="Times New Roman"/>
                      <w:sz w:val="21"/>
                      <w:szCs w:val="21"/>
                    </w:rPr>
                    <w:t>现场监测</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textAlignment w:val="auto"/>
                    <w:rPr>
                      <w:rFonts w:ascii="Times New Roman" w:hAnsi="Times New Roman"/>
                      <w:sz w:val="21"/>
                      <w:szCs w:val="21"/>
                      <w:lang w:eastAsia="zh-CN"/>
                    </w:rPr>
                  </w:pPr>
                  <w:r>
                    <w:rPr>
                      <w:rFonts w:ascii="Times New Roman" w:hAnsi="Times New Roman"/>
                      <w:sz w:val="21"/>
                      <w:szCs w:val="21"/>
                      <w:lang w:eastAsia="zh-CN"/>
                    </w:rPr>
                    <w:t>施工时随机抽测2次，一次两天</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建设单位</w:t>
                  </w:r>
                </w:p>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委托有资质的监测单位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1" w:hRule="atLeast"/>
                <w:jc w:val="center"/>
              </w:trPr>
              <w:tc>
                <w:tcPr>
                  <w:tcW w:w="299" w:type="pct"/>
                  <w:vMerge w:val="continue"/>
                  <w:vAlign w:val="center"/>
                </w:tcPr>
                <w:p>
                  <w:pPr>
                    <w:pStyle w:val="17"/>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b/>
                      <w:bCs/>
                      <w:sz w:val="21"/>
                      <w:szCs w:val="21"/>
                    </w:rPr>
                  </w:pP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固体废物</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textAlignment w:val="auto"/>
                    <w:rPr>
                      <w:rFonts w:ascii="Times New Roman" w:hAnsi="Times New Roman" w:eastAsiaTheme="minorEastAsia"/>
                      <w:sz w:val="21"/>
                      <w:szCs w:val="21"/>
                    </w:rPr>
                  </w:pPr>
                  <w:r>
                    <w:rPr>
                      <w:rFonts w:ascii="Times New Roman" w:hAnsi="Times New Roman"/>
                      <w:sz w:val="21"/>
                      <w:szCs w:val="21"/>
                    </w:rPr>
                    <w:t>生活垃圾、废弃泥浆</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hint="eastAsia" w:ascii="Times New Roman" w:hAnsi="Times New Roman"/>
                      <w:sz w:val="21"/>
                      <w:szCs w:val="21"/>
                      <w:lang w:eastAsia="zh-CN"/>
                    </w:rPr>
                    <w:t>施工作业场地，以定向钻穿越施</w:t>
                  </w:r>
                  <w:r>
                    <w:rPr>
                      <w:rFonts w:ascii="Times New Roman" w:hAnsi="Times New Roman"/>
                      <w:sz w:val="21"/>
                      <w:szCs w:val="21"/>
                      <w:lang w:eastAsia="zh-CN"/>
                    </w:rPr>
                    <w:t>工场地为重点</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rPr>
                    <w:t>随机检查</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施工期间进</w:t>
                  </w:r>
                </w:p>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rPr>
                    <w:t>行 2 次</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建设单位委托有资质的监测单位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2" w:hRule="atLeast"/>
                <w:jc w:val="center"/>
              </w:trPr>
              <w:tc>
                <w:tcPr>
                  <w:tcW w:w="299" w:type="pct"/>
                  <w:vMerge w:val="continue"/>
                  <w:vAlign w:val="center"/>
                </w:tcPr>
                <w:p>
                  <w:pPr>
                    <w:pStyle w:val="17"/>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b/>
                      <w:bCs/>
                      <w:sz w:val="21"/>
                      <w:szCs w:val="21"/>
                    </w:rPr>
                  </w:pP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噪声</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eastAsiaTheme="minorEastAsia"/>
                      <w:sz w:val="21"/>
                      <w:szCs w:val="21"/>
                    </w:rPr>
                    <w:t>Leq</w:t>
                  </w:r>
                  <w:r>
                    <w:rPr>
                      <w:rFonts w:ascii="Times New Roman" w:hAnsi="Times New Roman"/>
                      <w:sz w:val="21"/>
                      <w:szCs w:val="21"/>
                    </w:rPr>
                    <w:t>（A）</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评价范围内各站场及噪声敏感村庄</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现场监测</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pacing w:val="-4"/>
                      <w:sz w:val="21"/>
                      <w:szCs w:val="21"/>
                      <w:lang w:eastAsia="zh-CN"/>
                    </w:rPr>
                  </w:pPr>
                  <w:r>
                    <w:rPr>
                      <w:rFonts w:ascii="Times New Roman" w:hAnsi="Times New Roman"/>
                      <w:sz w:val="21"/>
                      <w:szCs w:val="21"/>
                      <w:lang w:eastAsia="zh-CN"/>
                    </w:rPr>
                    <w:t>1次/月或随机抽样监测，</w:t>
                  </w:r>
                  <w:r>
                    <w:rPr>
                      <w:rFonts w:ascii="Times New Roman" w:hAnsi="Times New Roman"/>
                      <w:spacing w:val="-6"/>
                      <w:sz w:val="21"/>
                      <w:szCs w:val="21"/>
                      <w:lang w:eastAsia="zh-CN"/>
                    </w:rPr>
                    <w:t>连</w:t>
                  </w:r>
                  <w:r>
                    <w:rPr>
                      <w:rFonts w:ascii="Times New Roman" w:hAnsi="Times New Roman"/>
                      <w:spacing w:val="-4"/>
                      <w:sz w:val="21"/>
                      <w:szCs w:val="21"/>
                      <w:lang w:eastAsia="zh-CN"/>
                    </w:rPr>
                    <w:t>续监测两天</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建设单位委托有资质的监测单位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0" w:hRule="atLeast"/>
                <w:jc w:val="center"/>
              </w:trPr>
              <w:tc>
                <w:tcPr>
                  <w:tcW w:w="299" w:type="pct"/>
                  <w:vMerge w:val="continue"/>
                  <w:vAlign w:val="center"/>
                </w:tcPr>
                <w:p>
                  <w:pPr>
                    <w:pStyle w:val="17"/>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b/>
                      <w:bCs/>
                      <w:sz w:val="21"/>
                      <w:szCs w:val="21"/>
                    </w:rPr>
                  </w:pP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大气</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eastAsiaTheme="minorEastAsia"/>
                      <w:sz w:val="21"/>
                      <w:szCs w:val="21"/>
                    </w:rPr>
                    <w:t>TSP</w:t>
                  </w:r>
                  <w:r>
                    <w:rPr>
                      <w:rFonts w:hint="eastAsia" w:ascii="Times New Roman" w:hAnsi="Times New Roman"/>
                      <w:sz w:val="21"/>
                      <w:szCs w:val="21"/>
                      <w:lang w:eastAsia="zh-CN"/>
                    </w:rPr>
                    <w:t>、</w:t>
                  </w:r>
                  <w:r>
                    <w:rPr>
                      <w:rFonts w:ascii="Times New Roman" w:hAnsi="Times New Roman"/>
                      <w:sz w:val="21"/>
                      <w:szCs w:val="21"/>
                    </w:rPr>
                    <w:t>PM</w:t>
                  </w:r>
                  <w:r>
                    <w:rPr>
                      <w:rFonts w:ascii="Times New Roman" w:hAnsi="Times New Roman"/>
                      <w:sz w:val="21"/>
                      <w:szCs w:val="21"/>
                      <w:vertAlign w:val="subscript"/>
                    </w:rPr>
                    <w:t xml:space="preserve">10 </w:t>
                  </w:r>
                  <w:r>
                    <w:rPr>
                      <w:rFonts w:hint="eastAsia" w:hAnsi="Times New Roman"/>
                      <w:sz w:val="21"/>
                      <w:szCs w:val="21"/>
                    </w:rPr>
                    <w:t>和</w:t>
                  </w:r>
                  <w:r>
                    <w:rPr>
                      <w:rFonts w:ascii="Times New Roman" w:hAnsi="Times New Roman"/>
                      <w:sz w:val="21"/>
                      <w:szCs w:val="21"/>
                    </w:rPr>
                    <w:t>PM</w:t>
                  </w:r>
                  <w:r>
                    <w:rPr>
                      <w:rFonts w:ascii="Times New Roman" w:hAnsi="Times New Roman"/>
                      <w:sz w:val="21"/>
                      <w:szCs w:val="21"/>
                      <w:vertAlign w:val="subscript"/>
                    </w:rPr>
                    <w:t>2.5</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textAlignment w:val="auto"/>
                    <w:rPr>
                      <w:rFonts w:ascii="Times New Roman" w:hAnsi="Times New Roman"/>
                      <w:sz w:val="21"/>
                      <w:szCs w:val="21"/>
                      <w:lang w:eastAsia="zh-CN"/>
                    </w:rPr>
                  </w:pPr>
                  <w:r>
                    <w:rPr>
                      <w:rFonts w:ascii="Times New Roman" w:hAnsi="Times New Roman"/>
                      <w:sz w:val="21"/>
                      <w:szCs w:val="21"/>
                      <w:lang w:eastAsia="zh-CN"/>
                    </w:rPr>
                    <w:t>评价范围</w:t>
                  </w:r>
                  <w:r>
                    <w:rPr>
                      <w:rFonts w:hint="eastAsia" w:ascii="Times New Roman" w:hAnsi="Times New Roman"/>
                      <w:sz w:val="21"/>
                      <w:szCs w:val="21"/>
                      <w:lang w:eastAsia="zh-CN"/>
                    </w:rPr>
                    <w:t>100m</w:t>
                  </w:r>
                  <w:r>
                    <w:rPr>
                      <w:rFonts w:ascii="Times New Roman" w:hAnsi="Times New Roman"/>
                      <w:sz w:val="21"/>
                      <w:szCs w:val="21"/>
                      <w:lang w:eastAsia="zh-CN"/>
                    </w:rPr>
                    <w:t>内各站场</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现场监测</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1次/季度或随机抽样监测，</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建设单位委托有资质的监测单位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32" w:hRule="atLeast"/>
                <w:jc w:val="center"/>
              </w:trPr>
              <w:tc>
                <w:tcPr>
                  <w:tcW w:w="299" w:type="pct"/>
                  <w:vMerge w:val="continue"/>
                  <w:vAlign w:val="center"/>
                </w:tcPr>
                <w:p>
                  <w:pPr>
                    <w:pStyle w:val="17"/>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b/>
                      <w:bCs/>
                      <w:sz w:val="21"/>
                      <w:szCs w:val="21"/>
                    </w:rPr>
                  </w:pP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施工期现场清理</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lang w:eastAsia="zh-CN"/>
                    </w:rPr>
                    <w:t>植被恢复和建设等生态环保措施落实情况</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hint="eastAsia"/>
                      <w:sz w:val="21"/>
                      <w:szCs w:val="21"/>
                    </w:rPr>
                    <w:t>管道各施工区、段</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rPr>
                    <w:t>现场检查</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施工结束后</w:t>
                  </w:r>
                </w:p>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eastAsiaTheme="minorEastAsia"/>
                      <w:sz w:val="21"/>
                      <w:szCs w:val="21"/>
                    </w:rPr>
                    <w:t xml:space="preserve">1 </w:t>
                  </w:r>
                  <w:r>
                    <w:rPr>
                      <w:rFonts w:ascii="Times New Roman" w:hAnsi="Times New Roman"/>
                      <w:sz w:val="21"/>
                      <w:szCs w:val="21"/>
                    </w:rPr>
                    <w:t>次</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建设单位委托有资质的监测单位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32" w:hRule="atLeast"/>
                <w:jc w:val="center"/>
              </w:trPr>
              <w:tc>
                <w:tcPr>
                  <w:tcW w:w="299" w:type="pct"/>
                  <w:vMerge w:val="continue"/>
                  <w:vAlign w:val="center"/>
                </w:tcPr>
                <w:p>
                  <w:pPr>
                    <w:pStyle w:val="17"/>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b/>
                      <w:bCs/>
                      <w:sz w:val="21"/>
                      <w:szCs w:val="21"/>
                    </w:rPr>
                  </w:pPr>
                </w:p>
              </w:tc>
              <w:tc>
                <w:tcPr>
                  <w:tcW w:w="3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事故性</w:t>
                  </w:r>
                </w:p>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rPr>
                  </w:pPr>
                  <w:r>
                    <w:rPr>
                      <w:rFonts w:ascii="Times New Roman" w:hAnsi="Times New Roman"/>
                      <w:sz w:val="21"/>
                      <w:szCs w:val="21"/>
                    </w:rPr>
                    <w:t>监测</w:t>
                  </w:r>
                </w:p>
              </w:tc>
              <w:tc>
                <w:tcPr>
                  <w:tcW w:w="110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根据事故性质、事故影响的大小，视具体情况监测大气、水等</w:t>
                  </w:r>
                </w:p>
              </w:tc>
              <w:tc>
                <w:tcPr>
                  <w:tcW w:w="1030"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rPr>
                    <w:t>事故发生地点</w:t>
                  </w:r>
                </w:p>
              </w:tc>
              <w:tc>
                <w:tcPr>
                  <w:tcW w:w="70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rPr>
                    <w:t>现场监测</w:t>
                  </w:r>
                </w:p>
              </w:tc>
              <w:tc>
                <w:tcPr>
                  <w:tcW w:w="81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eastAsiaTheme="minorEastAsia"/>
                      <w:sz w:val="21"/>
                      <w:szCs w:val="21"/>
                      <w:lang w:eastAsia="zh-CN"/>
                    </w:rPr>
                  </w:pPr>
                  <w:r>
                    <w:rPr>
                      <w:rFonts w:ascii="Times New Roman" w:hAnsi="Times New Roman"/>
                      <w:sz w:val="21"/>
                      <w:szCs w:val="21"/>
                    </w:rPr>
                    <w:t>事故时</w:t>
                  </w:r>
                </w:p>
              </w:tc>
              <w:tc>
                <w:tcPr>
                  <w:tcW w:w="74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sz w:val="21"/>
                      <w:szCs w:val="21"/>
                      <w:lang w:eastAsia="zh-CN"/>
                    </w:rPr>
                  </w:pPr>
                  <w:r>
                    <w:rPr>
                      <w:rFonts w:ascii="Times New Roman" w:hAnsi="Times New Roman"/>
                      <w:sz w:val="21"/>
                      <w:szCs w:val="21"/>
                      <w:lang w:eastAsia="zh-CN"/>
                    </w:rPr>
                    <w:t>建设单位委托有资质的监测单位</w:t>
                  </w:r>
                </w:p>
              </w:tc>
            </w:tr>
          </w:tbl>
          <w:p>
            <w:pPr>
              <w:spacing w:line="360" w:lineRule="auto"/>
              <w:ind w:firstLine="480" w:firstLineChars="200"/>
              <w:rPr>
                <w:rFonts w:hint="eastAsia" w:ascii="Times New Roman" w:hAnsi="Times New Roman"/>
                <w:color w:val="000000"/>
                <w:sz w:val="24"/>
                <w:szCs w:val="24"/>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000000"/>
                <w:kern w:val="0"/>
                <w:sz w:val="24"/>
                <w:szCs w:val="24"/>
                <w:lang w:val="en-US" w:eastAsia="zh-CN" w:bidi="ar-SA"/>
              </w:rPr>
            </w:pPr>
            <w:r>
              <w:rPr>
                <w:rFonts w:hint="eastAsia" w:ascii="Times New Roman" w:hAnsi="Times New Roman" w:eastAsia="宋体" w:cs="Times New Roman"/>
                <w:b/>
                <w:color w:val="000000"/>
                <w:kern w:val="0"/>
                <w:sz w:val="24"/>
                <w:szCs w:val="24"/>
                <w:lang w:val="en-US" w:eastAsia="zh-CN" w:bidi="ar-SA"/>
              </w:rPr>
              <w:t>表7-34 本项目运营期环境监测计划</w:t>
            </w:r>
          </w:p>
          <w:tbl>
            <w:tblPr>
              <w:tblStyle w:val="32"/>
              <w:tblW w:w="4872" w:type="pct"/>
              <w:jc w:val="center"/>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Layout w:type="fixed"/>
              <w:tblCellMar>
                <w:top w:w="0" w:type="dxa"/>
                <w:left w:w="0" w:type="dxa"/>
                <w:bottom w:w="0" w:type="dxa"/>
                <w:right w:w="0" w:type="dxa"/>
              </w:tblCellMar>
            </w:tblPr>
            <w:tblGrid>
              <w:gridCol w:w="1737"/>
              <w:gridCol w:w="2253"/>
              <w:gridCol w:w="1908"/>
              <w:gridCol w:w="1499"/>
              <w:gridCol w:w="1446"/>
            </w:tblGrid>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267"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监测对象</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监测点位</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监测因子</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监测频率</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控制目标</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581"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hint="eastAsia" w:ascii="Times New Roman" w:hAnsi="Times New Roman" w:cs="Times New Roman"/>
                      <w:sz w:val="21"/>
                      <w:szCs w:val="21"/>
                      <w:lang w:eastAsia="zh-CN"/>
                    </w:rPr>
                    <w:t>废水</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lang w:eastAsia="zh-CN"/>
                    </w:rPr>
                  </w:pPr>
                  <w:r>
                    <w:rPr>
                      <w:rFonts w:hint="eastAsia" w:ascii="Times New Roman" w:hAnsi="Times New Roman" w:cs="Times New Roman"/>
                      <w:sz w:val="21"/>
                      <w:szCs w:val="21"/>
                      <w:lang w:val="en-US" w:eastAsia="zh-CN"/>
                    </w:rPr>
                    <w:t>高安站</w:t>
                  </w:r>
                  <w:r>
                    <w:rPr>
                      <w:rFonts w:ascii="Times New Roman" w:hAnsi="Times New Roman" w:cs="Times New Roman"/>
                      <w:sz w:val="21"/>
                      <w:szCs w:val="21"/>
                      <w:lang w:eastAsia="zh-CN"/>
                    </w:rPr>
                    <w:t>站进水池</w:t>
                  </w:r>
                  <w:r>
                    <w:rPr>
                      <w:rFonts w:hint="eastAsia" w:ascii="Times New Roman" w:hAnsi="Times New Roman" w:cs="Times New Roman"/>
                      <w:sz w:val="21"/>
                      <w:szCs w:val="21"/>
                      <w:lang w:eastAsia="zh-CN"/>
                    </w:rPr>
                    <w:t>、</w:t>
                  </w:r>
                  <w:r>
                    <w:rPr>
                      <w:rFonts w:ascii="Times New Roman" w:hAnsi="Times New Roman" w:cs="Times New Roman"/>
                      <w:sz w:val="21"/>
                      <w:szCs w:val="21"/>
                      <w:lang w:eastAsia="zh-CN"/>
                    </w:rPr>
                    <w:t>出水口</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COD、氨氮、SS、动植物油等</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建议 1 次/年</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达标</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360"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噪声</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各站场场界</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等效连续 A 声级</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2 次/年</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达标</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354"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环境空气</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各站场厂界</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非甲烷总烃</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2 次/年</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达标</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561"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声环境</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lang w:eastAsia="zh-CN"/>
                    </w:rPr>
                  </w:pPr>
                  <w:r>
                    <w:rPr>
                      <w:rFonts w:ascii="Times New Roman" w:hAnsi="Times New Roman" w:cs="Times New Roman"/>
                      <w:sz w:val="21"/>
                      <w:szCs w:val="21"/>
                      <w:lang w:eastAsia="zh-CN"/>
                    </w:rPr>
                    <w:t>站场界外200m内的敏感点</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等效连续 A 声级</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2 次/年</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达标</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290"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耕地</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管道穿越农田区域</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耕地</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调查</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覆土还耕</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0" w:type="dxa"/>
                  <w:bottom w:w="0" w:type="dxa"/>
                  <w:right w:w="0" w:type="dxa"/>
                </w:tblCellMar>
              </w:tblPrEx>
              <w:trPr>
                <w:trHeight w:val="817" w:hRule="atLeast"/>
                <w:jc w:val="center"/>
              </w:trPr>
              <w:tc>
                <w:tcPr>
                  <w:tcW w:w="982"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事故监测</w:t>
                  </w:r>
                </w:p>
              </w:tc>
              <w:tc>
                <w:tcPr>
                  <w:tcW w:w="1273"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lang w:eastAsia="zh-CN"/>
                    </w:rPr>
                  </w:pPr>
                  <w:r>
                    <w:rPr>
                      <w:rFonts w:hint="eastAsia" w:ascii="Times New Roman" w:hAnsi="Times New Roman" w:cs="Times New Roman"/>
                      <w:sz w:val="21"/>
                      <w:szCs w:val="21"/>
                      <w:lang w:eastAsia="zh-CN"/>
                    </w:rPr>
                    <w:t>根据事故时主导风向，在事故段上风向布设</w:t>
                  </w:r>
                  <w:r>
                    <w:rPr>
                      <w:rFonts w:ascii="Times New Roman" w:hAnsi="Times New Roman" w:cs="Times New Roman"/>
                      <w:sz w:val="21"/>
                      <w:szCs w:val="21"/>
                      <w:lang w:eastAsia="zh-CN"/>
                    </w:rPr>
                    <w:t xml:space="preserve"> 1 </w:t>
                  </w:r>
                  <w:r>
                    <w:rPr>
                      <w:rFonts w:hint="eastAsia" w:ascii="Times New Roman" w:hAnsi="Times New Roman" w:cs="Times New Roman"/>
                      <w:sz w:val="21"/>
                      <w:szCs w:val="21"/>
                      <w:lang w:eastAsia="zh-CN"/>
                    </w:rPr>
                    <w:t>个点位，下风向敏感点布设</w:t>
                  </w:r>
                  <w:r>
                    <w:rPr>
                      <w:rFonts w:ascii="Times New Roman" w:hAnsi="Times New Roman" w:cs="Times New Roman"/>
                      <w:sz w:val="21"/>
                      <w:szCs w:val="21"/>
                      <w:lang w:eastAsia="zh-CN"/>
                    </w:rPr>
                    <w:t xml:space="preserve">2-3 </w:t>
                  </w:r>
                  <w:r>
                    <w:rPr>
                      <w:rFonts w:hint="eastAsia" w:ascii="Times New Roman" w:hAnsi="Times New Roman" w:cs="Times New Roman"/>
                      <w:sz w:val="21"/>
                      <w:szCs w:val="21"/>
                      <w:lang w:eastAsia="zh-CN"/>
                    </w:rPr>
                    <w:t>个点位。</w:t>
                  </w:r>
                </w:p>
              </w:tc>
              <w:tc>
                <w:tcPr>
                  <w:tcW w:w="1078"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hint="eastAsia" w:ascii="Times New Roman" w:hAnsi="Times New Roman" w:cs="Times New Roman"/>
                      <w:sz w:val="21"/>
                      <w:szCs w:val="21"/>
                    </w:rPr>
                    <w:t>事故时非燃烧：非甲烷总烃、总烃；</w:t>
                  </w:r>
                </w:p>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lang w:eastAsia="zh-CN"/>
                    </w:rPr>
                  </w:pPr>
                  <w:r>
                    <w:rPr>
                      <w:rFonts w:hint="eastAsia" w:ascii="Times New Roman" w:hAnsi="Times New Roman" w:cs="Times New Roman"/>
                      <w:sz w:val="21"/>
                      <w:szCs w:val="21"/>
                      <w:lang w:eastAsia="zh-CN"/>
                    </w:rPr>
                    <w:t>事故时燃烧：一氧化碳、非甲烷总烃、总烃。</w:t>
                  </w:r>
                </w:p>
              </w:tc>
              <w:tc>
                <w:tcPr>
                  <w:tcW w:w="84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lang w:eastAsia="zh-CN"/>
                    </w:rPr>
                  </w:pPr>
                  <w:r>
                    <w:rPr>
                      <w:rFonts w:hint="eastAsia" w:ascii="Times New Roman" w:hAnsi="Times New Roman" w:cs="Times New Roman"/>
                      <w:sz w:val="21"/>
                      <w:szCs w:val="21"/>
                      <w:lang w:eastAsia="zh-CN"/>
                    </w:rPr>
                    <w:t>事故过程中连续监测，直至污染物浓度降至本地水平。</w:t>
                  </w:r>
                </w:p>
              </w:tc>
              <w:tc>
                <w:tcPr>
                  <w:tcW w:w="817" w:type="pct"/>
                  <w:vAlign w:val="center"/>
                </w:tcPr>
                <w:p>
                  <w:pPr>
                    <w:pStyle w:val="100"/>
                    <w:keepNext w:val="0"/>
                    <w:keepLines w:val="0"/>
                    <w:pageBreakBefore w:val="0"/>
                    <w:widowControl w:val="0"/>
                    <w:kinsoku w:val="0"/>
                    <w:wordWrap/>
                    <w:overflowPunct w:val="0"/>
                    <w:topLinePunct w:val="0"/>
                    <w:autoSpaceDE/>
                    <w:autoSpaceDN/>
                    <w:bidi w:val="0"/>
                    <w:adjustRightInd/>
                    <w:snapToGrid/>
                    <w:ind w:left="0" w:right="0"/>
                    <w:jc w:val="center"/>
                    <w:textAlignment w:val="auto"/>
                    <w:rPr>
                      <w:rFonts w:ascii="Times New Roman" w:hAnsi="Times New Roman" w:cs="Times New Roman"/>
                      <w:sz w:val="21"/>
                      <w:szCs w:val="21"/>
                    </w:rPr>
                  </w:pPr>
                  <w:r>
                    <w:rPr>
                      <w:rFonts w:ascii="Times New Roman" w:hAnsi="Times New Roman" w:cs="Times New Roman"/>
                      <w:sz w:val="21"/>
                      <w:szCs w:val="21"/>
                    </w:rPr>
                    <w:t>及时提供数据</w:t>
                  </w:r>
                </w:p>
              </w:tc>
            </w:tr>
          </w:tbl>
          <w:p>
            <w:pPr>
              <w:spacing w:line="360" w:lineRule="auto"/>
              <w:ind w:firstLine="480" w:firstLineChars="200"/>
              <w:rPr>
                <w:rFonts w:hint="eastAsia" w:ascii="Times New Roman" w:hAnsi="Times New Roman"/>
                <w:color w:val="000000"/>
                <w:sz w:val="24"/>
                <w:szCs w:val="24"/>
              </w:rPr>
            </w:pPr>
          </w:p>
          <w:p>
            <w:pPr>
              <w:pStyle w:val="41"/>
              <w:rPr>
                <w:rFonts w:ascii="Times New Roman" w:hAnsi="Times New Roman"/>
                <w:color w:val="000000"/>
                <w:sz w:val="24"/>
                <w:szCs w:val="24"/>
              </w:rPr>
            </w:pPr>
          </w:p>
          <w:p>
            <w:pPr>
              <w:pStyle w:val="41"/>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p>
          <w:p>
            <w:pPr>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十</w:t>
            </w:r>
            <w:r>
              <w:rPr>
                <w:rFonts w:ascii="Times New Roman" w:hAnsi="Times New Roman"/>
                <w:color w:val="000000"/>
                <w:sz w:val="24"/>
                <w:szCs w:val="24"/>
              </w:rPr>
              <w:t>、环保投资估算</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本项目总投资为</w:t>
            </w:r>
            <w:r>
              <w:rPr>
                <w:rFonts w:hint="eastAsia" w:ascii="Times New Roman" w:hAnsi="Times New Roman"/>
                <w:color w:val="000000"/>
                <w:sz w:val="24"/>
                <w:szCs w:val="24"/>
              </w:rPr>
              <w:t>9000</w:t>
            </w:r>
            <w:r>
              <w:rPr>
                <w:rFonts w:ascii="Times New Roman" w:hAnsi="Times New Roman"/>
                <w:color w:val="000000"/>
                <w:sz w:val="24"/>
                <w:szCs w:val="24"/>
              </w:rPr>
              <w:t>万元，其中环保投资为</w:t>
            </w:r>
            <w:r>
              <w:rPr>
                <w:rFonts w:hint="eastAsia" w:ascii="Times New Roman" w:hAnsi="Times New Roman"/>
                <w:color w:val="000000"/>
                <w:sz w:val="24"/>
                <w:szCs w:val="24"/>
                <w:lang w:val="en-US" w:eastAsia="zh-CN"/>
              </w:rPr>
              <w:t>277</w:t>
            </w:r>
            <w:r>
              <w:rPr>
                <w:rFonts w:ascii="Times New Roman" w:hAnsi="Times New Roman"/>
                <w:color w:val="000000"/>
                <w:sz w:val="24"/>
                <w:szCs w:val="24"/>
              </w:rPr>
              <w:t>万元，占总投资的</w:t>
            </w:r>
            <w:r>
              <w:rPr>
                <w:rFonts w:hint="eastAsia" w:ascii="Times New Roman" w:hAnsi="Times New Roman"/>
                <w:color w:val="000000"/>
                <w:sz w:val="24"/>
                <w:szCs w:val="24"/>
                <w:lang w:val="en-US" w:eastAsia="zh-CN"/>
              </w:rPr>
              <w:t>3.08</w:t>
            </w:r>
            <w:r>
              <w:rPr>
                <w:rFonts w:ascii="Times New Roman" w:hAnsi="Times New Roman"/>
                <w:color w:val="000000"/>
                <w:sz w:val="24"/>
                <w:szCs w:val="24"/>
              </w:rPr>
              <w:t>%，环保投资估算详见下表。</w:t>
            </w:r>
          </w:p>
          <w:p>
            <w:pPr>
              <w:pStyle w:val="19"/>
              <w:spacing w:after="0" w:line="360" w:lineRule="auto"/>
              <w:ind w:left="0" w:leftChars="0"/>
              <w:jc w:val="center"/>
              <w:rPr>
                <w:rFonts w:ascii="Times New Roman" w:hAnsi="Times New Roman"/>
                <w:b/>
                <w:color w:val="000000"/>
                <w:sz w:val="24"/>
                <w:szCs w:val="24"/>
              </w:rPr>
            </w:pPr>
            <w:r>
              <w:rPr>
                <w:rFonts w:ascii="Times New Roman" w:hAnsi="Times New Roman"/>
                <w:b/>
                <w:bCs/>
                <w:color w:val="000000"/>
                <w:sz w:val="24"/>
                <w:szCs w:val="24"/>
              </w:rPr>
              <w:t>表7-</w:t>
            </w:r>
            <w:r>
              <w:rPr>
                <w:rFonts w:hint="eastAsia" w:ascii="Times New Roman" w:hAnsi="Times New Roman"/>
                <w:b/>
                <w:bCs/>
                <w:color w:val="000000"/>
                <w:sz w:val="24"/>
                <w:szCs w:val="24"/>
                <w:lang w:val="en-US" w:eastAsia="zh-CN"/>
              </w:rPr>
              <w:t>35</w:t>
            </w:r>
            <w:r>
              <w:rPr>
                <w:rFonts w:hint="eastAsia" w:ascii="Times New Roman" w:hAnsi="Times New Roman"/>
                <w:b/>
                <w:bCs/>
                <w:color w:val="000000"/>
                <w:sz w:val="24"/>
                <w:szCs w:val="24"/>
              </w:rPr>
              <w:t xml:space="preserve"> </w:t>
            </w:r>
            <w:r>
              <w:rPr>
                <w:rFonts w:ascii="Times New Roman" w:hAnsi="Times New Roman"/>
                <w:b/>
                <w:bCs/>
                <w:color w:val="000000"/>
                <w:sz w:val="24"/>
                <w:szCs w:val="24"/>
              </w:rPr>
              <w:t xml:space="preserve"> </w:t>
            </w:r>
            <w:r>
              <w:rPr>
                <w:rFonts w:ascii="Times New Roman" w:hAnsi="Times New Roman"/>
                <w:b/>
                <w:color w:val="000000"/>
                <w:sz w:val="24"/>
                <w:szCs w:val="24"/>
              </w:rPr>
              <w:t>处理设施环保投资估算</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1326"/>
              <w:gridCol w:w="802"/>
              <w:gridCol w:w="244"/>
              <w:gridCol w:w="1918"/>
              <w:gridCol w:w="1590"/>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Align w:val="center"/>
                </w:tcPr>
                <w:p>
                  <w:pPr>
                    <w:ind w:left="-105" w:leftChars="-50" w:right="-105" w:rightChars="-50"/>
                    <w:jc w:val="center"/>
                    <w:rPr>
                      <w:rFonts w:ascii="Times New Roman" w:hAnsi="Times New Roman"/>
                      <w:color w:val="000000"/>
                      <w:szCs w:val="21"/>
                    </w:rPr>
                  </w:pPr>
                  <w:r>
                    <w:rPr>
                      <w:rFonts w:ascii="Times New Roman" w:hAnsi="Times New Roman"/>
                      <w:color w:val="000000"/>
                      <w:szCs w:val="21"/>
                    </w:rPr>
                    <w:t>时段</w:t>
                  </w:r>
                </w:p>
              </w:tc>
              <w:tc>
                <w:tcPr>
                  <w:tcW w:w="1326" w:type="dxa"/>
                  <w:vAlign w:val="center"/>
                </w:tcPr>
                <w:p>
                  <w:pPr>
                    <w:jc w:val="center"/>
                    <w:rPr>
                      <w:rFonts w:ascii="Times New Roman" w:hAnsi="Times New Roman"/>
                      <w:color w:val="000000"/>
                      <w:szCs w:val="21"/>
                    </w:rPr>
                  </w:pPr>
                  <w:r>
                    <w:rPr>
                      <w:rFonts w:ascii="Times New Roman" w:hAnsi="Times New Roman"/>
                      <w:color w:val="000000"/>
                      <w:szCs w:val="21"/>
                    </w:rPr>
                    <w:t>污染源</w:t>
                  </w:r>
                </w:p>
              </w:tc>
              <w:tc>
                <w:tcPr>
                  <w:tcW w:w="2964" w:type="dxa"/>
                  <w:gridSpan w:val="3"/>
                  <w:vAlign w:val="center"/>
                </w:tcPr>
                <w:p>
                  <w:pPr>
                    <w:jc w:val="center"/>
                    <w:rPr>
                      <w:rFonts w:ascii="Times New Roman" w:hAnsi="Times New Roman"/>
                      <w:color w:val="000000"/>
                      <w:szCs w:val="21"/>
                    </w:rPr>
                  </w:pPr>
                  <w:r>
                    <w:rPr>
                      <w:rFonts w:ascii="Times New Roman" w:hAnsi="Times New Roman"/>
                      <w:color w:val="000000"/>
                      <w:szCs w:val="21"/>
                    </w:rPr>
                    <w:t>处理设施名称</w:t>
                  </w:r>
                </w:p>
              </w:tc>
              <w:tc>
                <w:tcPr>
                  <w:tcW w:w="1590" w:type="dxa"/>
                  <w:vAlign w:val="center"/>
                </w:tcPr>
                <w:p>
                  <w:pPr>
                    <w:jc w:val="center"/>
                    <w:rPr>
                      <w:rFonts w:ascii="Times New Roman" w:hAnsi="Times New Roman"/>
                      <w:color w:val="000000"/>
                      <w:szCs w:val="21"/>
                    </w:rPr>
                  </w:pPr>
                  <w:r>
                    <w:rPr>
                      <w:rFonts w:ascii="Times New Roman" w:hAnsi="Times New Roman"/>
                      <w:color w:val="000000"/>
                      <w:szCs w:val="21"/>
                    </w:rPr>
                    <w:t>投资（万元）</w:t>
                  </w:r>
                </w:p>
              </w:tc>
              <w:tc>
                <w:tcPr>
                  <w:tcW w:w="2630" w:type="dxa"/>
                  <w:vAlign w:val="center"/>
                </w:tcPr>
                <w:p>
                  <w:pPr>
                    <w:jc w:val="center"/>
                    <w:rPr>
                      <w:rFonts w:ascii="Times New Roman" w:hAnsi="Times New Roman"/>
                      <w:color w:val="000000"/>
                      <w:szCs w:val="21"/>
                    </w:rPr>
                  </w:pPr>
                  <w:r>
                    <w:rPr>
                      <w:rFonts w:ascii="Times New Roman" w:hAnsi="Times New Roman"/>
                      <w:color w:val="000000"/>
                      <w:szCs w:val="21"/>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Align w:val="center"/>
                </w:tcPr>
                <w:p>
                  <w:pPr>
                    <w:ind w:left="-105" w:leftChars="-50" w:right="-105" w:rightChars="-50"/>
                    <w:jc w:val="center"/>
                    <w:rPr>
                      <w:rFonts w:ascii="Times New Roman" w:hAnsi="Times New Roman"/>
                      <w:color w:val="000000"/>
                      <w:szCs w:val="21"/>
                    </w:rPr>
                  </w:pPr>
                  <w:r>
                    <w:rPr>
                      <w:rFonts w:hint="eastAsia" w:ascii="Times New Roman" w:hAnsi="Times New Roman"/>
                      <w:color w:val="000000"/>
                      <w:szCs w:val="21"/>
                    </w:rPr>
                    <w:t>施工期</w:t>
                  </w:r>
                </w:p>
              </w:tc>
              <w:tc>
                <w:tcPr>
                  <w:tcW w:w="1326" w:type="dxa"/>
                  <w:vMerge w:val="restart"/>
                  <w:vAlign w:val="center"/>
                </w:tcPr>
                <w:p>
                  <w:pPr>
                    <w:spacing w:line="240" w:lineRule="atLeast"/>
                    <w:jc w:val="center"/>
                    <w:rPr>
                      <w:rFonts w:ascii="Times New Roman" w:hAnsi="Times New Roman"/>
                      <w:color w:val="000000"/>
                      <w:szCs w:val="21"/>
                    </w:rPr>
                  </w:pPr>
                  <w:r>
                    <w:rPr>
                      <w:rFonts w:ascii="Times New Roman" w:hAnsi="Times New Roman"/>
                      <w:color w:val="000000"/>
                      <w:szCs w:val="21"/>
                      <w:lang w:eastAsia="en-US"/>
                    </w:rPr>
                    <w:t>废气</w:t>
                  </w:r>
                  <w:r>
                    <w:rPr>
                      <w:rFonts w:ascii="Times New Roman" w:hAnsi="Times New Roman"/>
                      <w:color w:val="000000"/>
                      <w:szCs w:val="21"/>
                    </w:rPr>
                    <w:t>处理</w:t>
                  </w:r>
                </w:p>
              </w:tc>
              <w:tc>
                <w:tcPr>
                  <w:tcW w:w="2964" w:type="dxa"/>
                  <w:gridSpan w:val="3"/>
                  <w:vAlign w:val="center"/>
                </w:tcPr>
                <w:p>
                  <w:pPr>
                    <w:pStyle w:val="48"/>
                    <w:rPr>
                      <w:rFonts w:ascii="Times New Roman" w:hAnsi="Times New Roman" w:cs="Times New Roman"/>
                      <w:color w:val="000000"/>
                      <w:szCs w:val="21"/>
                    </w:rPr>
                  </w:pPr>
                  <w:r>
                    <w:rPr>
                      <w:rFonts w:hint="eastAsia" w:ascii="Times New Roman" w:hAnsi="Times New Roman" w:cs="Times New Roman"/>
                      <w:color w:val="000000"/>
                      <w:szCs w:val="21"/>
                    </w:rPr>
                    <w:t>站场</w:t>
                  </w:r>
                  <w:r>
                    <w:rPr>
                      <w:rFonts w:hint="eastAsia" w:ascii="Times New Roman" w:hAnsi="Times New Roman" w:cs="Times New Roman"/>
                      <w:color w:val="000000"/>
                      <w:szCs w:val="21"/>
                      <w:lang w:eastAsia="zh-CN"/>
                    </w:rPr>
                    <w:t>：</w:t>
                  </w:r>
                  <w:r>
                    <w:rPr>
                      <w:rFonts w:ascii="Times New Roman" w:hAnsi="Times New Roman" w:cs="Times New Roman"/>
                      <w:color w:val="000000"/>
                      <w:szCs w:val="21"/>
                    </w:rPr>
                    <w:t>施工作业带洒水，堆土场加盖篷布，避免大风天作业</w:t>
                  </w:r>
                </w:p>
                <w:p>
                  <w:pPr>
                    <w:pStyle w:val="48"/>
                    <w:rPr>
                      <w:rFonts w:ascii="Times New Roman" w:hAnsi="Times New Roman" w:cs="Times New Roman"/>
                      <w:color w:val="000000"/>
                      <w:szCs w:val="21"/>
                    </w:rPr>
                  </w:pPr>
                  <w:r>
                    <w:rPr>
                      <w:rFonts w:hint="eastAsia" w:ascii="Times New Roman" w:hAnsi="Times New Roman" w:cs="Times New Roman"/>
                      <w:color w:val="000000"/>
                      <w:szCs w:val="21"/>
                      <w:lang w:val="en-US" w:eastAsia="zh-CN"/>
                    </w:rPr>
                    <w:t>管线：</w:t>
                  </w:r>
                  <w:r>
                    <w:rPr>
                      <w:rFonts w:hint="eastAsia" w:ascii="Times New Roman" w:hAnsi="Times New Roman" w:cs="Times New Roman"/>
                      <w:color w:val="000000"/>
                      <w:szCs w:val="21"/>
                    </w:rPr>
                    <w:t>施工场界设置屏障和围墙，材料运输及堆放时设蓬盖，施工现场道路硬化，施工场地保洁，施工场地洒水抑尘等</w:t>
                  </w:r>
                </w:p>
              </w:tc>
              <w:tc>
                <w:tcPr>
                  <w:tcW w:w="1590" w:type="dxa"/>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20</w:t>
                  </w:r>
                </w:p>
              </w:tc>
              <w:tc>
                <w:tcPr>
                  <w:tcW w:w="2630" w:type="dxa"/>
                  <w:vMerge w:val="restart"/>
                  <w:vAlign w:val="center"/>
                </w:tcPr>
                <w:p>
                  <w:pPr>
                    <w:jc w:val="center"/>
                    <w:rPr>
                      <w:rFonts w:ascii="Times New Roman" w:hAnsi="Times New Roman"/>
                      <w:color w:val="000000"/>
                      <w:szCs w:val="22"/>
                    </w:rPr>
                  </w:pPr>
                  <w:r>
                    <w:rPr>
                      <w:rFonts w:hint="eastAsia" w:ascii="Times New Roman" w:hAnsi="Times New Roman"/>
                      <w:szCs w:val="21"/>
                    </w:rPr>
                    <w:t>执行《上海市大气污染物综合排放标准》（DB31/933-2015）表3中无组织排放监控浓度限值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Align w:val="center"/>
                </w:tcPr>
                <w:p>
                  <w:pPr>
                    <w:ind w:left="-105" w:leftChars="-50" w:right="-105" w:rightChars="-50"/>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营运期</w:t>
                  </w:r>
                </w:p>
              </w:tc>
              <w:tc>
                <w:tcPr>
                  <w:tcW w:w="1326" w:type="dxa"/>
                  <w:vMerge w:val="continue"/>
                  <w:vAlign w:val="center"/>
                </w:tcPr>
                <w:p>
                  <w:pPr>
                    <w:spacing w:line="240" w:lineRule="atLeast"/>
                    <w:jc w:val="center"/>
                    <w:rPr>
                      <w:rFonts w:ascii="Times New Roman" w:hAnsi="Times New Roman"/>
                      <w:color w:val="000000"/>
                      <w:szCs w:val="21"/>
                      <w:lang w:eastAsia="en-US"/>
                    </w:rPr>
                  </w:pPr>
                </w:p>
              </w:tc>
              <w:tc>
                <w:tcPr>
                  <w:tcW w:w="2964" w:type="dxa"/>
                  <w:gridSpan w:val="3"/>
                  <w:vAlign w:val="center"/>
                </w:tcPr>
                <w:p>
                  <w:pPr>
                    <w:pStyle w:val="48"/>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检修废气设置放空管</w:t>
                  </w:r>
                </w:p>
              </w:tc>
              <w:tc>
                <w:tcPr>
                  <w:tcW w:w="1590" w:type="dxa"/>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/（计入主体工程）</w:t>
                  </w:r>
                </w:p>
              </w:tc>
              <w:tc>
                <w:tcPr>
                  <w:tcW w:w="2630" w:type="dxa"/>
                  <w:vMerge w:val="continue"/>
                  <w:vAlign w:val="center"/>
                </w:tcPr>
                <w:p>
                  <w:pPr>
                    <w:jc w:val="center"/>
                    <w:rPr>
                      <w:rFonts w:hint="eastAsia"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Align w:val="center"/>
                </w:tcPr>
                <w:p>
                  <w:pPr>
                    <w:ind w:left="-105" w:leftChars="-50" w:right="-105" w:rightChars="-50"/>
                    <w:jc w:val="center"/>
                    <w:rPr>
                      <w:rFonts w:ascii="Times New Roman" w:hAnsi="Times New Roman"/>
                      <w:color w:val="000000"/>
                      <w:szCs w:val="21"/>
                    </w:rPr>
                  </w:pPr>
                  <w:r>
                    <w:rPr>
                      <w:rFonts w:ascii="Times New Roman" w:hAnsi="Times New Roman"/>
                      <w:color w:val="000000"/>
                      <w:szCs w:val="21"/>
                    </w:rPr>
                    <w:t>营运期</w:t>
                  </w:r>
                </w:p>
              </w:tc>
              <w:tc>
                <w:tcPr>
                  <w:tcW w:w="1326" w:type="dxa"/>
                  <w:vMerge w:val="restart"/>
                  <w:vAlign w:val="center"/>
                </w:tcPr>
                <w:p>
                  <w:pPr>
                    <w:pStyle w:val="48"/>
                    <w:rPr>
                      <w:rFonts w:ascii="Times New Roman" w:hAnsi="Times New Roman" w:cs="Times New Roman"/>
                      <w:color w:val="000000"/>
                      <w:szCs w:val="21"/>
                    </w:rPr>
                  </w:pPr>
                  <w:r>
                    <w:rPr>
                      <w:rFonts w:ascii="Times New Roman" w:hAnsi="Times New Roman" w:cs="Times New Roman"/>
                      <w:color w:val="000000"/>
                      <w:szCs w:val="21"/>
                    </w:rPr>
                    <w:t>污水处理与收集</w:t>
                  </w:r>
                </w:p>
              </w:tc>
              <w:tc>
                <w:tcPr>
                  <w:tcW w:w="2964" w:type="dxa"/>
                  <w:gridSpan w:val="3"/>
                  <w:vAlign w:val="center"/>
                </w:tcPr>
                <w:p>
                  <w:pPr>
                    <w:pStyle w:val="48"/>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rPr>
                    <w:t>运营期站场工作人员</w:t>
                  </w:r>
                  <w:r>
                    <w:rPr>
                      <w:rFonts w:ascii="Times New Roman" w:hAnsi="Times New Roman" w:cs="Times New Roman"/>
                      <w:color w:val="000000"/>
                      <w:szCs w:val="21"/>
                    </w:rPr>
                    <w:t>生活污水</w:t>
                  </w:r>
                  <w:r>
                    <w:rPr>
                      <w:rFonts w:hint="eastAsia" w:ascii="Times New Roman" w:hAnsi="Times New Roman" w:cs="Times New Roman"/>
                      <w:color w:val="000000"/>
                      <w:szCs w:val="21"/>
                    </w:rPr>
                    <w:t>经隔油池、化粪池预处理</w:t>
                  </w:r>
                  <w:r>
                    <w:rPr>
                      <w:rFonts w:hint="eastAsia" w:ascii="Times New Roman" w:hAnsi="Times New Roman" w:cs="Times New Roman"/>
                      <w:color w:val="000000"/>
                      <w:szCs w:val="21"/>
                      <w:lang w:eastAsia="zh-CN"/>
                    </w:rPr>
                    <w:t>，</w:t>
                  </w:r>
                  <w:r>
                    <w:rPr>
                      <w:rFonts w:hint="eastAsia" w:ascii="Times New Roman" w:hAnsi="Times New Roman" w:cs="Times New Roman"/>
                      <w:color w:val="000000"/>
                      <w:szCs w:val="21"/>
                      <w:lang w:val="en-US" w:eastAsia="zh-CN"/>
                    </w:rPr>
                    <w:t>清洗残夜排放至排污池，作为危废处置，不外排</w:t>
                  </w:r>
                </w:p>
              </w:tc>
              <w:tc>
                <w:tcPr>
                  <w:tcW w:w="1590" w:type="dxa"/>
                  <w:vAlign w:val="center"/>
                </w:tcPr>
                <w:p>
                  <w:pPr>
                    <w:jc w:val="center"/>
                    <w:rPr>
                      <w:rFonts w:ascii="Times New Roman" w:hAnsi="Times New Roman"/>
                      <w:color w:val="000000"/>
                      <w:szCs w:val="21"/>
                    </w:rPr>
                  </w:pPr>
                  <w:r>
                    <w:rPr>
                      <w:rFonts w:hint="eastAsia" w:ascii="Times New Roman" w:hAnsi="Times New Roman"/>
                      <w:color w:val="000000"/>
                      <w:szCs w:val="21"/>
                    </w:rPr>
                    <w:t>1</w:t>
                  </w:r>
                </w:p>
              </w:tc>
              <w:tc>
                <w:tcPr>
                  <w:tcW w:w="2630" w:type="dxa"/>
                  <w:vAlign w:val="center"/>
                </w:tcPr>
                <w:p>
                  <w:pPr>
                    <w:jc w:val="center"/>
                    <w:rPr>
                      <w:rFonts w:ascii="Times New Roman" w:hAnsi="Times New Roman"/>
                      <w:color w:val="000000"/>
                      <w:szCs w:val="22"/>
                    </w:rPr>
                  </w:pPr>
                  <w:r>
                    <w:rPr>
                      <w:rFonts w:ascii="Times New Roman" w:hAnsi="Times New Roman"/>
                      <w:color w:val="000000"/>
                    </w:rPr>
                    <w:t>《污水综合排放标准》（GB8978-1996）中的三级标准（氨氮参照《污水排入城镇下水道水质标准》（GB/T31962-2015中的标准）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restart"/>
                  <w:vAlign w:val="center"/>
                </w:tcPr>
                <w:p>
                  <w:pPr>
                    <w:ind w:left="-105" w:leftChars="-50" w:right="-105" w:rightChars="-50"/>
                    <w:jc w:val="center"/>
                    <w:rPr>
                      <w:rFonts w:ascii="Times New Roman" w:hAnsi="Times New Roman"/>
                      <w:color w:val="000000"/>
                      <w:szCs w:val="21"/>
                    </w:rPr>
                  </w:pPr>
                  <w:r>
                    <w:rPr>
                      <w:rFonts w:hint="eastAsia" w:ascii="Times New Roman" w:hAnsi="Times New Roman"/>
                      <w:color w:val="000000"/>
                      <w:szCs w:val="21"/>
                    </w:rPr>
                    <w:t>施工期</w:t>
                  </w:r>
                </w:p>
              </w:tc>
              <w:tc>
                <w:tcPr>
                  <w:tcW w:w="1326" w:type="dxa"/>
                  <w:vMerge w:val="continue"/>
                  <w:vAlign w:val="center"/>
                </w:tcPr>
                <w:p>
                  <w:pPr>
                    <w:pStyle w:val="48"/>
                    <w:rPr>
                      <w:rFonts w:ascii="Times New Roman" w:hAnsi="Times New Roman" w:cs="Times New Roman"/>
                      <w:color w:val="000000"/>
                      <w:szCs w:val="21"/>
                    </w:rPr>
                  </w:pPr>
                </w:p>
              </w:tc>
              <w:tc>
                <w:tcPr>
                  <w:tcW w:w="1046" w:type="dxa"/>
                  <w:gridSpan w:val="2"/>
                  <w:vAlign w:val="center"/>
                </w:tcPr>
                <w:p>
                  <w:pPr>
                    <w:jc w:val="center"/>
                    <w:rPr>
                      <w:rFonts w:ascii="Times New Roman" w:hAnsi="Times New Roman"/>
                      <w:color w:val="000000"/>
                      <w:szCs w:val="21"/>
                    </w:rPr>
                  </w:pPr>
                  <w:r>
                    <w:rPr>
                      <w:rFonts w:ascii="Times New Roman" w:hAnsi="Times New Roman"/>
                      <w:color w:val="000000"/>
                      <w:szCs w:val="21"/>
                    </w:rPr>
                    <w:t>泥浆废水</w:t>
                  </w:r>
                </w:p>
              </w:tc>
              <w:tc>
                <w:tcPr>
                  <w:tcW w:w="1918" w:type="dxa"/>
                  <w:vMerge w:val="restart"/>
                  <w:vAlign w:val="center"/>
                </w:tcPr>
                <w:p>
                  <w:pPr>
                    <w:jc w:val="center"/>
                    <w:rPr>
                      <w:rFonts w:ascii="Times New Roman" w:hAnsi="Times New Roman"/>
                      <w:color w:val="000000"/>
                      <w:szCs w:val="21"/>
                    </w:rPr>
                  </w:pPr>
                  <w:r>
                    <w:rPr>
                      <w:rFonts w:hint="eastAsia" w:ascii="Times New Roman" w:hAnsi="Times New Roman"/>
                      <w:color w:val="000000"/>
                      <w:szCs w:val="21"/>
                      <w:lang w:val="en-US" w:eastAsia="zh-CN"/>
                    </w:rPr>
                    <w:t>沉淀池6座，</w:t>
                  </w:r>
                  <w:r>
                    <w:rPr>
                      <w:rFonts w:hint="eastAsia" w:ascii="Times New Roman" w:hAnsi="Times New Roman"/>
                      <w:color w:val="000000"/>
                      <w:szCs w:val="21"/>
                    </w:rPr>
                    <w:t>泥浆池</w:t>
                  </w:r>
                  <w:r>
                    <w:rPr>
                      <w:rFonts w:hint="eastAsia" w:ascii="Times New Roman" w:hAnsi="Times New Roman"/>
                      <w:color w:val="000000"/>
                      <w:szCs w:val="21"/>
                      <w:lang w:val="en-US" w:eastAsia="zh-CN"/>
                    </w:rPr>
                    <w:t>4</w:t>
                  </w:r>
                  <w:r>
                    <w:rPr>
                      <w:rFonts w:hint="eastAsia" w:ascii="Times New Roman" w:hAnsi="Times New Roman"/>
                      <w:color w:val="000000"/>
                      <w:szCs w:val="21"/>
                    </w:rPr>
                    <w:t>座</w:t>
                  </w:r>
                </w:p>
              </w:tc>
              <w:tc>
                <w:tcPr>
                  <w:tcW w:w="1590" w:type="dxa"/>
                  <w:vMerge w:val="restart"/>
                  <w:vAlign w:val="center"/>
                </w:tcPr>
                <w:p>
                  <w:pPr>
                    <w:jc w:val="center"/>
                    <w:rPr>
                      <w:rFonts w:hint="eastAsia" w:ascii="Times New Roman" w:hAnsi="Times New Roman" w:eastAsia="宋体"/>
                      <w:color w:val="000000"/>
                      <w:szCs w:val="21"/>
                      <w:lang w:eastAsia="zh-CN"/>
                    </w:rPr>
                  </w:pPr>
                  <w:r>
                    <w:rPr>
                      <w:rFonts w:hint="eastAsia" w:ascii="Times New Roman" w:hAnsi="Times New Roman"/>
                      <w:color w:val="000000"/>
                      <w:szCs w:val="21"/>
                      <w:lang w:val="en-US" w:eastAsia="zh-CN"/>
                    </w:rPr>
                    <w:t>8</w:t>
                  </w:r>
                </w:p>
              </w:tc>
              <w:tc>
                <w:tcPr>
                  <w:tcW w:w="2630" w:type="dxa"/>
                  <w:vMerge w:val="restart"/>
                  <w:vAlign w:val="center"/>
                </w:tcPr>
                <w:p>
                  <w:pPr>
                    <w:jc w:val="center"/>
                    <w:rPr>
                      <w:rFonts w:ascii="Times New Roman" w:hAnsi="Times New Roman"/>
                      <w:color w:val="000000"/>
                    </w:rPr>
                  </w:pPr>
                  <w:r>
                    <w:rPr>
                      <w:rFonts w:hint="eastAsia" w:ascii="Times New Roman" w:hAnsi="Times New Roman"/>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continue"/>
                  <w:vAlign w:val="center"/>
                </w:tcPr>
                <w:p>
                  <w:pPr>
                    <w:ind w:left="-105" w:leftChars="-50" w:right="-105" w:rightChars="-50"/>
                    <w:jc w:val="center"/>
                    <w:rPr>
                      <w:rFonts w:ascii="Times New Roman" w:hAnsi="Times New Roman"/>
                      <w:color w:val="000000"/>
                      <w:szCs w:val="21"/>
                    </w:rPr>
                  </w:pPr>
                </w:p>
              </w:tc>
              <w:tc>
                <w:tcPr>
                  <w:tcW w:w="1326" w:type="dxa"/>
                  <w:vMerge w:val="continue"/>
                  <w:vAlign w:val="center"/>
                </w:tcPr>
                <w:p>
                  <w:pPr>
                    <w:pStyle w:val="48"/>
                    <w:rPr>
                      <w:rFonts w:ascii="Times New Roman" w:hAnsi="Times New Roman" w:cs="Times New Roman"/>
                      <w:color w:val="000000"/>
                      <w:szCs w:val="21"/>
                    </w:rPr>
                  </w:pPr>
                </w:p>
              </w:tc>
              <w:tc>
                <w:tcPr>
                  <w:tcW w:w="1046" w:type="dxa"/>
                  <w:gridSpan w:val="2"/>
                  <w:vAlign w:val="center"/>
                </w:tcPr>
                <w:p>
                  <w:pPr>
                    <w:jc w:val="center"/>
                    <w:rPr>
                      <w:rFonts w:ascii="Times New Roman" w:hAnsi="Times New Roman"/>
                      <w:color w:val="000000"/>
                      <w:szCs w:val="21"/>
                    </w:rPr>
                  </w:pPr>
                  <w:r>
                    <w:rPr>
                      <w:rFonts w:ascii="Times New Roman" w:hAnsi="Times New Roman"/>
                      <w:color w:val="000000"/>
                      <w:szCs w:val="21"/>
                    </w:rPr>
                    <w:t>试压废水处理</w:t>
                  </w:r>
                </w:p>
              </w:tc>
              <w:tc>
                <w:tcPr>
                  <w:tcW w:w="1918" w:type="dxa"/>
                  <w:vMerge w:val="continue"/>
                  <w:vAlign w:val="center"/>
                </w:tcPr>
                <w:p>
                  <w:pPr>
                    <w:jc w:val="center"/>
                    <w:rPr>
                      <w:rFonts w:ascii="Times New Roman" w:hAnsi="Times New Roman"/>
                      <w:color w:val="000000"/>
                      <w:szCs w:val="21"/>
                    </w:rPr>
                  </w:pPr>
                </w:p>
              </w:tc>
              <w:tc>
                <w:tcPr>
                  <w:tcW w:w="1590" w:type="dxa"/>
                  <w:vMerge w:val="continue"/>
                  <w:vAlign w:val="center"/>
                </w:tcPr>
                <w:p>
                  <w:pPr>
                    <w:jc w:val="center"/>
                    <w:rPr>
                      <w:rFonts w:ascii="Times New Roman" w:hAnsi="Times New Roman"/>
                      <w:color w:val="000000"/>
                      <w:szCs w:val="21"/>
                    </w:rPr>
                  </w:pPr>
                </w:p>
              </w:tc>
              <w:tc>
                <w:tcPr>
                  <w:tcW w:w="2630" w:type="dxa"/>
                  <w:vMerge w:val="continue"/>
                  <w:vAlign w:val="center"/>
                </w:tcPr>
                <w:p>
                  <w:pPr>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restart"/>
                  <w:vAlign w:val="center"/>
                </w:tcPr>
                <w:p>
                  <w:pPr>
                    <w:ind w:left="-105" w:leftChars="-50" w:right="-105" w:rightChars="-50"/>
                    <w:jc w:val="center"/>
                    <w:rPr>
                      <w:rFonts w:ascii="Times New Roman" w:hAnsi="Times New Roman"/>
                      <w:color w:val="000000"/>
                      <w:szCs w:val="21"/>
                    </w:rPr>
                  </w:pPr>
                  <w:r>
                    <w:rPr>
                      <w:rFonts w:hint="eastAsia" w:ascii="Times New Roman" w:hAnsi="Times New Roman"/>
                      <w:color w:val="000000"/>
                      <w:szCs w:val="21"/>
                    </w:rPr>
                    <w:t>施工期</w:t>
                  </w:r>
                </w:p>
              </w:tc>
              <w:tc>
                <w:tcPr>
                  <w:tcW w:w="1326" w:type="dxa"/>
                  <w:vMerge w:val="restart"/>
                  <w:vAlign w:val="center"/>
                </w:tcPr>
                <w:p>
                  <w:pPr>
                    <w:pStyle w:val="48"/>
                    <w:rPr>
                      <w:rFonts w:ascii="Times New Roman" w:hAnsi="Times New Roman" w:cs="Times New Roman"/>
                      <w:color w:val="000000"/>
                      <w:szCs w:val="21"/>
                    </w:rPr>
                  </w:pPr>
                  <w:r>
                    <w:rPr>
                      <w:rFonts w:ascii="Times New Roman" w:hAnsi="Times New Roman" w:cs="Times New Roman"/>
                      <w:color w:val="000000"/>
                      <w:szCs w:val="21"/>
                    </w:rPr>
                    <w:t>固废处理</w:t>
                  </w:r>
                </w:p>
              </w:tc>
              <w:tc>
                <w:tcPr>
                  <w:tcW w:w="2964" w:type="dxa"/>
                  <w:gridSpan w:val="3"/>
                  <w:vAlign w:val="center"/>
                </w:tcPr>
                <w:p>
                  <w:pPr>
                    <w:pStyle w:val="48"/>
                    <w:rPr>
                      <w:rFonts w:ascii="Times New Roman" w:hAnsi="Times New Roman" w:cs="Times New Roman"/>
                      <w:color w:val="000000"/>
                      <w:szCs w:val="21"/>
                    </w:rPr>
                  </w:pPr>
                  <w:r>
                    <w:rPr>
                      <w:rFonts w:ascii="Times New Roman" w:hAnsi="Times New Roman" w:cs="Times New Roman"/>
                      <w:color w:val="000000"/>
                      <w:szCs w:val="21"/>
                    </w:rPr>
                    <w:t>生活垃圾收集桶</w:t>
                  </w:r>
                </w:p>
              </w:tc>
              <w:tc>
                <w:tcPr>
                  <w:tcW w:w="1590" w:type="dxa"/>
                  <w:vAlign w:val="center"/>
                </w:tcPr>
                <w:p>
                  <w:pPr>
                    <w:jc w:val="center"/>
                    <w:rPr>
                      <w:rFonts w:ascii="Times New Roman" w:hAnsi="Times New Roman"/>
                      <w:color w:val="000000"/>
                      <w:szCs w:val="21"/>
                    </w:rPr>
                  </w:pPr>
                  <w:r>
                    <w:rPr>
                      <w:rFonts w:ascii="Times New Roman" w:hAnsi="Times New Roman"/>
                      <w:color w:val="000000"/>
                      <w:szCs w:val="21"/>
                    </w:rPr>
                    <w:t>/</w:t>
                  </w:r>
                </w:p>
              </w:tc>
              <w:tc>
                <w:tcPr>
                  <w:tcW w:w="2630" w:type="dxa"/>
                  <w:vAlign w:val="center"/>
                </w:tcPr>
                <w:p>
                  <w:pPr>
                    <w:jc w:val="center"/>
                    <w:rPr>
                      <w:rFonts w:ascii="Times New Roman" w:hAnsi="Times New Roman"/>
                      <w:color w:val="000000"/>
                      <w:szCs w:val="22"/>
                    </w:rPr>
                  </w:pPr>
                  <w:r>
                    <w:rPr>
                      <w:rFonts w:ascii="Times New Roman" w:hAnsi="Times New Roman"/>
                      <w:color w:val="000000"/>
                      <w:szCs w:val="21"/>
                    </w:rPr>
                    <w:t>符合环境卫生管理要求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continue"/>
                  <w:vAlign w:val="center"/>
                </w:tcPr>
                <w:p>
                  <w:pPr>
                    <w:ind w:left="-105" w:leftChars="-50" w:right="-105" w:rightChars="-50"/>
                    <w:jc w:val="center"/>
                    <w:rPr>
                      <w:rFonts w:ascii="Times New Roman" w:hAnsi="Times New Roman"/>
                      <w:color w:val="000000"/>
                      <w:szCs w:val="21"/>
                    </w:rPr>
                  </w:pPr>
                </w:p>
              </w:tc>
              <w:tc>
                <w:tcPr>
                  <w:tcW w:w="1326" w:type="dxa"/>
                  <w:vMerge w:val="continue"/>
                  <w:vAlign w:val="center"/>
                </w:tcPr>
                <w:p>
                  <w:pPr>
                    <w:pStyle w:val="48"/>
                    <w:rPr>
                      <w:rFonts w:ascii="Times New Roman" w:hAnsi="Times New Roman" w:cs="Times New Roman"/>
                      <w:color w:val="000000"/>
                      <w:szCs w:val="21"/>
                    </w:rPr>
                  </w:pPr>
                </w:p>
              </w:tc>
              <w:tc>
                <w:tcPr>
                  <w:tcW w:w="1046" w:type="dxa"/>
                  <w:gridSpan w:val="2"/>
                  <w:vAlign w:val="center"/>
                </w:tcPr>
                <w:p>
                  <w:pPr>
                    <w:jc w:val="center"/>
                    <w:rPr>
                      <w:rFonts w:ascii="Times New Roman" w:hAnsi="Times New Roman"/>
                      <w:color w:val="000000"/>
                      <w:szCs w:val="21"/>
                    </w:rPr>
                  </w:pPr>
                  <w:r>
                    <w:rPr>
                      <w:rFonts w:ascii="Times New Roman" w:hAnsi="Times New Roman"/>
                      <w:color w:val="000000"/>
                      <w:szCs w:val="21"/>
                    </w:rPr>
                    <w:t>施工废料</w:t>
                  </w:r>
                </w:p>
              </w:tc>
              <w:tc>
                <w:tcPr>
                  <w:tcW w:w="1918" w:type="dxa"/>
                  <w:vAlign w:val="center"/>
                </w:tcPr>
                <w:p>
                  <w:pPr>
                    <w:jc w:val="center"/>
                    <w:rPr>
                      <w:rFonts w:ascii="Times New Roman" w:hAnsi="Times New Roman"/>
                      <w:color w:val="000000"/>
                      <w:szCs w:val="21"/>
                    </w:rPr>
                  </w:pPr>
                  <w:r>
                    <w:rPr>
                      <w:rFonts w:hint="eastAsia" w:ascii="Times New Roman" w:hAnsi="Times New Roman"/>
                      <w:color w:val="000000"/>
                      <w:szCs w:val="21"/>
                    </w:rPr>
                    <w:t>集中收集</w:t>
                  </w:r>
                </w:p>
              </w:tc>
              <w:tc>
                <w:tcPr>
                  <w:tcW w:w="1590" w:type="dxa"/>
                  <w:vAlign w:val="center"/>
                </w:tcPr>
                <w:p>
                  <w:pPr>
                    <w:jc w:val="center"/>
                    <w:rPr>
                      <w:rFonts w:hint="eastAsia" w:ascii="Times New Roman" w:hAnsi="Times New Roman" w:eastAsia="宋体"/>
                      <w:color w:val="000000"/>
                      <w:szCs w:val="21"/>
                      <w:lang w:eastAsia="zh-CN"/>
                    </w:rPr>
                  </w:pPr>
                  <w:r>
                    <w:rPr>
                      <w:rFonts w:hint="eastAsia" w:ascii="Times New Roman" w:hAnsi="Times New Roman"/>
                      <w:color w:val="000000"/>
                      <w:szCs w:val="21"/>
                      <w:lang w:val="en-US" w:eastAsia="zh-CN"/>
                    </w:rPr>
                    <w:t>1</w:t>
                  </w:r>
                </w:p>
              </w:tc>
              <w:tc>
                <w:tcPr>
                  <w:tcW w:w="2630" w:type="dxa"/>
                  <w:vAlign w:val="center"/>
                </w:tcPr>
                <w:p>
                  <w:pPr>
                    <w:jc w:val="center"/>
                    <w:rPr>
                      <w:rFonts w:ascii="Times New Roman" w:hAnsi="Times New Roman"/>
                      <w:color w:val="000000"/>
                      <w:szCs w:val="21"/>
                    </w:rPr>
                  </w:pPr>
                  <w:r>
                    <w:rPr>
                      <w:rFonts w:ascii="Times New Roman" w:hAnsi="Times New Roman"/>
                      <w:color w:val="000000"/>
                      <w:szCs w:val="21"/>
                    </w:rPr>
                    <w:t>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560" w:type="dxa"/>
                  <w:vMerge w:val="continue"/>
                  <w:vAlign w:val="center"/>
                </w:tcPr>
                <w:p>
                  <w:pPr>
                    <w:ind w:left="-105" w:leftChars="-50" w:right="-105" w:rightChars="-50"/>
                    <w:jc w:val="center"/>
                    <w:rPr>
                      <w:rFonts w:ascii="Times New Roman" w:hAnsi="Times New Roman"/>
                      <w:color w:val="000000"/>
                      <w:szCs w:val="21"/>
                    </w:rPr>
                  </w:pPr>
                </w:p>
              </w:tc>
              <w:tc>
                <w:tcPr>
                  <w:tcW w:w="1326" w:type="dxa"/>
                  <w:vMerge w:val="continue"/>
                  <w:vAlign w:val="center"/>
                </w:tcPr>
                <w:p>
                  <w:pPr>
                    <w:pStyle w:val="48"/>
                    <w:rPr>
                      <w:rFonts w:ascii="Times New Roman" w:hAnsi="Times New Roman" w:cs="Times New Roman"/>
                      <w:color w:val="000000"/>
                      <w:szCs w:val="21"/>
                    </w:rPr>
                  </w:pPr>
                </w:p>
              </w:tc>
              <w:tc>
                <w:tcPr>
                  <w:tcW w:w="1046" w:type="dxa"/>
                  <w:gridSpan w:val="2"/>
                  <w:vAlign w:val="center"/>
                </w:tcPr>
                <w:p>
                  <w:pPr>
                    <w:jc w:val="center"/>
                    <w:rPr>
                      <w:rFonts w:ascii="Times New Roman" w:hAnsi="Times New Roman"/>
                      <w:color w:val="000000"/>
                      <w:szCs w:val="21"/>
                    </w:rPr>
                  </w:pPr>
                  <w:r>
                    <w:rPr>
                      <w:rFonts w:ascii="Times New Roman" w:hAnsi="Times New Roman"/>
                      <w:color w:val="000000"/>
                      <w:szCs w:val="21"/>
                    </w:rPr>
                    <w:t>土石方</w:t>
                  </w:r>
                </w:p>
              </w:tc>
              <w:tc>
                <w:tcPr>
                  <w:tcW w:w="1918" w:type="dxa"/>
                  <w:vAlign w:val="center"/>
                </w:tcPr>
                <w:p>
                  <w:pPr>
                    <w:jc w:val="left"/>
                    <w:rPr>
                      <w:rFonts w:hint="default" w:ascii="Times New Roman" w:hAnsi="Times New Roman" w:eastAsia="宋体"/>
                      <w:color w:val="000000"/>
                      <w:szCs w:val="21"/>
                      <w:lang w:val="en-US" w:eastAsia="zh-CN"/>
                    </w:rPr>
                  </w:pPr>
                  <w:r>
                    <w:rPr>
                      <w:rFonts w:ascii="Times New Roman" w:hAnsi="Times New Roman"/>
                      <w:color w:val="000000"/>
                      <w:szCs w:val="21"/>
                    </w:rPr>
                    <w:t>妥善堆放在施工作业带内，待管道敷设后回填</w:t>
                  </w:r>
                  <w:r>
                    <w:rPr>
                      <w:rFonts w:hint="eastAsia" w:ascii="Times New Roman" w:hAnsi="Times New Roman"/>
                      <w:color w:val="000000"/>
                      <w:szCs w:val="21"/>
                      <w:lang w:eastAsia="zh-CN"/>
                    </w:rPr>
                    <w:t>，</w:t>
                  </w:r>
                  <w:r>
                    <w:rPr>
                      <w:rFonts w:hint="eastAsia" w:ascii="Times New Roman" w:hAnsi="Times New Roman"/>
                      <w:color w:val="000000"/>
                      <w:szCs w:val="21"/>
                      <w:lang w:val="en-US" w:eastAsia="zh-CN"/>
                    </w:rPr>
                    <w:t>弃土运送至指定地点</w:t>
                  </w:r>
                </w:p>
              </w:tc>
              <w:tc>
                <w:tcPr>
                  <w:tcW w:w="1590" w:type="dxa"/>
                  <w:vAlign w:val="center"/>
                </w:tcPr>
                <w:p>
                  <w:pPr>
                    <w:jc w:val="center"/>
                    <w:rPr>
                      <w:rFonts w:ascii="Times New Roman" w:hAnsi="Times New Roman"/>
                      <w:color w:val="000000"/>
                      <w:szCs w:val="21"/>
                    </w:rPr>
                  </w:pPr>
                  <w:r>
                    <w:rPr>
                      <w:rFonts w:hint="eastAsia" w:ascii="Times New Roman" w:hAnsi="Times New Roman"/>
                      <w:color w:val="000000"/>
                      <w:szCs w:val="21"/>
                    </w:rPr>
                    <w:t>5</w:t>
                  </w:r>
                </w:p>
              </w:tc>
              <w:tc>
                <w:tcPr>
                  <w:tcW w:w="2630" w:type="dxa"/>
                  <w:vAlign w:val="center"/>
                </w:tcPr>
                <w:p>
                  <w:pPr>
                    <w:jc w:val="center"/>
                    <w:rPr>
                      <w:rFonts w:ascii="Times New Roman" w:hAnsi="Times New Roman"/>
                      <w:color w:val="000000"/>
                      <w:szCs w:val="21"/>
                    </w:rPr>
                  </w:pPr>
                  <w:r>
                    <w:rPr>
                      <w:rFonts w:ascii="Times New Roman" w:hAnsi="Times New Roman"/>
                      <w:color w:val="000000"/>
                      <w:szCs w:val="21"/>
                    </w:rPr>
                    <w:t>全部回填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continue"/>
                  <w:vAlign w:val="center"/>
                </w:tcPr>
                <w:p>
                  <w:pPr>
                    <w:ind w:left="-105" w:leftChars="-50" w:right="-105" w:rightChars="-50"/>
                    <w:jc w:val="center"/>
                    <w:rPr>
                      <w:rFonts w:ascii="Times New Roman" w:hAnsi="Times New Roman"/>
                      <w:color w:val="000000"/>
                      <w:szCs w:val="21"/>
                    </w:rPr>
                  </w:pPr>
                </w:p>
              </w:tc>
              <w:tc>
                <w:tcPr>
                  <w:tcW w:w="1326" w:type="dxa"/>
                  <w:vMerge w:val="continue"/>
                  <w:vAlign w:val="center"/>
                </w:tcPr>
                <w:p>
                  <w:pPr>
                    <w:pStyle w:val="48"/>
                    <w:rPr>
                      <w:rFonts w:ascii="Times New Roman" w:hAnsi="Times New Roman" w:cs="Times New Roman"/>
                      <w:color w:val="000000"/>
                      <w:szCs w:val="21"/>
                    </w:rPr>
                  </w:pPr>
                </w:p>
              </w:tc>
              <w:tc>
                <w:tcPr>
                  <w:tcW w:w="1046" w:type="dxa"/>
                  <w:gridSpan w:val="2"/>
                  <w:vAlign w:val="center"/>
                </w:tcPr>
                <w:p>
                  <w:pPr>
                    <w:jc w:val="center"/>
                    <w:rPr>
                      <w:rFonts w:ascii="Times New Roman" w:hAnsi="Times New Roman"/>
                      <w:color w:val="000000"/>
                      <w:szCs w:val="21"/>
                    </w:rPr>
                  </w:pPr>
                  <w:r>
                    <w:rPr>
                      <w:rFonts w:hint="eastAsia" w:ascii="Times New Roman" w:hAnsi="Times New Roman"/>
                      <w:color w:val="000000"/>
                      <w:szCs w:val="21"/>
                    </w:rPr>
                    <w:t>废弃</w:t>
                  </w:r>
                  <w:r>
                    <w:rPr>
                      <w:rFonts w:ascii="Times New Roman" w:hAnsi="Times New Roman"/>
                      <w:color w:val="000000"/>
                      <w:szCs w:val="21"/>
                    </w:rPr>
                    <w:t>泥浆</w:t>
                  </w:r>
                </w:p>
              </w:tc>
              <w:tc>
                <w:tcPr>
                  <w:tcW w:w="1918" w:type="dxa"/>
                  <w:vAlign w:val="center"/>
                </w:tcPr>
                <w:p>
                  <w:pPr>
                    <w:pStyle w:val="48"/>
                    <w:rPr>
                      <w:rFonts w:ascii="Times New Roman" w:hAnsi="Times New Roman" w:cs="Times New Roman"/>
                      <w:color w:val="000000"/>
                      <w:szCs w:val="21"/>
                    </w:rPr>
                  </w:pPr>
                  <w:r>
                    <w:rPr>
                      <w:rFonts w:hint="eastAsia" w:ascii="Times New Roman" w:hAnsi="Times New Roman" w:cs="Times New Roman"/>
                      <w:color w:val="000000"/>
                      <w:szCs w:val="21"/>
                    </w:rPr>
                    <w:t>泥浆贮存池，泥浆调节pH后，经干化处理，回填于管道施工作业区覆土，共</w:t>
                  </w:r>
                  <w:r>
                    <w:rPr>
                      <w:rFonts w:hint="eastAsia" w:ascii="Times New Roman" w:hAnsi="Times New Roman" w:cs="Times New Roman"/>
                      <w:color w:val="000000"/>
                      <w:szCs w:val="21"/>
                      <w:lang w:val="en-US" w:eastAsia="zh-CN"/>
                    </w:rPr>
                    <w:t>1</w:t>
                  </w:r>
                  <w:r>
                    <w:rPr>
                      <w:rFonts w:hint="eastAsia" w:ascii="Times New Roman" w:hAnsi="Times New Roman" w:cs="Times New Roman"/>
                      <w:color w:val="000000"/>
                      <w:szCs w:val="21"/>
                    </w:rPr>
                    <w:t>处</w:t>
                  </w:r>
                </w:p>
              </w:tc>
              <w:tc>
                <w:tcPr>
                  <w:tcW w:w="1590" w:type="dxa"/>
                  <w:vAlign w:val="center"/>
                </w:tcPr>
                <w:p>
                  <w:pPr>
                    <w:jc w:val="center"/>
                    <w:rPr>
                      <w:rFonts w:ascii="Times New Roman" w:hAnsi="Times New Roman"/>
                      <w:color w:val="000000"/>
                      <w:szCs w:val="21"/>
                    </w:rPr>
                  </w:pPr>
                  <w:r>
                    <w:rPr>
                      <w:rFonts w:hint="eastAsia" w:ascii="Times New Roman" w:hAnsi="Times New Roman"/>
                      <w:color w:val="000000"/>
                      <w:szCs w:val="21"/>
                    </w:rPr>
                    <w:t>2</w:t>
                  </w:r>
                </w:p>
              </w:tc>
              <w:tc>
                <w:tcPr>
                  <w:tcW w:w="2630" w:type="dxa"/>
                  <w:vAlign w:val="center"/>
                </w:tcPr>
                <w:p>
                  <w:pPr>
                    <w:jc w:val="center"/>
                    <w:rPr>
                      <w:rFonts w:ascii="Times New Roman" w:hAnsi="Times New Roman"/>
                      <w:color w:val="000000"/>
                      <w:szCs w:val="21"/>
                    </w:rPr>
                  </w:pPr>
                  <w:r>
                    <w:rPr>
                      <w:rFonts w:ascii="Times New Roman" w:hAnsi="Times New Roman"/>
                      <w:color w:val="000000"/>
                      <w:szCs w:val="21"/>
                    </w:rPr>
                    <w:t>回填绿化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restart"/>
                  <w:vAlign w:val="center"/>
                </w:tcPr>
                <w:p>
                  <w:pPr>
                    <w:ind w:left="-105" w:leftChars="-50" w:right="-105" w:rightChars="-50"/>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营运期</w:t>
                  </w:r>
                </w:p>
              </w:tc>
              <w:tc>
                <w:tcPr>
                  <w:tcW w:w="1326" w:type="dxa"/>
                  <w:vMerge w:val="continue"/>
                  <w:vAlign w:val="center"/>
                </w:tcPr>
                <w:p>
                  <w:pPr>
                    <w:pStyle w:val="48"/>
                    <w:rPr>
                      <w:rFonts w:ascii="Times New Roman" w:hAnsi="Times New Roman" w:cs="Times New Roman"/>
                      <w:color w:val="000000"/>
                      <w:szCs w:val="21"/>
                    </w:rPr>
                  </w:pPr>
                </w:p>
              </w:tc>
              <w:tc>
                <w:tcPr>
                  <w:tcW w:w="2964" w:type="dxa"/>
                  <w:gridSpan w:val="3"/>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高安站、横山站设置生活垃圾储存箱，横山站新建危险废物暂存间1间，10m</w:t>
                  </w:r>
                  <w:r>
                    <w:rPr>
                      <w:rFonts w:hint="eastAsia" w:ascii="Times New Roman" w:hAnsi="Times New Roman" w:eastAsia="宋体" w:cs="Times New Roman"/>
                      <w:color w:val="000000"/>
                      <w:kern w:val="2"/>
                      <w:sz w:val="21"/>
                      <w:szCs w:val="21"/>
                      <w:vertAlign w:val="superscript"/>
                      <w:lang w:val="en-US" w:eastAsia="zh-CN" w:bidi="ar-SA"/>
                    </w:rPr>
                    <w:t>2</w:t>
                  </w:r>
                  <w:r>
                    <w:rPr>
                      <w:rFonts w:hint="eastAsia" w:ascii="Times New Roman" w:hAnsi="Times New Roman" w:eastAsia="宋体" w:cs="Times New Roman"/>
                      <w:color w:val="000000"/>
                      <w:kern w:val="2"/>
                      <w:sz w:val="21"/>
                      <w:szCs w:val="21"/>
                      <w:lang w:val="en-US" w:eastAsia="zh-CN" w:bidi="ar-SA"/>
                    </w:rPr>
                    <w:t>。</w:t>
                  </w:r>
                </w:p>
              </w:tc>
              <w:tc>
                <w:tcPr>
                  <w:tcW w:w="1590" w:type="dxa"/>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5</w:t>
                  </w:r>
                </w:p>
              </w:tc>
              <w:tc>
                <w:tcPr>
                  <w:tcW w:w="2630" w:type="dxa"/>
                  <w:vMerge w:val="restart"/>
                  <w:vAlign w:val="center"/>
                </w:tcPr>
                <w:p>
                  <w:pPr>
                    <w:jc w:val="center"/>
                    <w:rPr>
                      <w:rFonts w:ascii="Times New Roman" w:hAnsi="Times New Roman"/>
                      <w:color w:val="000000"/>
                      <w:szCs w:val="21"/>
                    </w:rPr>
                  </w:pPr>
                  <w:r>
                    <w:rPr>
                      <w:rFonts w:hint="default" w:ascii="Times New Roman" w:hAnsi="Times New Roman" w:cs="Times New Roman"/>
                      <w:color w:val="000000"/>
                      <w:szCs w:val="21"/>
                    </w:rPr>
                    <w:t>符合</w:t>
                  </w:r>
                  <w:r>
                    <w:rPr>
                      <w:rFonts w:hint="default" w:ascii="Times New Roman" w:hAnsi="Times New Roman" w:cs="Times New Roman"/>
                      <w:color w:val="000000"/>
                      <w:szCs w:val="21"/>
                      <w:lang w:val="en-US" w:eastAsia="zh-CN"/>
                    </w:rPr>
                    <w:t>危废暂存场所建设要求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continue"/>
                  <w:vAlign w:val="center"/>
                </w:tcPr>
                <w:p>
                  <w:pPr>
                    <w:ind w:left="-105" w:leftChars="-50" w:right="-105" w:rightChars="-50"/>
                    <w:jc w:val="center"/>
                    <w:rPr>
                      <w:rFonts w:ascii="Times New Roman" w:hAnsi="Times New Roman"/>
                      <w:color w:val="000000"/>
                      <w:szCs w:val="21"/>
                    </w:rPr>
                  </w:pPr>
                </w:p>
              </w:tc>
              <w:tc>
                <w:tcPr>
                  <w:tcW w:w="1326" w:type="dxa"/>
                  <w:vMerge w:val="continue"/>
                  <w:vAlign w:val="center"/>
                </w:tcPr>
                <w:p>
                  <w:pPr>
                    <w:pStyle w:val="48"/>
                    <w:rPr>
                      <w:rFonts w:ascii="Times New Roman" w:hAnsi="Times New Roman" w:cs="Times New Roman"/>
                      <w:color w:val="000000"/>
                      <w:szCs w:val="21"/>
                    </w:rPr>
                  </w:pPr>
                </w:p>
              </w:tc>
              <w:tc>
                <w:tcPr>
                  <w:tcW w:w="2964" w:type="dxa"/>
                  <w:gridSpan w:val="3"/>
                  <w:vAlign w:val="center"/>
                </w:tcPr>
                <w:p>
                  <w:pPr>
                    <w:pStyle w:val="102"/>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废渣（过滤废渣、清管废渣）、分离器排污和设备内部清洗水暂存于排污池集中处理，定期送有资质单位处置，高安站、横山站排污池容积均为5m</w:t>
                  </w:r>
                  <w:r>
                    <w:rPr>
                      <w:rFonts w:hint="eastAsia" w:ascii="Times New Roman" w:hAnsi="Times New Roman" w:eastAsia="宋体" w:cs="Times New Roman"/>
                      <w:color w:val="000000"/>
                      <w:kern w:val="2"/>
                      <w:sz w:val="21"/>
                      <w:szCs w:val="21"/>
                      <w:vertAlign w:val="superscript"/>
                      <w:lang w:val="en-US" w:eastAsia="zh-CN" w:bidi="ar-SA"/>
                    </w:rPr>
                    <w:t>3</w:t>
                  </w:r>
                </w:p>
              </w:tc>
              <w:tc>
                <w:tcPr>
                  <w:tcW w:w="1590" w:type="dxa"/>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10</w:t>
                  </w:r>
                </w:p>
              </w:tc>
              <w:tc>
                <w:tcPr>
                  <w:tcW w:w="2630" w:type="dxa"/>
                  <w:vMerge w:val="continue"/>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Align w:val="center"/>
                </w:tcPr>
                <w:p>
                  <w:pPr>
                    <w:ind w:left="-105" w:leftChars="-50" w:right="-105" w:rightChars="-50"/>
                    <w:jc w:val="center"/>
                    <w:rPr>
                      <w:rFonts w:ascii="Times New Roman" w:hAnsi="Times New Roman"/>
                      <w:color w:val="000000"/>
                      <w:szCs w:val="21"/>
                    </w:rPr>
                  </w:pPr>
                  <w:r>
                    <w:rPr>
                      <w:rFonts w:hint="eastAsia" w:ascii="Times New Roman" w:hAnsi="Times New Roman"/>
                      <w:color w:val="000000"/>
                      <w:szCs w:val="21"/>
                    </w:rPr>
                    <w:t>施工、营运期</w:t>
                  </w:r>
                </w:p>
              </w:tc>
              <w:tc>
                <w:tcPr>
                  <w:tcW w:w="1326" w:type="dxa"/>
                  <w:vAlign w:val="center"/>
                </w:tcPr>
                <w:p>
                  <w:pPr>
                    <w:pStyle w:val="48"/>
                    <w:rPr>
                      <w:rFonts w:ascii="Times New Roman" w:hAnsi="Times New Roman" w:cs="Times New Roman"/>
                      <w:color w:val="000000"/>
                      <w:szCs w:val="21"/>
                    </w:rPr>
                  </w:pPr>
                  <w:r>
                    <w:rPr>
                      <w:rFonts w:ascii="Times New Roman" w:hAnsi="Times New Roman" w:cs="Times New Roman"/>
                      <w:color w:val="000000"/>
                      <w:szCs w:val="21"/>
                    </w:rPr>
                    <w:t>噪声治理</w:t>
                  </w:r>
                </w:p>
              </w:tc>
              <w:tc>
                <w:tcPr>
                  <w:tcW w:w="2964" w:type="dxa"/>
                  <w:gridSpan w:val="3"/>
                  <w:vAlign w:val="center"/>
                </w:tcPr>
                <w:p>
                  <w:pPr>
                    <w:pStyle w:val="48"/>
                    <w:rPr>
                      <w:rFonts w:ascii="Times New Roman" w:hAnsi="Times New Roman" w:cs="Times New Roman"/>
                      <w:color w:val="000000"/>
                      <w:szCs w:val="21"/>
                    </w:rPr>
                  </w:pPr>
                  <w:r>
                    <w:rPr>
                      <w:rFonts w:hint="eastAsia" w:ascii="Times New Roman" w:hAnsi="Times New Roman" w:cs="Times New Roman"/>
                      <w:color w:val="000000"/>
                      <w:szCs w:val="21"/>
                    </w:rPr>
                    <w:t>施工期间要做好降噪措施，选用低噪设备并定期检修，采取合理的作业时间，</w:t>
                  </w:r>
                  <w:r>
                    <w:rPr>
                      <w:rFonts w:ascii="Times New Roman" w:hAnsi="Times New Roman" w:cs="Times New Roman"/>
                      <w:color w:val="000000"/>
                      <w:szCs w:val="21"/>
                    </w:rPr>
                    <w:t>优化施工场地位置，缩短运输路线</w:t>
                  </w:r>
                </w:p>
              </w:tc>
              <w:tc>
                <w:tcPr>
                  <w:tcW w:w="1590" w:type="dxa"/>
                  <w:vAlign w:val="center"/>
                </w:tcPr>
                <w:p>
                  <w:pPr>
                    <w:jc w:val="center"/>
                    <w:rPr>
                      <w:rFonts w:ascii="Times New Roman" w:hAnsi="Times New Roman"/>
                      <w:color w:val="000000"/>
                      <w:szCs w:val="21"/>
                    </w:rPr>
                  </w:pPr>
                  <w:r>
                    <w:rPr>
                      <w:rFonts w:hint="eastAsia" w:ascii="Times New Roman" w:hAnsi="Times New Roman"/>
                      <w:color w:val="000000"/>
                      <w:szCs w:val="21"/>
                    </w:rPr>
                    <w:t>5</w:t>
                  </w:r>
                </w:p>
              </w:tc>
              <w:tc>
                <w:tcPr>
                  <w:tcW w:w="2630" w:type="dxa"/>
                  <w:vAlign w:val="center"/>
                </w:tcPr>
                <w:p>
                  <w:pPr>
                    <w:ind w:hanging="16"/>
                    <w:jc w:val="center"/>
                    <w:rPr>
                      <w:rFonts w:ascii="Times New Roman" w:hAnsi="Times New Roman"/>
                      <w:color w:val="000000"/>
                      <w:szCs w:val="22"/>
                    </w:rPr>
                  </w:pPr>
                  <w:r>
                    <w:rPr>
                      <w:rFonts w:ascii="Times New Roman" w:hAnsi="Times New Roman"/>
                      <w:color w:val="000000"/>
                      <w:szCs w:val="21"/>
                    </w:rPr>
                    <w:t>满</w:t>
                  </w:r>
                  <w:r>
                    <w:rPr>
                      <w:rFonts w:hint="eastAsia" w:ascii="Times New Roman" w:hAnsi="Times New Roman"/>
                      <w:color w:val="000000"/>
                      <w:szCs w:val="21"/>
                    </w:rPr>
                    <w:t>足《建筑施工场界环境噪声排放标准》（GB12523-2011）标准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restart"/>
                  <w:vAlign w:val="center"/>
                </w:tcPr>
                <w:p>
                  <w:pPr>
                    <w:ind w:left="-105" w:leftChars="-50" w:right="-105" w:rightChars="-50"/>
                    <w:jc w:val="center"/>
                    <w:rPr>
                      <w:rFonts w:ascii="Times New Roman" w:hAnsi="Times New Roman"/>
                      <w:color w:val="000000"/>
                      <w:szCs w:val="21"/>
                    </w:rPr>
                  </w:pPr>
                  <w:r>
                    <w:rPr>
                      <w:rFonts w:hint="eastAsia" w:ascii="Times New Roman" w:hAnsi="Times New Roman"/>
                      <w:color w:val="000000"/>
                      <w:szCs w:val="21"/>
                    </w:rPr>
                    <w:t>施工期</w:t>
                  </w:r>
                </w:p>
              </w:tc>
              <w:tc>
                <w:tcPr>
                  <w:tcW w:w="1326" w:type="dxa"/>
                  <w:vMerge w:val="restart"/>
                  <w:vAlign w:val="center"/>
                </w:tcPr>
                <w:p>
                  <w:pPr>
                    <w:pStyle w:val="48"/>
                    <w:rPr>
                      <w:rFonts w:ascii="Times New Roman" w:hAnsi="Times New Roman" w:cs="Times New Roman"/>
                      <w:color w:val="000000"/>
                      <w:szCs w:val="21"/>
                    </w:rPr>
                  </w:pPr>
                  <w:r>
                    <w:rPr>
                      <w:rFonts w:hint="eastAsia" w:ascii="Times New Roman" w:hAnsi="Times New Roman" w:cs="Times New Roman"/>
                      <w:color w:val="000000"/>
                      <w:szCs w:val="21"/>
                    </w:rPr>
                    <w:t>生态</w:t>
                  </w:r>
                  <w:r>
                    <w:rPr>
                      <w:rFonts w:ascii="Times New Roman" w:hAnsi="Times New Roman" w:cs="Times New Roman"/>
                      <w:color w:val="000000"/>
                      <w:szCs w:val="21"/>
                    </w:rPr>
                    <w:t>治理</w:t>
                  </w:r>
                </w:p>
              </w:tc>
              <w:tc>
                <w:tcPr>
                  <w:tcW w:w="802" w:type="dxa"/>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站场</w:t>
                  </w:r>
                </w:p>
              </w:tc>
              <w:tc>
                <w:tcPr>
                  <w:tcW w:w="2162" w:type="dxa"/>
                  <w:gridSpan w:val="2"/>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采取水土保持措施、规范施工、加强宣传、严格管理</w:t>
                  </w:r>
                </w:p>
              </w:tc>
              <w:tc>
                <w:tcPr>
                  <w:tcW w:w="1590" w:type="dxa"/>
                  <w:vAlign w:val="center"/>
                </w:tcPr>
                <w:p>
                  <w:pPr>
                    <w:jc w:val="center"/>
                    <w:rPr>
                      <w:rFonts w:ascii="Times New Roman" w:hAnsi="Times New Roman"/>
                      <w:color w:val="000000"/>
                      <w:szCs w:val="21"/>
                    </w:rPr>
                  </w:pPr>
                  <w:r>
                    <w:rPr>
                      <w:rFonts w:hint="eastAsia" w:ascii="Times New Roman" w:hAnsi="Times New Roman"/>
                      <w:color w:val="000000"/>
                      <w:szCs w:val="21"/>
                    </w:rPr>
                    <w:t>10</w:t>
                  </w:r>
                </w:p>
              </w:tc>
              <w:tc>
                <w:tcPr>
                  <w:tcW w:w="2630" w:type="dxa"/>
                  <w:vAlign w:val="center"/>
                </w:tcPr>
                <w:p>
                  <w:pPr>
                    <w:jc w:val="center"/>
                    <w:rPr>
                      <w:rFonts w:ascii="Times New Roman" w:hAnsi="Times New Roman"/>
                      <w:color w:val="000000"/>
                      <w:szCs w:val="21"/>
                    </w:rPr>
                  </w:pPr>
                  <w:r>
                    <w:rPr>
                      <w:rFonts w:ascii="Times New Roman" w:hAnsi="Times New Roman"/>
                      <w:color w:val="000000"/>
                      <w:szCs w:val="21"/>
                    </w:rPr>
                    <w:t>尽量减少以本工程的实施造成的水土流失量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continue"/>
                  <w:vAlign w:val="center"/>
                </w:tcPr>
                <w:p>
                  <w:pPr>
                    <w:ind w:left="-105" w:leftChars="-50" w:right="-105" w:rightChars="-50"/>
                    <w:jc w:val="center"/>
                    <w:rPr>
                      <w:rFonts w:ascii="Times New Roman" w:hAnsi="Times New Roman"/>
                      <w:color w:val="000000"/>
                      <w:szCs w:val="21"/>
                    </w:rPr>
                  </w:pPr>
                </w:p>
              </w:tc>
              <w:tc>
                <w:tcPr>
                  <w:tcW w:w="1326" w:type="dxa"/>
                  <w:vMerge w:val="continue"/>
                  <w:vAlign w:val="center"/>
                </w:tcPr>
                <w:p>
                  <w:pPr>
                    <w:pStyle w:val="48"/>
                    <w:rPr>
                      <w:rFonts w:ascii="Times New Roman" w:hAnsi="Times New Roman" w:cs="Times New Roman"/>
                      <w:color w:val="000000"/>
                      <w:szCs w:val="21"/>
                    </w:rPr>
                  </w:pPr>
                </w:p>
              </w:tc>
              <w:tc>
                <w:tcPr>
                  <w:tcW w:w="802" w:type="dxa"/>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管线</w:t>
                  </w:r>
                </w:p>
              </w:tc>
              <w:tc>
                <w:tcPr>
                  <w:tcW w:w="2162" w:type="dxa"/>
                  <w:gridSpan w:val="2"/>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植被移栽措施、植被恢复（管线上方及中心线两侧5m范围内禁止栽种深根植物）、合理优化设计，减少开挖和占地，采取水土保持措施、规范施工、加强宣传、严格管理</w:t>
                  </w:r>
                </w:p>
              </w:tc>
              <w:tc>
                <w:tcPr>
                  <w:tcW w:w="1590" w:type="dxa"/>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200</w:t>
                  </w:r>
                </w:p>
              </w:tc>
              <w:tc>
                <w:tcPr>
                  <w:tcW w:w="2630" w:type="dxa"/>
                  <w:vAlign w:val="center"/>
                </w:tcPr>
                <w:p>
                  <w:pPr>
                    <w:jc w:val="center"/>
                    <w:rPr>
                      <w:rFonts w:ascii="Times New Roman" w:hAnsi="Times New Roman"/>
                      <w:color w:val="000000"/>
                      <w:szCs w:val="21"/>
                    </w:rPr>
                  </w:pPr>
                  <w:r>
                    <w:rPr>
                      <w:rFonts w:ascii="Times New Roman" w:hAnsi="Times New Roman"/>
                      <w:color w:val="000000"/>
                      <w:szCs w:val="21"/>
                    </w:rPr>
                    <w:t>恢复原有用地工能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50" w:type="dxa"/>
                  <w:gridSpan w:val="5"/>
                  <w:vAlign w:val="center"/>
                </w:tcPr>
                <w:p>
                  <w:pPr>
                    <w:jc w:val="center"/>
                    <w:rPr>
                      <w:rFonts w:ascii="Times New Roman" w:hAnsi="Times New Roman"/>
                      <w:color w:val="000000"/>
                      <w:szCs w:val="21"/>
                    </w:rPr>
                  </w:pPr>
                  <w:r>
                    <w:rPr>
                      <w:rFonts w:ascii="Times New Roman" w:hAnsi="Times New Roman"/>
                      <w:color w:val="000000"/>
                      <w:szCs w:val="21"/>
                    </w:rPr>
                    <w:t>合计</w:t>
                  </w:r>
                </w:p>
              </w:tc>
              <w:tc>
                <w:tcPr>
                  <w:tcW w:w="1590" w:type="dxa"/>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277</w:t>
                  </w:r>
                </w:p>
              </w:tc>
              <w:tc>
                <w:tcPr>
                  <w:tcW w:w="2630" w:type="dxa"/>
                  <w:vAlign w:val="center"/>
                </w:tcPr>
                <w:p>
                  <w:pPr>
                    <w:jc w:val="center"/>
                    <w:rPr>
                      <w:rFonts w:ascii="Times New Roman" w:hAnsi="Times New Roman"/>
                      <w:color w:val="000000"/>
                      <w:szCs w:val="22"/>
                    </w:rPr>
                  </w:pPr>
                  <w:r>
                    <w:rPr>
                      <w:rFonts w:ascii="Times New Roman" w:hAnsi="Times New Roman"/>
                      <w:color w:val="000000"/>
                      <w:szCs w:val="21"/>
                    </w:rPr>
                    <w:t>——</w:t>
                  </w:r>
                </w:p>
              </w:tc>
            </w:tr>
          </w:tbl>
          <w:p>
            <w:pPr>
              <w:spacing w:line="360" w:lineRule="auto"/>
              <w:ind w:firstLine="480" w:firstLineChars="200"/>
              <w:rPr>
                <w:rFonts w:ascii="Times New Roman" w:hAnsi="Times New Roman"/>
                <w:bCs/>
                <w:color w:val="000000"/>
                <w:sz w:val="24"/>
              </w:rPr>
            </w:pPr>
          </w:p>
          <w:p>
            <w:pPr>
              <w:spacing w:line="360" w:lineRule="auto"/>
              <w:ind w:firstLine="480" w:firstLineChars="200"/>
              <w:rPr>
                <w:rFonts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hint="eastAsia" w:ascii="Times New Roman" w:hAnsi="Times New Roman"/>
                <w:bCs/>
                <w:color w:val="000000"/>
                <w:sz w:val="24"/>
              </w:rPr>
            </w:pPr>
          </w:p>
          <w:p>
            <w:pPr>
              <w:spacing w:line="360" w:lineRule="auto"/>
              <w:ind w:firstLine="480" w:firstLineChars="200"/>
              <w:rPr>
                <w:rFonts w:ascii="Times New Roman" w:hAnsi="Times New Roman"/>
                <w:bCs/>
                <w:color w:val="000000"/>
                <w:sz w:val="24"/>
              </w:rPr>
            </w:pPr>
            <w:r>
              <w:rPr>
                <w:rFonts w:hint="eastAsia" w:ascii="Times New Roman" w:hAnsi="Times New Roman"/>
                <w:bCs/>
                <w:color w:val="000000"/>
                <w:sz w:val="24"/>
              </w:rPr>
              <w:t>十一</w:t>
            </w:r>
            <w:r>
              <w:rPr>
                <w:rFonts w:ascii="Times New Roman" w:hAnsi="Times New Roman"/>
                <w:bCs/>
                <w:color w:val="000000"/>
                <w:sz w:val="24"/>
              </w:rPr>
              <w:t>、“三同时”验收</w:t>
            </w:r>
          </w:p>
          <w:p>
            <w:pPr>
              <w:spacing w:line="360" w:lineRule="auto"/>
              <w:ind w:firstLine="480" w:firstLineChars="200"/>
              <w:rPr>
                <w:rFonts w:ascii="Times New Roman" w:hAnsi="Times New Roman"/>
                <w:b/>
                <w:bCs/>
                <w:color w:val="000000"/>
                <w:sz w:val="24"/>
              </w:rPr>
            </w:pPr>
            <w:r>
              <w:rPr>
                <w:rFonts w:ascii="Times New Roman" w:hAnsi="Times New Roman"/>
                <w:color w:val="000000"/>
                <w:sz w:val="24"/>
              </w:rPr>
              <w:t>拟建项目所有环保设施均应执行“三同时”制度，具体验收内容见表。</w:t>
            </w:r>
          </w:p>
          <w:p>
            <w:pPr>
              <w:pStyle w:val="5"/>
              <w:spacing w:after="0" w:line="360" w:lineRule="auto"/>
              <w:ind w:firstLine="241"/>
              <w:jc w:val="center"/>
              <w:rPr>
                <w:rFonts w:ascii="Times New Roman" w:hAnsi="Times New Roman"/>
                <w:b/>
                <w:bCs/>
                <w:color w:val="000000"/>
                <w:sz w:val="24"/>
              </w:rPr>
            </w:pPr>
            <w:r>
              <w:rPr>
                <w:rFonts w:ascii="Times New Roman" w:hAnsi="Times New Roman"/>
                <w:b/>
                <w:bCs/>
                <w:color w:val="000000"/>
                <w:sz w:val="24"/>
              </w:rPr>
              <w:t>表7-</w:t>
            </w:r>
            <w:r>
              <w:rPr>
                <w:rFonts w:hint="eastAsia" w:ascii="Times New Roman" w:hAnsi="Times New Roman"/>
                <w:b/>
                <w:bCs/>
                <w:color w:val="000000"/>
                <w:sz w:val="24"/>
                <w:lang w:val="en-US" w:eastAsia="zh-CN"/>
              </w:rPr>
              <w:t>36</w:t>
            </w:r>
            <w:r>
              <w:rPr>
                <w:rFonts w:ascii="Times New Roman" w:hAnsi="Times New Roman"/>
                <w:b/>
                <w:bCs/>
                <w:color w:val="000000"/>
                <w:sz w:val="24"/>
              </w:rPr>
              <w:t xml:space="preserve">  环保措施“三同时”验收一览表</w:t>
            </w:r>
          </w:p>
          <w:tbl>
            <w:tblPr>
              <w:tblStyle w:val="3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87"/>
              <w:gridCol w:w="738"/>
              <w:gridCol w:w="1195"/>
              <w:gridCol w:w="3587"/>
              <w:gridCol w:w="28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项目</w:t>
                  </w:r>
                </w:p>
              </w:tc>
              <w:tc>
                <w:tcPr>
                  <w:tcW w:w="738"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污染源分类</w:t>
                  </w:r>
                </w:p>
              </w:tc>
              <w:tc>
                <w:tcPr>
                  <w:tcW w:w="1195"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污染防治对象</w:t>
                  </w:r>
                </w:p>
              </w:tc>
              <w:tc>
                <w:tcPr>
                  <w:tcW w:w="3587"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主要工程内容</w:t>
                  </w:r>
                </w:p>
              </w:tc>
              <w:tc>
                <w:tcPr>
                  <w:tcW w:w="2850"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预期效果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restart"/>
                  <w:tcMar>
                    <w:left w:w="34" w:type="dxa"/>
                    <w:right w:w="34" w:type="dxa"/>
                  </w:tcMar>
                  <w:textDirection w:val="tbRlV"/>
                  <w:vAlign w:val="center"/>
                </w:tcPr>
                <w:p>
                  <w:pPr>
                    <w:jc w:val="center"/>
                    <w:rPr>
                      <w:rFonts w:ascii="Times New Roman" w:hAnsi="Times New Roman"/>
                      <w:color w:val="000000"/>
                      <w:szCs w:val="21"/>
                    </w:rPr>
                  </w:pPr>
                  <w:r>
                    <w:rPr>
                      <w:rFonts w:ascii="Times New Roman" w:hAnsi="Times New Roman"/>
                      <w:color w:val="000000"/>
                      <w:szCs w:val="21"/>
                    </w:rPr>
                    <w:t>营运期</w:t>
                  </w:r>
                </w:p>
              </w:tc>
              <w:tc>
                <w:tcPr>
                  <w:tcW w:w="738"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水污</w:t>
                  </w:r>
                </w:p>
                <w:p>
                  <w:pPr>
                    <w:jc w:val="center"/>
                    <w:rPr>
                      <w:rFonts w:ascii="Times New Roman" w:hAnsi="Times New Roman"/>
                      <w:color w:val="000000"/>
                      <w:szCs w:val="21"/>
                    </w:rPr>
                  </w:pPr>
                  <w:r>
                    <w:rPr>
                      <w:rFonts w:ascii="Times New Roman" w:hAnsi="Times New Roman"/>
                      <w:color w:val="000000"/>
                      <w:szCs w:val="21"/>
                    </w:rPr>
                    <w:t>染源</w:t>
                  </w:r>
                </w:p>
              </w:tc>
              <w:tc>
                <w:tcPr>
                  <w:tcW w:w="1195" w:type="dxa"/>
                  <w:tcMar>
                    <w:left w:w="34" w:type="dxa"/>
                    <w:right w:w="34" w:type="dxa"/>
                  </w:tcMar>
                  <w:vAlign w:val="center"/>
                </w:tcPr>
                <w:p>
                  <w:pPr>
                    <w:jc w:val="center"/>
                    <w:rPr>
                      <w:rFonts w:ascii="Times New Roman" w:hAnsi="Times New Roman"/>
                      <w:color w:val="000000"/>
                      <w:szCs w:val="21"/>
                    </w:rPr>
                  </w:pPr>
                  <w:r>
                    <w:rPr>
                      <w:rFonts w:hint="eastAsia" w:ascii="Times New Roman" w:hAnsi="Times New Roman"/>
                      <w:color w:val="000000"/>
                      <w:szCs w:val="21"/>
                    </w:rPr>
                    <w:t>生活废水</w:t>
                  </w:r>
                </w:p>
              </w:tc>
              <w:tc>
                <w:tcPr>
                  <w:tcW w:w="3587" w:type="dxa"/>
                  <w:tcMar>
                    <w:left w:w="34" w:type="dxa"/>
                    <w:right w:w="34" w:type="dxa"/>
                  </w:tcMar>
                  <w:vAlign w:val="center"/>
                </w:tcPr>
                <w:p>
                  <w:pPr>
                    <w:jc w:val="center"/>
                    <w:rPr>
                      <w:rFonts w:hint="eastAsia" w:ascii="Times New Roman" w:hAnsi="Times New Roman" w:eastAsia="宋体"/>
                      <w:color w:val="000000"/>
                      <w:szCs w:val="21"/>
                      <w:lang w:eastAsia="zh-CN"/>
                    </w:rPr>
                  </w:pPr>
                  <w:r>
                    <w:rPr>
                      <w:rFonts w:ascii="Times New Roman" w:hAnsi="Times New Roman"/>
                      <w:color w:val="000000"/>
                      <w:szCs w:val="21"/>
                    </w:rPr>
                    <w:t>生活污水经隔油池、化粪池处置</w:t>
                  </w:r>
                  <w:r>
                    <w:rPr>
                      <w:rFonts w:hint="eastAsia" w:ascii="Times New Roman" w:hAnsi="Times New Roman"/>
                      <w:color w:val="000000"/>
                      <w:szCs w:val="21"/>
                      <w:lang w:eastAsia="zh-CN"/>
                    </w:rPr>
                    <w:t>，</w:t>
                  </w:r>
                  <w:r>
                    <w:rPr>
                      <w:rFonts w:hint="eastAsia" w:ascii="Times New Roman" w:hAnsi="Times New Roman" w:cs="Times New Roman"/>
                      <w:color w:val="000000"/>
                      <w:szCs w:val="21"/>
                      <w:lang w:val="en-US" w:eastAsia="zh-CN"/>
                    </w:rPr>
                    <w:t>清洗残夜排放至排污池，作为危废处置，不外排</w:t>
                  </w:r>
                </w:p>
              </w:tc>
              <w:tc>
                <w:tcPr>
                  <w:tcW w:w="2850"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rPr>
                    <w:t>《污水综合排放标准》（GB8978-1996）中的三级标准（氨氮参照《污水排入城镇下水道水质标准》（GB/T31962-2015中的标准）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5"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大气</w:t>
                  </w:r>
                </w:p>
                <w:p>
                  <w:pPr>
                    <w:jc w:val="center"/>
                    <w:rPr>
                      <w:rFonts w:ascii="Times New Roman" w:hAnsi="Times New Roman"/>
                      <w:color w:val="000000"/>
                      <w:szCs w:val="21"/>
                    </w:rPr>
                  </w:pPr>
                  <w:r>
                    <w:rPr>
                      <w:rFonts w:ascii="Times New Roman" w:hAnsi="Times New Roman"/>
                      <w:color w:val="000000"/>
                      <w:szCs w:val="21"/>
                    </w:rPr>
                    <w:t>污染源</w:t>
                  </w:r>
                </w:p>
              </w:tc>
              <w:tc>
                <w:tcPr>
                  <w:tcW w:w="1195" w:type="dxa"/>
                  <w:tcBorders>
                    <w:bottom w:val="single" w:color="auto" w:sz="4" w:space="0"/>
                  </w:tcBorders>
                  <w:tcMar>
                    <w:left w:w="34" w:type="dxa"/>
                    <w:right w:w="34" w:type="dxa"/>
                  </w:tcMar>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非甲烷总烃</w:t>
                  </w:r>
                </w:p>
              </w:tc>
              <w:tc>
                <w:tcPr>
                  <w:tcW w:w="3587" w:type="dxa"/>
                  <w:tcMar>
                    <w:left w:w="34" w:type="dxa"/>
                    <w:right w:w="34" w:type="dxa"/>
                  </w:tcMar>
                  <w:vAlign w:val="center"/>
                </w:tcPr>
                <w:p>
                  <w:pPr>
                    <w:pStyle w:val="48"/>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检修废气设置放空管</w:t>
                  </w:r>
                </w:p>
              </w:tc>
              <w:tc>
                <w:tcPr>
                  <w:tcW w:w="2850" w:type="dxa"/>
                  <w:tcBorders>
                    <w:bottom w:val="single" w:color="auto" w:sz="4" w:space="0"/>
                  </w:tcBorders>
                  <w:tcMar>
                    <w:left w:w="34" w:type="dxa"/>
                    <w:right w:w="34" w:type="dxa"/>
                  </w:tcMar>
                  <w:vAlign w:val="center"/>
                </w:tcPr>
                <w:p>
                  <w:pPr>
                    <w:jc w:val="center"/>
                    <w:rPr>
                      <w:rFonts w:ascii="Times New Roman" w:hAnsi="Times New Roman"/>
                      <w:color w:val="000000"/>
                      <w:szCs w:val="21"/>
                    </w:rPr>
                  </w:pPr>
                  <w:r>
                    <w:rPr>
                      <w:rFonts w:hint="eastAsia" w:ascii="Times New Roman" w:hAnsi="Times New Roman"/>
                      <w:szCs w:val="21"/>
                    </w:rPr>
                    <w:t>执行《上海市大气污染物综合排放标准》（DB31/933-2015）表3中无组织排放监控浓度限值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73"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噪声</w:t>
                  </w:r>
                </w:p>
                <w:p>
                  <w:pPr>
                    <w:jc w:val="center"/>
                    <w:rPr>
                      <w:rFonts w:ascii="Times New Roman" w:hAnsi="Times New Roman"/>
                      <w:color w:val="000000"/>
                      <w:szCs w:val="21"/>
                    </w:rPr>
                  </w:pPr>
                  <w:r>
                    <w:rPr>
                      <w:rFonts w:ascii="Times New Roman" w:hAnsi="Times New Roman"/>
                      <w:color w:val="000000"/>
                      <w:szCs w:val="21"/>
                    </w:rPr>
                    <w:t>污染源</w:t>
                  </w:r>
                </w:p>
              </w:tc>
              <w:tc>
                <w:tcPr>
                  <w:tcW w:w="1195" w:type="dxa"/>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设备噪声</w:t>
                  </w:r>
                </w:p>
              </w:tc>
              <w:tc>
                <w:tcPr>
                  <w:tcW w:w="3587" w:type="dxa"/>
                  <w:tcMar>
                    <w:left w:w="34" w:type="dxa"/>
                    <w:right w:w="34" w:type="dxa"/>
                  </w:tcMar>
                  <w:vAlign w:val="center"/>
                </w:tcPr>
                <w:p>
                  <w:pPr>
                    <w:pStyle w:val="48"/>
                    <w:rPr>
                      <w:rFonts w:ascii="Times New Roman" w:hAnsi="Times New Roman" w:cs="Times New Roman"/>
                      <w:color w:val="000000"/>
                      <w:szCs w:val="21"/>
                    </w:rPr>
                  </w:pPr>
                  <w:r>
                    <w:rPr>
                      <w:rFonts w:hint="default" w:ascii="Times New Roman" w:hAnsi="Times New Roman" w:cs="Times New Roman"/>
                      <w:szCs w:val="21"/>
                    </w:rPr>
                    <w:t>选取低噪音设备，设置减振垫减振基座，安装减振垫，隔声。</w:t>
                  </w:r>
                </w:p>
              </w:tc>
              <w:tc>
                <w:tcPr>
                  <w:tcW w:w="2850" w:type="dxa"/>
                  <w:tcMar>
                    <w:left w:w="34" w:type="dxa"/>
                    <w:right w:w="34" w:type="dxa"/>
                  </w:tcMar>
                  <w:vAlign w:val="center"/>
                </w:tcPr>
                <w:p>
                  <w:pPr>
                    <w:jc w:val="center"/>
                    <w:rPr>
                      <w:rFonts w:ascii="Times New Roman" w:hAnsi="Times New Roman"/>
                      <w:color w:val="000000"/>
                      <w:szCs w:val="21"/>
                    </w:rPr>
                  </w:pPr>
                  <w:r>
                    <w:rPr>
                      <w:rFonts w:hint="default" w:ascii="Times New Roman" w:hAnsi="Times New Roman" w:cs="Times New Roman"/>
                      <w:szCs w:val="21"/>
                    </w:rPr>
                    <w:t>厂界噪声排放执行《工业企业厂界环境噪声排放标准》（GB12348-2008）3类标准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restart"/>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固体</w:t>
                  </w:r>
                </w:p>
                <w:p>
                  <w:pPr>
                    <w:jc w:val="center"/>
                    <w:rPr>
                      <w:rFonts w:ascii="Times New Roman" w:hAnsi="Times New Roman"/>
                      <w:color w:val="000000"/>
                      <w:szCs w:val="21"/>
                    </w:rPr>
                  </w:pPr>
                  <w:r>
                    <w:rPr>
                      <w:rFonts w:ascii="Times New Roman" w:hAnsi="Times New Roman"/>
                      <w:color w:val="000000"/>
                      <w:szCs w:val="21"/>
                    </w:rPr>
                    <w:t>废物</w:t>
                  </w:r>
                </w:p>
              </w:tc>
              <w:tc>
                <w:tcPr>
                  <w:tcW w:w="1195" w:type="dxa"/>
                  <w:tcMar>
                    <w:left w:w="34" w:type="dxa"/>
                    <w:right w:w="34" w:type="dxa"/>
                  </w:tcMar>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rPr>
                    <w:t>生活垃圾</w:t>
                  </w:r>
                </w:p>
              </w:tc>
              <w:tc>
                <w:tcPr>
                  <w:tcW w:w="3587" w:type="dxa"/>
                  <w:vMerge w:val="restart"/>
                  <w:tcMar>
                    <w:left w:w="34" w:type="dxa"/>
                    <w:right w:w="34" w:type="dxa"/>
                  </w:tcMar>
                  <w:vAlign w:val="center"/>
                </w:tcPr>
                <w:p>
                  <w:pPr>
                    <w:pStyle w:val="105"/>
                    <w:spacing w:line="240" w:lineRule="atLeast"/>
                    <w:ind w:firstLine="0" w:firstLineChars="0"/>
                    <w:jc w:val="center"/>
                    <w:rPr>
                      <w:rFonts w:ascii="Times New Roman" w:hAnsi="Times New Roman"/>
                      <w:color w:val="000000"/>
                      <w:szCs w:val="21"/>
                    </w:rPr>
                  </w:pPr>
                  <w:r>
                    <w:rPr>
                      <w:rFonts w:ascii="Times New Roman" w:hAnsi="Times New Roman"/>
                      <w:color w:val="000000"/>
                      <w:szCs w:val="21"/>
                    </w:rPr>
                    <w:t>由</w:t>
                  </w:r>
                  <w:r>
                    <w:rPr>
                      <w:rFonts w:ascii="Times New Roman" w:hAnsi="Times New Roman"/>
                      <w:color w:val="000000"/>
                      <w:szCs w:val="21"/>
                      <w:lang w:eastAsia="en-US"/>
                    </w:rPr>
                    <w:t>环卫部门处置</w:t>
                  </w:r>
                </w:p>
              </w:tc>
              <w:tc>
                <w:tcPr>
                  <w:tcW w:w="2850" w:type="dxa"/>
                  <w:vMerge w:val="restart"/>
                  <w:tcMar>
                    <w:left w:w="34" w:type="dxa"/>
                    <w:right w:w="34" w:type="dxa"/>
                  </w:tcMar>
                  <w:vAlign w:val="center"/>
                </w:tcPr>
                <w:p>
                  <w:pPr>
                    <w:jc w:val="center"/>
                    <w:rPr>
                      <w:rFonts w:ascii="Times New Roman" w:hAnsi="Times New Roman"/>
                      <w:color w:val="000000"/>
                      <w:szCs w:val="22"/>
                    </w:rPr>
                  </w:pPr>
                  <w:r>
                    <w:rPr>
                      <w:rFonts w:ascii="Times New Roman" w:hAnsi="Times New Roman"/>
                      <w:color w:val="000000"/>
                      <w:szCs w:val="22"/>
                    </w:rPr>
                    <w:t>综合利用及处置率</w:t>
                  </w:r>
                </w:p>
                <w:p>
                  <w:pPr>
                    <w:jc w:val="center"/>
                    <w:rPr>
                      <w:rFonts w:ascii="Times New Roman" w:hAnsi="Times New Roman"/>
                      <w:color w:val="000000"/>
                      <w:szCs w:val="21"/>
                    </w:rPr>
                  </w:pPr>
                  <w:r>
                    <w:rPr>
                      <w:rFonts w:ascii="Times New Roman" w:hAnsi="Times New Roman"/>
                      <w:color w:val="000000"/>
                      <w:szCs w:val="22"/>
                    </w:rPr>
                    <w:t>100%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tcBorders>
                    <w:bottom w:val="single" w:color="auto" w:sz="4" w:space="0"/>
                  </w:tcBorders>
                  <w:tcMar>
                    <w:left w:w="34" w:type="dxa"/>
                    <w:right w:w="34" w:type="dxa"/>
                  </w:tcMar>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s="Times New Roman"/>
                      <w:spacing w:val="0"/>
                      <w:sz w:val="21"/>
                      <w:szCs w:val="21"/>
                      <w:lang w:val="en-US" w:eastAsia="zh-CN"/>
                    </w:rPr>
                    <w:t>废滤芯</w:t>
                  </w:r>
                </w:p>
              </w:tc>
              <w:tc>
                <w:tcPr>
                  <w:tcW w:w="3587" w:type="dxa"/>
                  <w:vMerge w:val="continue"/>
                  <w:tcMar>
                    <w:left w:w="34" w:type="dxa"/>
                    <w:right w:w="34" w:type="dxa"/>
                  </w:tcMar>
                  <w:vAlign w:val="center"/>
                </w:tcPr>
                <w:p>
                  <w:pPr>
                    <w:jc w:val="center"/>
                    <w:rPr>
                      <w:rFonts w:hint="eastAsia" w:ascii="Times New Roman" w:hAnsi="Times New Roman" w:eastAsia="宋体"/>
                      <w:color w:val="000000"/>
                      <w:szCs w:val="21"/>
                      <w:lang w:eastAsia="zh-CN"/>
                    </w:rPr>
                  </w:pPr>
                </w:p>
              </w:tc>
              <w:tc>
                <w:tcPr>
                  <w:tcW w:w="2850" w:type="dxa"/>
                  <w:vMerge w:val="continue"/>
                  <w:tcMar>
                    <w:left w:w="34" w:type="dxa"/>
                    <w:right w:w="34" w:type="dxa"/>
                  </w:tcMar>
                  <w:vAlign w:val="center"/>
                </w:tcPr>
                <w:p>
                  <w:pPr>
                    <w:jc w:val="center"/>
                    <w:rPr>
                      <w:rFonts w:ascii="Times New Roman" w:hAnsi="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tcBorders>
                    <w:top w:val="single" w:color="auto" w:sz="4" w:space="0"/>
                    <w:bottom w:val="single" w:color="auto" w:sz="4" w:space="0"/>
                  </w:tcBorders>
                  <w:tcMar>
                    <w:left w:w="34" w:type="dxa"/>
                    <w:right w:w="34" w:type="dxa"/>
                  </w:tcMar>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s="Times New Roman"/>
                      <w:lang w:val="en-US" w:eastAsia="zh-CN"/>
                    </w:rPr>
                    <w:t>清管废渣</w:t>
                  </w:r>
                </w:p>
              </w:tc>
              <w:tc>
                <w:tcPr>
                  <w:tcW w:w="3587" w:type="dxa"/>
                  <w:vMerge w:val="continue"/>
                  <w:tcBorders>
                    <w:bottom w:val="single" w:color="auto" w:sz="4" w:space="0"/>
                  </w:tcBorders>
                  <w:tcMar>
                    <w:left w:w="34" w:type="dxa"/>
                    <w:right w:w="34" w:type="dxa"/>
                  </w:tcMar>
                  <w:vAlign w:val="center"/>
                </w:tcPr>
                <w:p>
                  <w:pPr>
                    <w:jc w:val="center"/>
                    <w:rPr>
                      <w:rFonts w:ascii="Times New Roman" w:hAnsi="Times New Roman"/>
                      <w:color w:val="000000"/>
                      <w:szCs w:val="21"/>
                    </w:rPr>
                  </w:pPr>
                </w:p>
              </w:tc>
              <w:tc>
                <w:tcPr>
                  <w:tcW w:w="2850" w:type="dxa"/>
                  <w:vMerge w:val="continue"/>
                  <w:tcMar>
                    <w:left w:w="34" w:type="dxa"/>
                    <w:right w:w="34" w:type="dxa"/>
                  </w:tcMar>
                  <w:vAlign w:val="center"/>
                </w:tcPr>
                <w:p>
                  <w:pPr>
                    <w:jc w:val="center"/>
                    <w:rPr>
                      <w:rFonts w:ascii="Times New Roman" w:hAnsi="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tcBorders>
                    <w:top w:val="single" w:color="auto" w:sz="4" w:space="0"/>
                    <w:bottom w:val="single" w:color="auto" w:sz="4" w:space="0"/>
                  </w:tcBorders>
                  <w:tcMar>
                    <w:left w:w="34" w:type="dxa"/>
                    <w:right w:w="34" w:type="dxa"/>
                  </w:tcMar>
                  <w:vAlign w:val="center"/>
                </w:tcPr>
                <w:p>
                  <w:pPr>
                    <w:pStyle w:val="17"/>
                    <w:jc w:val="center"/>
                    <w:rPr>
                      <w:rFonts w:hint="eastAsia"/>
                      <w:szCs w:val="21"/>
                      <w:lang w:val="zh-TW"/>
                    </w:rPr>
                  </w:pPr>
                  <w:r>
                    <w:rPr>
                      <w:rFonts w:hint="eastAsia" w:ascii="Times New Roman" w:hAnsi="Times New Roman" w:cs="Times New Roman"/>
                      <w:spacing w:val="0"/>
                      <w:sz w:val="21"/>
                      <w:szCs w:val="21"/>
                      <w:lang w:val="en-US" w:eastAsia="zh-CN"/>
                    </w:rPr>
                    <w:t>清管废水残夜</w:t>
                  </w:r>
                </w:p>
              </w:tc>
              <w:tc>
                <w:tcPr>
                  <w:tcW w:w="3587" w:type="dxa"/>
                  <w:tcBorders>
                    <w:top w:val="single" w:color="auto" w:sz="4" w:space="0"/>
                    <w:bottom w:val="single" w:color="auto" w:sz="4" w:space="0"/>
                  </w:tcBorders>
                  <w:tcMar>
                    <w:left w:w="34" w:type="dxa"/>
                    <w:right w:w="34" w:type="dxa"/>
                  </w:tcMar>
                  <w:vAlign w:val="center"/>
                </w:tcPr>
                <w:p>
                  <w:pPr>
                    <w:jc w:val="center"/>
                    <w:rPr>
                      <w:rFonts w:hint="eastAsia"/>
                      <w:szCs w:val="21"/>
                    </w:rPr>
                  </w:pPr>
                  <w:r>
                    <w:rPr>
                      <w:rFonts w:hint="eastAsia" w:ascii="Times New Roman" w:hAnsi="Times New Roman"/>
                      <w:color w:val="000000"/>
                      <w:sz w:val="21"/>
                      <w:szCs w:val="21"/>
                      <w:lang w:val="en-US" w:eastAsia="zh-CN"/>
                    </w:rPr>
                    <w:t>高安首站产生的危废利用码头工程建设的危废库（建筑面积30m</w:t>
                  </w:r>
                  <w:r>
                    <w:rPr>
                      <w:rFonts w:hint="eastAsia" w:ascii="Times New Roman" w:hAnsi="Times New Roman"/>
                      <w:color w:val="000000"/>
                      <w:sz w:val="21"/>
                      <w:szCs w:val="21"/>
                      <w:vertAlign w:val="superscript"/>
                      <w:lang w:val="en-US" w:eastAsia="zh-CN"/>
                    </w:rPr>
                    <w:t>2</w:t>
                  </w:r>
                  <w:r>
                    <w:rPr>
                      <w:rFonts w:hint="eastAsia" w:ascii="Times New Roman" w:hAnsi="Times New Roman"/>
                      <w:color w:val="000000"/>
                      <w:sz w:val="21"/>
                      <w:szCs w:val="21"/>
                      <w:lang w:val="en-US" w:eastAsia="zh-CN"/>
                    </w:rPr>
                    <w:t>）存储，横山</w:t>
                  </w:r>
                  <w:r>
                    <w:rPr>
                      <w:rFonts w:hint="eastAsia" w:ascii="Times New Roman" w:hAnsi="Times New Roman"/>
                      <w:color w:val="000000"/>
                      <w:sz w:val="21"/>
                      <w:szCs w:val="21"/>
                    </w:rPr>
                    <w:t>分输站内</w:t>
                  </w:r>
                  <w:r>
                    <w:rPr>
                      <w:rFonts w:hint="eastAsia" w:ascii="Times New Roman" w:hAnsi="Times New Roman"/>
                      <w:color w:val="000000"/>
                      <w:sz w:val="21"/>
                      <w:szCs w:val="21"/>
                      <w:lang w:val="en-US" w:eastAsia="zh-CN"/>
                    </w:rPr>
                    <w:t>新</w:t>
                  </w:r>
                  <w:r>
                    <w:rPr>
                      <w:rFonts w:hint="eastAsia" w:ascii="Times New Roman" w:hAnsi="Times New Roman"/>
                      <w:color w:val="000000"/>
                      <w:sz w:val="21"/>
                      <w:szCs w:val="21"/>
                    </w:rPr>
                    <w:t>建设1处危废暂存区，</w:t>
                  </w:r>
                  <w:r>
                    <w:rPr>
                      <w:rFonts w:hint="eastAsia" w:ascii="Times New Roman" w:hAnsi="Times New Roman"/>
                      <w:color w:val="000000"/>
                      <w:sz w:val="21"/>
                      <w:szCs w:val="21"/>
                      <w:lang w:val="en-US" w:eastAsia="zh-CN"/>
                    </w:rPr>
                    <w:t>建筑面积10m</w:t>
                  </w:r>
                  <w:r>
                    <w:rPr>
                      <w:rFonts w:hint="eastAsia" w:ascii="Times New Roman" w:hAnsi="Times New Roman"/>
                      <w:color w:val="000000"/>
                      <w:sz w:val="21"/>
                      <w:szCs w:val="21"/>
                      <w:vertAlign w:val="superscript"/>
                      <w:lang w:val="en-US" w:eastAsia="zh-CN"/>
                    </w:rPr>
                    <w:t>2</w:t>
                  </w:r>
                </w:p>
              </w:tc>
              <w:tc>
                <w:tcPr>
                  <w:tcW w:w="2850" w:type="dxa"/>
                  <w:vMerge w:val="continue"/>
                  <w:tcMar>
                    <w:left w:w="34" w:type="dxa"/>
                    <w:right w:w="34" w:type="dxa"/>
                  </w:tcMar>
                  <w:vAlign w:val="center"/>
                </w:tcPr>
                <w:p>
                  <w:pPr>
                    <w:jc w:val="center"/>
                    <w:rPr>
                      <w:rFonts w:ascii="Times New Roman" w:hAnsi="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restart"/>
                  <w:tcMar>
                    <w:left w:w="34" w:type="dxa"/>
                    <w:right w:w="34" w:type="dxa"/>
                  </w:tcMar>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施工期</w:t>
                  </w:r>
                </w:p>
              </w:tc>
              <w:tc>
                <w:tcPr>
                  <w:tcW w:w="738" w:type="dxa"/>
                  <w:vMerge w:val="restart"/>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大气</w:t>
                  </w:r>
                </w:p>
                <w:p>
                  <w:pPr>
                    <w:jc w:val="center"/>
                    <w:rPr>
                      <w:rFonts w:ascii="Times New Roman" w:hAnsi="Times New Roman"/>
                      <w:color w:val="000000"/>
                      <w:szCs w:val="21"/>
                    </w:rPr>
                  </w:pPr>
                  <w:r>
                    <w:rPr>
                      <w:rFonts w:ascii="Times New Roman" w:hAnsi="Times New Roman"/>
                      <w:color w:val="000000"/>
                      <w:szCs w:val="21"/>
                    </w:rPr>
                    <w:t>污染源</w:t>
                  </w:r>
                </w:p>
              </w:tc>
              <w:tc>
                <w:tcPr>
                  <w:tcW w:w="1195"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站场</w:t>
                  </w:r>
                </w:p>
              </w:tc>
              <w:tc>
                <w:tcPr>
                  <w:tcW w:w="3587" w:type="dxa"/>
                  <w:tcBorders>
                    <w:top w:val="single" w:color="auto" w:sz="4" w:space="0"/>
                    <w:bottom w:val="single" w:color="auto" w:sz="4" w:space="0"/>
                  </w:tcBorders>
                  <w:tcMar>
                    <w:left w:w="34" w:type="dxa"/>
                    <w:right w:w="34" w:type="dxa"/>
                  </w:tcMar>
                  <w:vAlign w:val="center"/>
                </w:tcPr>
                <w:p>
                  <w:pPr>
                    <w:pStyle w:val="102"/>
                    <w:jc w:val="both"/>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施工场界设置屏障和围墙，材料运输及堆放时设蓬盖，施工场地保洁，施工场地洒水抑尘等</w:t>
                  </w:r>
                </w:p>
              </w:tc>
              <w:tc>
                <w:tcPr>
                  <w:tcW w:w="2850" w:type="dxa"/>
                  <w:vMerge w:val="restart"/>
                  <w:tcMar>
                    <w:left w:w="34" w:type="dxa"/>
                    <w:right w:w="34" w:type="dxa"/>
                  </w:tcMar>
                  <w:vAlign w:val="center"/>
                </w:tcPr>
                <w:p>
                  <w:pPr>
                    <w:jc w:val="center"/>
                    <w:rPr>
                      <w:rFonts w:ascii="Times New Roman" w:hAnsi="Times New Roman"/>
                      <w:color w:val="000000"/>
                      <w:szCs w:val="21"/>
                    </w:rPr>
                  </w:pPr>
                  <w:r>
                    <w:rPr>
                      <w:rFonts w:hint="eastAsia" w:ascii="Times New Roman" w:hAnsi="Times New Roman"/>
                      <w:color w:val="000000"/>
                      <w:szCs w:val="21"/>
                    </w:rPr>
                    <w:t>环保设施完备，符合《大气污染物综合排放标准》及相关环保要求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管线</w:t>
                  </w:r>
                </w:p>
              </w:tc>
              <w:tc>
                <w:tcPr>
                  <w:tcW w:w="3587" w:type="dxa"/>
                  <w:tcBorders>
                    <w:top w:val="single" w:color="auto" w:sz="4" w:space="0"/>
                    <w:bottom w:val="single" w:color="auto" w:sz="4" w:space="0"/>
                  </w:tcBorders>
                  <w:tcMar>
                    <w:left w:w="34" w:type="dxa"/>
                    <w:right w:w="34" w:type="dxa"/>
                  </w:tcMar>
                  <w:vAlign w:val="center"/>
                </w:tcPr>
                <w:p>
                  <w:pPr>
                    <w:pStyle w:val="102"/>
                    <w:jc w:val="both"/>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施工场界设置屏障和围墙，材料运输及堆放时设蓬盖，施工现场道路硬化，施工场地保洁，施工场地洒水抑尘等</w:t>
                  </w:r>
                </w:p>
              </w:tc>
              <w:tc>
                <w:tcPr>
                  <w:tcW w:w="2850" w:type="dxa"/>
                  <w:vMerge w:val="continue"/>
                  <w:tcMar>
                    <w:left w:w="34" w:type="dxa"/>
                    <w:right w:w="34" w:type="dxa"/>
                  </w:tcMar>
                  <w:vAlign w:val="center"/>
                </w:tcPr>
                <w:p>
                  <w:pPr>
                    <w:jc w:val="center"/>
                    <w:rPr>
                      <w:rFonts w:ascii="Times New Roman" w:hAnsi="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restart"/>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水污</w:t>
                  </w:r>
                </w:p>
                <w:p>
                  <w:pPr>
                    <w:jc w:val="center"/>
                    <w:rPr>
                      <w:rFonts w:ascii="Times New Roman" w:hAnsi="Times New Roman"/>
                      <w:color w:val="000000"/>
                      <w:szCs w:val="21"/>
                    </w:rPr>
                  </w:pPr>
                  <w:r>
                    <w:rPr>
                      <w:rFonts w:ascii="Times New Roman" w:hAnsi="Times New Roman"/>
                      <w:color w:val="000000"/>
                      <w:szCs w:val="21"/>
                    </w:rPr>
                    <w:t>染源</w:t>
                  </w:r>
                </w:p>
              </w:tc>
              <w:tc>
                <w:tcPr>
                  <w:tcW w:w="1195"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站场</w:t>
                  </w: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施工场地设置沉淀池，材料堆场旁设沉淀池，施工废水经沉淀后回用</w:t>
                  </w:r>
                </w:p>
              </w:tc>
              <w:tc>
                <w:tcPr>
                  <w:tcW w:w="2850" w:type="dxa"/>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环保设施完备，废水不外排</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restart"/>
                  <w:tcBorders>
                    <w:top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管线</w:t>
                  </w: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设置沉淀池，处理管道试压水；堆管场旁设置沉淀池，施工废水经沉淀后回用</w:t>
                  </w:r>
                </w:p>
              </w:tc>
              <w:tc>
                <w:tcPr>
                  <w:tcW w:w="2850" w:type="dxa"/>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环保设施完备，废水不外排</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continue"/>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施工作业带设立截排水沟和沉淀池，雨水经处理后尽量回用</w:t>
                  </w:r>
                </w:p>
              </w:tc>
              <w:tc>
                <w:tcPr>
                  <w:tcW w:w="2850" w:type="dxa"/>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continue"/>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采用定向钻方式穿越河流设置泥浆收集池，并配泥浆回收装置，废弃泥浆经沉淀后上清液收集进蓄水池，经处理后回用于道路抑尘洒水</w:t>
                  </w:r>
                </w:p>
              </w:tc>
              <w:tc>
                <w:tcPr>
                  <w:tcW w:w="2850" w:type="dxa"/>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环保设施完备，废水不外排</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restart"/>
                  <w:tcMar>
                    <w:left w:w="34" w:type="dxa"/>
                    <w:right w:w="34" w:type="dxa"/>
                  </w:tcMar>
                  <w:vAlign w:val="center"/>
                </w:tcPr>
                <w:p>
                  <w:pPr>
                    <w:jc w:val="center"/>
                    <w:rPr>
                      <w:rFonts w:ascii="Times New Roman" w:hAnsi="Times New Roman"/>
                      <w:color w:val="000000"/>
                      <w:szCs w:val="21"/>
                    </w:rPr>
                  </w:pPr>
                  <w:r>
                    <w:rPr>
                      <w:rFonts w:ascii="Times New Roman" w:hAnsi="Times New Roman"/>
                      <w:color w:val="000000"/>
                      <w:szCs w:val="21"/>
                    </w:rPr>
                    <w:t>固体</w:t>
                  </w:r>
                </w:p>
                <w:p>
                  <w:pPr>
                    <w:jc w:val="center"/>
                    <w:rPr>
                      <w:rFonts w:ascii="Times New Roman" w:hAnsi="Times New Roman"/>
                      <w:color w:val="000000"/>
                      <w:szCs w:val="21"/>
                    </w:rPr>
                  </w:pPr>
                  <w:r>
                    <w:rPr>
                      <w:rFonts w:ascii="Times New Roman" w:hAnsi="Times New Roman"/>
                      <w:color w:val="000000"/>
                      <w:szCs w:val="21"/>
                    </w:rPr>
                    <w:t>废物</w:t>
                  </w:r>
                </w:p>
              </w:tc>
              <w:tc>
                <w:tcPr>
                  <w:tcW w:w="1195" w:type="dxa"/>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站场</w:t>
                  </w: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焊接作业点配备铁桶或纸箱，废弃物直接放入容器中，施工结束后集中回收处置；废包装物及时收集，可再生利用的进行回收利用；无回收利用价值的垃圾，依托当地环卫部门有偿清运，按相关规定进行妥善处置。</w:t>
                  </w:r>
                </w:p>
              </w:tc>
              <w:tc>
                <w:tcPr>
                  <w:tcW w:w="2850" w:type="dxa"/>
                  <w:vMerge w:val="restart"/>
                  <w:tcMar>
                    <w:left w:w="34" w:type="dxa"/>
                    <w:right w:w="34" w:type="dxa"/>
                  </w:tcMar>
                  <w:vAlign w:val="center"/>
                </w:tcPr>
                <w:p>
                  <w:pPr>
                    <w:jc w:val="center"/>
                    <w:rPr>
                      <w:rFonts w:hint="eastAsia" w:ascii="Times New Roman" w:hAnsi="Times New Roman" w:cs="Times New Roman"/>
                      <w:color w:val="000000"/>
                      <w:szCs w:val="21"/>
                    </w:rPr>
                  </w:pPr>
                  <w:r>
                    <w:rPr>
                      <w:rFonts w:hint="eastAsia" w:ascii="Times New Roman" w:hAnsi="Times New Roman" w:cs="Times New Roman"/>
                      <w:color w:val="000000"/>
                      <w:szCs w:val="21"/>
                    </w:rPr>
                    <w:t>环保设施完备，符合《一般工业固体废物贮存、处置场污染控制标准》（GB18599-2001）及其相关环保要求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restart"/>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管线</w:t>
                  </w: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建设泥浆贮存池存储定向钻产生的泥浆，沉淀后的上清液经处理后回用，废弃泥浆调节pH后，经干化处理后回填至管线作业区覆土</w:t>
                  </w:r>
                </w:p>
              </w:tc>
              <w:tc>
                <w:tcPr>
                  <w:tcW w:w="2850" w:type="dxa"/>
                  <w:vMerge w:val="continue"/>
                  <w:tcMar>
                    <w:left w:w="34" w:type="dxa"/>
                    <w:right w:w="34" w:type="dxa"/>
                  </w:tcMar>
                  <w:vAlign w:val="center"/>
                </w:tcPr>
                <w:p>
                  <w:pPr>
                    <w:jc w:val="center"/>
                    <w:rPr>
                      <w:rFonts w:hint="eastAsia" w:ascii="Times New Roman" w:hAnsi="Times New Roman" w:cs="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continue"/>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表土临时堆放场，表土按当地政府的要求处置</w:t>
                  </w:r>
                </w:p>
              </w:tc>
              <w:tc>
                <w:tcPr>
                  <w:tcW w:w="2850" w:type="dxa"/>
                  <w:vMerge w:val="continue"/>
                  <w:tcMar>
                    <w:left w:w="34" w:type="dxa"/>
                    <w:right w:w="34" w:type="dxa"/>
                  </w:tcMar>
                  <w:vAlign w:val="center"/>
                </w:tcPr>
                <w:p>
                  <w:pPr>
                    <w:jc w:val="center"/>
                    <w:rPr>
                      <w:rFonts w:hint="eastAsia" w:ascii="Times New Roman" w:hAnsi="Times New Roman" w:cs="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continue"/>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焊接作业点配备铁桶或纸箱；废包装物及时收集，可再生利用的进行回收利用；无回收利用价值的垃圾，依托当地环卫部门有偿清运，按相关规定妥善处置。</w:t>
                  </w:r>
                </w:p>
              </w:tc>
              <w:tc>
                <w:tcPr>
                  <w:tcW w:w="2850" w:type="dxa"/>
                  <w:vMerge w:val="continue"/>
                  <w:tcMar>
                    <w:left w:w="34" w:type="dxa"/>
                    <w:right w:w="34" w:type="dxa"/>
                  </w:tcMar>
                  <w:vAlign w:val="center"/>
                </w:tcPr>
                <w:p>
                  <w:pPr>
                    <w:jc w:val="center"/>
                    <w:rPr>
                      <w:rFonts w:hint="eastAsia" w:ascii="Times New Roman" w:hAnsi="Times New Roman" w:cs="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restart"/>
                  <w:tcMar>
                    <w:left w:w="34" w:type="dxa"/>
                    <w:right w:w="34" w:type="dxa"/>
                  </w:tcMar>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噪声</w:t>
                  </w:r>
                </w:p>
              </w:tc>
              <w:tc>
                <w:tcPr>
                  <w:tcW w:w="1195" w:type="dxa"/>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站场阀室</w:t>
                  </w: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合理安排施工时间；选用低噪声设备；隔声、隔震或消声措施；加强进出车辆管理</w:t>
                  </w:r>
                </w:p>
              </w:tc>
              <w:tc>
                <w:tcPr>
                  <w:tcW w:w="2850" w:type="dxa"/>
                  <w:vMerge w:val="restart"/>
                  <w:tcMar>
                    <w:left w:w="34" w:type="dxa"/>
                    <w:right w:w="34" w:type="dxa"/>
                  </w:tcMar>
                  <w:vAlign w:val="center"/>
                </w:tcPr>
                <w:p>
                  <w:pPr>
                    <w:jc w:val="center"/>
                    <w:rPr>
                      <w:rFonts w:hint="eastAsia" w:ascii="Times New Roman" w:hAnsi="Times New Roman" w:cs="Times New Roman"/>
                      <w:color w:val="000000"/>
                      <w:szCs w:val="21"/>
                    </w:rPr>
                  </w:pPr>
                  <w:r>
                    <w:rPr>
                      <w:rFonts w:hint="eastAsia" w:ascii="Times New Roman" w:hAnsi="Times New Roman" w:cs="Times New Roman"/>
                      <w:color w:val="000000"/>
                      <w:szCs w:val="21"/>
                    </w:rPr>
                    <w:t>符合环保要求，符合《建筑施工场界环境噪声排放标准》（GB12523-2011）及相关环保要求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restart"/>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管线</w:t>
                  </w: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合理安排施工时间，选用低噪声设备；隔声、隔震或消声措施；加强进出车辆管理</w:t>
                  </w:r>
                </w:p>
              </w:tc>
              <w:tc>
                <w:tcPr>
                  <w:tcW w:w="2850" w:type="dxa"/>
                  <w:vMerge w:val="continue"/>
                  <w:tcMar>
                    <w:left w:w="34" w:type="dxa"/>
                    <w:right w:w="34" w:type="dxa"/>
                  </w:tcMar>
                  <w:vAlign w:val="center"/>
                </w:tcPr>
                <w:p>
                  <w:pPr>
                    <w:jc w:val="center"/>
                    <w:rPr>
                      <w:rFonts w:hint="eastAsia" w:ascii="Times New Roman" w:hAnsi="Times New Roman" w:cs="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olor w:val="000000"/>
                      <w:szCs w:val="21"/>
                    </w:rPr>
                  </w:pPr>
                </w:p>
              </w:tc>
              <w:tc>
                <w:tcPr>
                  <w:tcW w:w="1195" w:type="dxa"/>
                  <w:vMerge w:val="continue"/>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p>
              </w:tc>
              <w:tc>
                <w:tcPr>
                  <w:tcW w:w="3587" w:type="dxa"/>
                  <w:tcBorders>
                    <w:top w:val="single" w:color="auto" w:sz="4" w:space="0"/>
                    <w:bottom w:val="single" w:color="auto" w:sz="4" w:space="0"/>
                  </w:tcBorders>
                  <w:tcMar>
                    <w:left w:w="34" w:type="dxa"/>
                    <w:right w:w="34" w:type="dxa"/>
                  </w:tcMar>
                  <w:vAlign w:val="center"/>
                </w:tcPr>
                <w:p>
                  <w:pPr>
                    <w:pStyle w:val="102"/>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隔管线较近的村庄施工路段设置临时性声屏障</w:t>
                  </w:r>
                </w:p>
              </w:tc>
              <w:tc>
                <w:tcPr>
                  <w:tcW w:w="2850" w:type="dxa"/>
                  <w:vMerge w:val="continue"/>
                  <w:tcMar>
                    <w:left w:w="34" w:type="dxa"/>
                    <w:right w:w="34" w:type="dxa"/>
                  </w:tcMar>
                  <w:vAlign w:val="center"/>
                </w:tcPr>
                <w:p>
                  <w:pPr>
                    <w:jc w:val="center"/>
                    <w:rPr>
                      <w:rFonts w:hint="eastAsia" w:ascii="Times New Roman" w:hAnsi="Times New Roman" w:cs="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restart"/>
                  <w:tcMar>
                    <w:left w:w="34" w:type="dxa"/>
                    <w:right w:w="34" w:type="dxa"/>
                  </w:tcMar>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生态环境</w:t>
                  </w:r>
                </w:p>
              </w:tc>
              <w:tc>
                <w:tcPr>
                  <w:tcW w:w="1195" w:type="dxa"/>
                  <w:tcMar>
                    <w:left w:w="34" w:type="dxa"/>
                    <w:right w:w="34" w:type="dxa"/>
                  </w:tcMar>
                  <w:vAlign w:val="center"/>
                </w:tcPr>
                <w:p>
                  <w:pPr>
                    <w:jc w:val="center"/>
                    <w:rPr>
                      <w:rFonts w:hint="eastAsia" w:ascii="Times New Roman" w:hAnsi="Times New Roman" w:cs="Times New Roman"/>
                      <w:color w:val="000000"/>
                      <w:szCs w:val="21"/>
                      <w:lang w:val="en-US" w:eastAsia="zh-CN"/>
                    </w:rPr>
                  </w:pPr>
                  <w:r>
                    <w:rPr>
                      <w:rFonts w:ascii="Times New Roman" w:hAnsi="Times New Roman" w:cs="Times New Roman"/>
                      <w:color w:val="000000"/>
                      <w:szCs w:val="21"/>
                    </w:rPr>
                    <w:t>站场</w:t>
                  </w:r>
                </w:p>
              </w:tc>
              <w:tc>
                <w:tcPr>
                  <w:tcW w:w="3587" w:type="dxa"/>
                  <w:tcBorders>
                    <w:top w:val="single" w:color="auto" w:sz="4" w:space="0"/>
                    <w:bottom w:val="single" w:color="auto" w:sz="4" w:space="0"/>
                  </w:tcBorders>
                  <w:tcMar>
                    <w:left w:w="34" w:type="dxa"/>
                    <w:right w:w="34" w:type="dxa"/>
                  </w:tcMar>
                  <w:vAlign w:val="center"/>
                </w:tcPr>
                <w:p>
                  <w:pPr>
                    <w:jc w:val="center"/>
                    <w:rPr>
                      <w:rFonts w:hint="eastAsia" w:ascii="Times New Roman" w:hAnsi="Times New Roman" w:cs="Times New Roman"/>
                      <w:color w:val="000000"/>
                      <w:szCs w:val="21"/>
                      <w:lang w:val="en-US" w:eastAsia="zh-CN"/>
                    </w:rPr>
                  </w:pPr>
                  <w:r>
                    <w:rPr>
                      <w:rFonts w:ascii="Times New Roman" w:hAnsi="Times New Roman" w:cs="Times New Roman"/>
                      <w:color w:val="000000"/>
                      <w:szCs w:val="21"/>
                    </w:rPr>
                    <w:t>合理设计，减少占用农田和林地；采取水土保持措施、规范施工、加强宣传、严格管理</w:t>
                  </w:r>
                </w:p>
              </w:tc>
              <w:tc>
                <w:tcPr>
                  <w:tcW w:w="2850" w:type="dxa"/>
                  <w:vMerge w:val="restart"/>
                  <w:tcMar>
                    <w:left w:w="34" w:type="dxa"/>
                    <w:right w:w="34" w:type="dxa"/>
                  </w:tcMar>
                  <w:vAlign w:val="center"/>
                </w:tcPr>
                <w:p>
                  <w:pPr>
                    <w:jc w:val="center"/>
                    <w:rPr>
                      <w:rFonts w:hint="eastAsia" w:ascii="Times New Roman" w:hAnsi="Times New Roman" w:cs="Times New Roman"/>
                      <w:color w:val="000000"/>
                      <w:szCs w:val="21"/>
                    </w:rPr>
                  </w:pPr>
                  <w:r>
                    <w:rPr>
                      <w:rFonts w:hint="eastAsia" w:ascii="Times New Roman" w:hAnsi="Times New Roman" w:cs="Times New Roman"/>
                      <w:color w:val="000000"/>
                      <w:szCs w:val="21"/>
                    </w:rPr>
                    <w:t>按环评要求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s="Times New Roman"/>
                      <w:color w:val="000000"/>
                      <w:szCs w:val="21"/>
                    </w:rPr>
                  </w:pPr>
                </w:p>
              </w:tc>
              <w:tc>
                <w:tcPr>
                  <w:tcW w:w="1195" w:type="dxa"/>
                  <w:tcMar>
                    <w:left w:w="34" w:type="dxa"/>
                    <w:right w:w="34" w:type="dxa"/>
                  </w:tcMar>
                  <w:vAlign w:val="center"/>
                </w:tcPr>
                <w:p>
                  <w:pPr>
                    <w:jc w:val="center"/>
                    <w:rPr>
                      <w:rFonts w:hint="eastAsia" w:ascii="Times New Roman" w:hAnsi="Times New Roman" w:cs="Times New Roman"/>
                      <w:color w:val="000000"/>
                      <w:szCs w:val="21"/>
                      <w:lang w:val="en-US" w:eastAsia="zh-CN"/>
                    </w:rPr>
                  </w:pPr>
                  <w:r>
                    <w:rPr>
                      <w:rFonts w:ascii="Times New Roman" w:hAnsi="Times New Roman" w:cs="Times New Roman"/>
                      <w:color w:val="000000"/>
                      <w:szCs w:val="21"/>
                    </w:rPr>
                    <w:t>管线</w:t>
                  </w:r>
                </w:p>
              </w:tc>
              <w:tc>
                <w:tcPr>
                  <w:tcW w:w="3587" w:type="dxa"/>
                  <w:tcBorders>
                    <w:top w:val="single" w:color="auto" w:sz="4" w:space="0"/>
                    <w:bottom w:val="single" w:color="auto" w:sz="4" w:space="0"/>
                  </w:tcBorders>
                  <w:tcMar>
                    <w:left w:w="34" w:type="dxa"/>
                    <w:right w:w="34" w:type="dxa"/>
                  </w:tcMar>
                  <w:vAlign w:val="center"/>
                </w:tcPr>
                <w:p>
                  <w:pPr>
                    <w:jc w:val="center"/>
                    <w:rPr>
                      <w:rFonts w:hint="eastAsia" w:ascii="Times New Roman" w:hAnsi="Times New Roman" w:cs="Times New Roman"/>
                      <w:color w:val="000000"/>
                      <w:szCs w:val="21"/>
                      <w:lang w:val="en-US" w:eastAsia="zh-CN"/>
                    </w:rPr>
                  </w:pPr>
                  <w:r>
                    <w:rPr>
                      <w:rFonts w:ascii="Times New Roman" w:hAnsi="Times New Roman" w:cs="Times New Roman"/>
                      <w:color w:val="000000"/>
                      <w:szCs w:val="21"/>
                    </w:rPr>
                    <w:t>植被恢复（管线区域、施工作业带、临时用地区域的植被恢复措施，管线上方及中心线两侧5m范围内禁止栽种深根植物）、合理优化设计，减少开挖和占地，采取水土保持措施、规范施工、加强宣传、严格管理</w:t>
                  </w:r>
                </w:p>
              </w:tc>
              <w:tc>
                <w:tcPr>
                  <w:tcW w:w="2850" w:type="dxa"/>
                  <w:vMerge w:val="continue"/>
                  <w:tcMar>
                    <w:left w:w="34" w:type="dxa"/>
                    <w:right w:w="34" w:type="dxa"/>
                  </w:tcMar>
                  <w:vAlign w:val="center"/>
                </w:tcPr>
                <w:p>
                  <w:pPr>
                    <w:jc w:val="center"/>
                    <w:rPr>
                      <w:rFonts w:hint="eastAsia" w:ascii="Times New Roman" w:hAnsi="Times New Roman" w:cs="Times New Roman"/>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tcMar>
                    <w:left w:w="34" w:type="dxa"/>
                    <w:right w:w="34" w:type="dxa"/>
                  </w:tcMar>
                  <w:vAlign w:val="center"/>
                </w:tcPr>
                <w:p>
                  <w:pPr>
                    <w:jc w:val="center"/>
                    <w:rPr>
                      <w:rFonts w:ascii="Times New Roman" w:hAnsi="Times New Roman"/>
                      <w:color w:val="000000"/>
                      <w:szCs w:val="21"/>
                    </w:rPr>
                  </w:pPr>
                </w:p>
              </w:tc>
              <w:tc>
                <w:tcPr>
                  <w:tcW w:w="738" w:type="dxa"/>
                  <w:vMerge w:val="continue"/>
                  <w:tcMar>
                    <w:left w:w="34" w:type="dxa"/>
                    <w:right w:w="34" w:type="dxa"/>
                  </w:tcMar>
                  <w:vAlign w:val="center"/>
                </w:tcPr>
                <w:p>
                  <w:pPr>
                    <w:jc w:val="center"/>
                    <w:rPr>
                      <w:rFonts w:ascii="Times New Roman" w:hAnsi="Times New Roman" w:cs="Times New Roman"/>
                      <w:color w:val="000000"/>
                      <w:szCs w:val="21"/>
                    </w:rPr>
                  </w:pPr>
                </w:p>
              </w:tc>
              <w:tc>
                <w:tcPr>
                  <w:tcW w:w="1195" w:type="dxa"/>
                  <w:tcMar>
                    <w:left w:w="34" w:type="dxa"/>
                    <w:right w:w="34" w:type="dxa"/>
                  </w:tcMar>
                  <w:vAlign w:val="center"/>
                </w:tcPr>
                <w:p>
                  <w:pPr>
                    <w:jc w:val="center"/>
                    <w:rPr>
                      <w:rFonts w:hint="eastAsia" w:ascii="Times New Roman" w:hAnsi="Times New Roman" w:cs="Times New Roman"/>
                      <w:color w:val="000000"/>
                      <w:szCs w:val="21"/>
                      <w:lang w:val="en-US" w:eastAsia="zh-CN"/>
                    </w:rPr>
                  </w:pPr>
                  <w:r>
                    <w:rPr>
                      <w:rFonts w:ascii="Times New Roman" w:hAnsi="Times New Roman" w:cs="Times New Roman"/>
                      <w:color w:val="000000"/>
                      <w:szCs w:val="21"/>
                    </w:rPr>
                    <w:t>料场、施工便道、临时堆管区等</w:t>
                  </w:r>
                </w:p>
              </w:tc>
              <w:tc>
                <w:tcPr>
                  <w:tcW w:w="3587" w:type="dxa"/>
                  <w:tcBorders>
                    <w:top w:val="single" w:color="auto" w:sz="4" w:space="0"/>
                    <w:bottom w:val="single" w:color="auto" w:sz="4" w:space="0"/>
                  </w:tcBorders>
                  <w:tcMar>
                    <w:left w:w="34" w:type="dxa"/>
                    <w:right w:w="34" w:type="dxa"/>
                  </w:tcMar>
                  <w:vAlign w:val="center"/>
                </w:tcPr>
                <w:p>
                  <w:pPr>
                    <w:jc w:val="center"/>
                    <w:rPr>
                      <w:rFonts w:hint="eastAsia" w:ascii="Times New Roman" w:hAnsi="Times New Roman" w:cs="Times New Roman"/>
                      <w:color w:val="000000"/>
                      <w:szCs w:val="21"/>
                      <w:lang w:val="en-US" w:eastAsia="zh-CN"/>
                    </w:rPr>
                  </w:pPr>
                  <w:r>
                    <w:rPr>
                      <w:rFonts w:ascii="Times New Roman" w:hAnsi="Times New Roman" w:cs="Times New Roman"/>
                      <w:color w:val="000000"/>
                      <w:szCs w:val="21"/>
                    </w:rPr>
                    <w:t>采取水土保持措施，对渣场、料场及施工便道、临时堆管区等施工场地进行生态恢复，尽量选用当地常见绿化植被</w:t>
                  </w:r>
                </w:p>
              </w:tc>
              <w:tc>
                <w:tcPr>
                  <w:tcW w:w="2850" w:type="dxa"/>
                  <w:vMerge w:val="continue"/>
                  <w:tcMar>
                    <w:left w:w="34" w:type="dxa"/>
                    <w:right w:w="34" w:type="dxa"/>
                  </w:tcMar>
                  <w:vAlign w:val="center"/>
                </w:tcPr>
                <w:p>
                  <w:pPr>
                    <w:jc w:val="center"/>
                    <w:rPr>
                      <w:rFonts w:ascii="Times New Roman" w:hAnsi="Times New Roman"/>
                      <w:color w:val="000000"/>
                      <w:szCs w:val="21"/>
                    </w:rPr>
                  </w:pPr>
                </w:p>
              </w:tc>
            </w:tr>
          </w:tbl>
          <w:p>
            <w:pPr>
              <w:ind w:firstLine="480"/>
              <w:rPr>
                <w:rFonts w:ascii="Times New Roman" w:hAnsi="Times New Roman"/>
                <w:color w:val="000000"/>
              </w:rPr>
            </w:pPr>
          </w:p>
          <w:p>
            <w:pPr>
              <w:pStyle w:val="5"/>
              <w:spacing w:line="360" w:lineRule="auto"/>
              <w:ind w:firstLine="241"/>
              <w:jc w:val="center"/>
              <w:rPr>
                <w:rFonts w:ascii="Times New Roman" w:hAnsi="Times New Roman"/>
                <w:b/>
                <w:bCs/>
                <w:color w:val="000000"/>
                <w:sz w:val="24"/>
              </w:rPr>
            </w:pPr>
          </w:p>
          <w:p>
            <w:pPr>
              <w:pStyle w:val="18"/>
              <w:spacing w:line="360" w:lineRule="auto"/>
              <w:ind w:firstLine="0"/>
              <w:rPr>
                <w:rFonts w:ascii="Times New Roman" w:hAnsi="Times New Roman"/>
                <w:color w:val="000000"/>
                <w:sz w:val="24"/>
              </w:rPr>
            </w:pPr>
          </w:p>
        </w:tc>
      </w:tr>
    </w:tbl>
    <w:p>
      <w:pPr>
        <w:pStyle w:val="2"/>
        <w:rPr>
          <w:rFonts w:ascii="Times New Roman" w:hAnsi="Times New Roman"/>
        </w:rPr>
      </w:pPr>
      <w:bookmarkStart w:id="9" w:name="_Hlk484172954"/>
      <w:r>
        <w:rPr>
          <w:rFonts w:ascii="Times New Roman" w:hAnsi="Times New Roman"/>
        </w:rPr>
        <w:t>建设项目拟采取的防治措施及预期治理效果</w:t>
      </w:r>
    </w:p>
    <w:bookmarkEnd w:id="9"/>
    <w:tbl>
      <w:tblPr>
        <w:tblStyle w:val="32"/>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449"/>
        <w:gridCol w:w="1312"/>
        <w:gridCol w:w="1539"/>
        <w:gridCol w:w="2700"/>
        <w:gridCol w:w="24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23" w:type="dxa"/>
            <w:gridSpan w:val="2"/>
            <w:tcBorders>
              <w:top w:val="single" w:color="auto" w:sz="4" w:space="0"/>
              <w:left w:val="single" w:color="auto" w:sz="4" w:space="0"/>
              <w:tl2br w:val="single" w:color="auto" w:sz="6" w:space="0"/>
            </w:tcBorders>
          </w:tcPr>
          <w:p>
            <w:pPr>
              <w:spacing w:line="240" w:lineRule="atLeast"/>
              <w:jc w:val="right"/>
              <w:rPr>
                <w:rFonts w:ascii="Times New Roman" w:hAnsi="Times New Roman"/>
                <w:szCs w:val="21"/>
              </w:rPr>
            </w:pPr>
            <w:r>
              <w:rPr>
                <w:rFonts w:ascii="Times New Roman" w:hAnsi="Times New Roman"/>
                <w:szCs w:val="21"/>
              </w:rPr>
              <w:t>内容</w:t>
            </w:r>
          </w:p>
          <w:p>
            <w:pPr>
              <w:spacing w:line="240" w:lineRule="atLeast"/>
              <w:rPr>
                <w:rFonts w:ascii="Times New Roman" w:hAnsi="Times New Roman"/>
                <w:szCs w:val="21"/>
              </w:rPr>
            </w:pPr>
            <w:r>
              <w:rPr>
                <w:rFonts w:ascii="Times New Roman" w:hAnsi="Times New Roman"/>
                <w:szCs w:val="21"/>
              </w:rPr>
              <w:t>类型</w:t>
            </w:r>
          </w:p>
        </w:tc>
        <w:tc>
          <w:tcPr>
            <w:tcW w:w="1312" w:type="dxa"/>
            <w:tcBorders>
              <w:top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排放源</w:t>
            </w:r>
          </w:p>
          <w:p>
            <w:pPr>
              <w:spacing w:line="240" w:lineRule="atLeast"/>
              <w:jc w:val="center"/>
              <w:rPr>
                <w:rFonts w:ascii="Times New Roman" w:hAnsi="Times New Roman"/>
                <w:szCs w:val="21"/>
              </w:rPr>
            </w:pPr>
            <w:r>
              <w:rPr>
                <w:rFonts w:ascii="Times New Roman" w:hAnsi="Times New Roman"/>
                <w:szCs w:val="21"/>
              </w:rPr>
              <w:t>（编号）</w:t>
            </w:r>
          </w:p>
        </w:tc>
        <w:tc>
          <w:tcPr>
            <w:tcW w:w="1539" w:type="dxa"/>
            <w:tcBorders>
              <w:top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污染物名称</w:t>
            </w:r>
          </w:p>
        </w:tc>
        <w:tc>
          <w:tcPr>
            <w:tcW w:w="2700" w:type="dxa"/>
            <w:tcBorders>
              <w:top w:val="single" w:color="auto" w:sz="4" w:space="0"/>
              <w:bottom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防治措施</w:t>
            </w:r>
          </w:p>
        </w:tc>
        <w:tc>
          <w:tcPr>
            <w:tcW w:w="2470" w:type="dxa"/>
            <w:tcBorders>
              <w:top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74"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营运期</w:t>
            </w:r>
          </w:p>
        </w:tc>
        <w:tc>
          <w:tcPr>
            <w:tcW w:w="449" w:type="dxa"/>
            <w:tcBorders>
              <w:top w:val="single" w:color="auto" w:sz="4" w:space="0"/>
              <w:lef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大</w:t>
            </w:r>
          </w:p>
          <w:p>
            <w:pPr>
              <w:spacing w:line="240" w:lineRule="atLeast"/>
              <w:jc w:val="center"/>
              <w:rPr>
                <w:rFonts w:ascii="Times New Roman" w:hAnsi="Times New Roman"/>
                <w:szCs w:val="21"/>
              </w:rPr>
            </w:pPr>
            <w:r>
              <w:rPr>
                <w:rFonts w:ascii="Times New Roman" w:hAnsi="Times New Roman"/>
                <w:szCs w:val="21"/>
              </w:rPr>
              <w:t>气</w:t>
            </w:r>
          </w:p>
          <w:p>
            <w:pPr>
              <w:spacing w:line="240" w:lineRule="atLeast"/>
              <w:jc w:val="center"/>
              <w:rPr>
                <w:rFonts w:ascii="Times New Roman" w:hAnsi="Times New Roman"/>
                <w:szCs w:val="21"/>
              </w:rPr>
            </w:pPr>
            <w:r>
              <w:rPr>
                <w:rFonts w:ascii="Times New Roman" w:hAnsi="Times New Roman"/>
                <w:szCs w:val="21"/>
              </w:rPr>
              <w:t>污</w:t>
            </w:r>
          </w:p>
          <w:p>
            <w:pPr>
              <w:spacing w:line="240" w:lineRule="atLeast"/>
              <w:jc w:val="center"/>
              <w:rPr>
                <w:rFonts w:ascii="Times New Roman" w:hAnsi="Times New Roman"/>
                <w:szCs w:val="21"/>
              </w:rPr>
            </w:pPr>
            <w:r>
              <w:rPr>
                <w:rFonts w:ascii="Times New Roman" w:hAnsi="Times New Roman"/>
                <w:szCs w:val="21"/>
              </w:rPr>
              <w:t>染</w:t>
            </w:r>
          </w:p>
          <w:p>
            <w:pPr>
              <w:spacing w:line="240" w:lineRule="atLeast"/>
              <w:jc w:val="center"/>
              <w:rPr>
                <w:rFonts w:ascii="Times New Roman" w:hAnsi="Times New Roman"/>
                <w:szCs w:val="21"/>
              </w:rPr>
            </w:pPr>
            <w:r>
              <w:rPr>
                <w:rFonts w:ascii="Times New Roman" w:hAnsi="Times New Roman"/>
                <w:szCs w:val="21"/>
              </w:rPr>
              <w:t>物</w:t>
            </w:r>
          </w:p>
        </w:tc>
        <w:tc>
          <w:tcPr>
            <w:tcW w:w="1312" w:type="dxa"/>
            <w:tcBorders>
              <w:top w:val="single" w:color="auto" w:sz="4" w:space="0"/>
            </w:tcBorders>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站区</w:t>
            </w:r>
          </w:p>
        </w:tc>
        <w:tc>
          <w:tcPr>
            <w:tcW w:w="1539" w:type="dxa"/>
            <w:tcBorders>
              <w:top w:val="single" w:color="auto" w:sz="4" w:space="0"/>
            </w:tcBorders>
            <w:vAlign w:val="center"/>
          </w:tcPr>
          <w:p>
            <w:pPr>
              <w:jc w:val="center"/>
              <w:rPr>
                <w:rFonts w:hint="default" w:ascii="Times New Roman" w:hAnsi="Times New Roman" w:eastAsia="宋体"/>
                <w:szCs w:val="21"/>
                <w:lang w:val="en-US" w:eastAsia="zh-CN"/>
              </w:rPr>
            </w:pPr>
            <w:r>
              <w:rPr>
                <w:rFonts w:hint="eastAsia" w:ascii="Times New Roman" w:hAnsi="Times New Roman"/>
                <w:color w:val="000000"/>
                <w:szCs w:val="21"/>
                <w:lang w:val="en-US" w:eastAsia="zh-CN"/>
              </w:rPr>
              <w:t>非甲烷总烃</w:t>
            </w:r>
          </w:p>
        </w:tc>
        <w:tc>
          <w:tcPr>
            <w:tcW w:w="2700" w:type="dxa"/>
            <w:tcBorders>
              <w:top w:val="single" w:color="auto" w:sz="4" w:space="0"/>
              <w:bottom w:val="single" w:color="auto" w:sz="4" w:space="0"/>
            </w:tcBorders>
            <w:vAlign w:val="center"/>
          </w:tcPr>
          <w:p>
            <w:pPr>
              <w:pStyle w:val="48"/>
              <w:rPr>
                <w:rFonts w:ascii="Times New Roman" w:hAnsi="Times New Roman" w:cs="Times New Roman"/>
                <w:color w:val="FF0000"/>
                <w:szCs w:val="21"/>
              </w:rPr>
            </w:pPr>
            <w:r>
              <w:rPr>
                <w:rFonts w:hint="eastAsia" w:ascii="Times New Roman" w:hAnsi="Times New Roman" w:cs="Times New Roman"/>
                <w:color w:val="000000"/>
                <w:szCs w:val="21"/>
                <w:lang w:val="en-US" w:eastAsia="zh-CN"/>
              </w:rPr>
              <w:t>检修废气设置放空管</w:t>
            </w:r>
          </w:p>
        </w:tc>
        <w:tc>
          <w:tcPr>
            <w:tcW w:w="2470" w:type="dxa"/>
            <w:tcBorders>
              <w:top w:val="single" w:color="auto" w:sz="4" w:space="0"/>
              <w:bottom w:val="single" w:color="auto" w:sz="4" w:space="0"/>
              <w:right w:val="single" w:color="auto" w:sz="4" w:space="0"/>
            </w:tcBorders>
            <w:vAlign w:val="center"/>
          </w:tcPr>
          <w:p>
            <w:pPr>
              <w:jc w:val="center"/>
              <w:rPr>
                <w:rFonts w:ascii="Times New Roman" w:hAnsi="Times New Roman"/>
                <w:color w:val="FF0000"/>
              </w:rPr>
            </w:pPr>
            <w:r>
              <w:rPr>
                <w:rFonts w:hint="eastAsia" w:ascii="Times New Roman" w:hAnsi="Times New Roman"/>
                <w:szCs w:val="21"/>
              </w:rPr>
              <w:t>执行《上海市大气污染物综合排放标准》（DB31/933-2015）表3中无组织排放监控浓度限值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74"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rPr>
            </w:pPr>
          </w:p>
        </w:tc>
        <w:tc>
          <w:tcPr>
            <w:tcW w:w="449" w:type="dxa"/>
            <w:vMerge w:val="restart"/>
            <w:tcBorders>
              <w:top w:val="single" w:color="auto" w:sz="4" w:space="0"/>
              <w:left w:val="single" w:color="auto" w:sz="4" w:space="0"/>
            </w:tcBorders>
            <w:vAlign w:val="center"/>
          </w:tcPr>
          <w:p>
            <w:pPr>
              <w:spacing w:line="240" w:lineRule="atLeast"/>
              <w:jc w:val="center"/>
              <w:rPr>
                <w:rFonts w:ascii="Times New Roman" w:hAnsi="Times New Roman"/>
                <w:szCs w:val="21"/>
              </w:rPr>
            </w:pPr>
          </w:p>
          <w:p>
            <w:pPr>
              <w:spacing w:line="240" w:lineRule="atLeast"/>
              <w:jc w:val="center"/>
              <w:rPr>
                <w:rFonts w:ascii="Times New Roman" w:hAnsi="Times New Roman"/>
                <w:szCs w:val="21"/>
              </w:rPr>
            </w:pPr>
          </w:p>
          <w:p>
            <w:pPr>
              <w:spacing w:line="240" w:lineRule="atLeast"/>
              <w:jc w:val="center"/>
              <w:rPr>
                <w:rFonts w:ascii="Times New Roman" w:hAnsi="Times New Roman"/>
                <w:szCs w:val="21"/>
              </w:rPr>
            </w:pPr>
          </w:p>
          <w:p>
            <w:pPr>
              <w:spacing w:line="240" w:lineRule="atLeast"/>
              <w:jc w:val="center"/>
              <w:rPr>
                <w:rFonts w:ascii="Times New Roman" w:hAnsi="Times New Roman"/>
                <w:szCs w:val="21"/>
              </w:rPr>
            </w:pPr>
            <w:r>
              <w:rPr>
                <w:rFonts w:ascii="Times New Roman" w:hAnsi="Times New Roman"/>
                <w:szCs w:val="21"/>
              </w:rPr>
              <w:t>水</w:t>
            </w:r>
          </w:p>
          <w:p>
            <w:pPr>
              <w:spacing w:line="240" w:lineRule="atLeast"/>
              <w:jc w:val="center"/>
              <w:rPr>
                <w:rFonts w:ascii="Times New Roman" w:hAnsi="Times New Roman"/>
                <w:szCs w:val="21"/>
              </w:rPr>
            </w:pPr>
            <w:r>
              <w:rPr>
                <w:rFonts w:ascii="Times New Roman" w:hAnsi="Times New Roman"/>
                <w:szCs w:val="21"/>
              </w:rPr>
              <w:t>污</w:t>
            </w:r>
          </w:p>
          <w:p>
            <w:pPr>
              <w:spacing w:line="240" w:lineRule="atLeast"/>
              <w:jc w:val="center"/>
              <w:rPr>
                <w:rFonts w:ascii="Times New Roman" w:hAnsi="Times New Roman"/>
                <w:szCs w:val="21"/>
              </w:rPr>
            </w:pPr>
            <w:r>
              <w:rPr>
                <w:rFonts w:ascii="Times New Roman" w:hAnsi="Times New Roman"/>
                <w:szCs w:val="21"/>
              </w:rPr>
              <w:t>染</w:t>
            </w:r>
          </w:p>
          <w:p>
            <w:pPr>
              <w:spacing w:line="240" w:lineRule="atLeast"/>
              <w:jc w:val="center"/>
              <w:rPr>
                <w:rFonts w:ascii="Times New Roman" w:hAnsi="Times New Roman"/>
                <w:szCs w:val="21"/>
              </w:rPr>
            </w:pPr>
            <w:r>
              <w:rPr>
                <w:rFonts w:ascii="Times New Roman" w:hAnsi="Times New Roman"/>
                <w:szCs w:val="21"/>
              </w:rPr>
              <w:t>物</w:t>
            </w:r>
          </w:p>
        </w:tc>
        <w:tc>
          <w:tcPr>
            <w:tcW w:w="1312" w:type="dxa"/>
            <w:vAlign w:val="center"/>
          </w:tcPr>
          <w:p>
            <w:pPr>
              <w:spacing w:line="240" w:lineRule="atLeast"/>
              <w:jc w:val="center"/>
              <w:rPr>
                <w:rFonts w:ascii="Times New Roman" w:hAnsi="Times New Roman"/>
                <w:szCs w:val="21"/>
              </w:rPr>
            </w:pPr>
            <w:r>
              <w:rPr>
                <w:rFonts w:hint="eastAsia" w:ascii="Times New Roman" w:hAnsi="Times New Roman"/>
                <w:color w:val="000000"/>
                <w:szCs w:val="21"/>
              </w:rPr>
              <w:t>生活污水</w:t>
            </w:r>
          </w:p>
        </w:tc>
        <w:tc>
          <w:tcPr>
            <w:tcW w:w="1539" w:type="dxa"/>
            <w:tcBorders>
              <w:bottom w:val="single" w:color="auto" w:sz="4" w:space="0"/>
            </w:tcBorders>
            <w:vAlign w:val="center"/>
          </w:tcPr>
          <w:p>
            <w:pPr>
              <w:spacing w:line="240" w:lineRule="atLeast"/>
              <w:jc w:val="center"/>
              <w:rPr>
                <w:rFonts w:ascii="Times New Roman" w:hAnsi="Times New Roman"/>
              </w:rPr>
            </w:pPr>
            <w:r>
              <w:rPr>
                <w:rFonts w:ascii="Times New Roman" w:hAnsi="Times New Roman"/>
                <w:lang w:val="de-DE"/>
              </w:rPr>
              <w:t>COD</w:t>
            </w:r>
          </w:p>
          <w:p>
            <w:pPr>
              <w:spacing w:line="240" w:lineRule="atLeast"/>
              <w:jc w:val="center"/>
              <w:rPr>
                <w:rFonts w:ascii="Times New Roman" w:hAnsi="Times New Roman"/>
                <w:lang w:val="de-DE"/>
              </w:rPr>
            </w:pPr>
            <w:r>
              <w:rPr>
                <w:rFonts w:ascii="Times New Roman" w:hAnsi="Times New Roman"/>
              </w:rPr>
              <w:t>BOD</w:t>
            </w:r>
            <w:r>
              <w:rPr>
                <w:rFonts w:ascii="Times New Roman" w:hAnsi="Times New Roman"/>
                <w:vertAlign w:val="subscript"/>
              </w:rPr>
              <w:t>5</w:t>
            </w:r>
          </w:p>
          <w:p>
            <w:pPr>
              <w:spacing w:line="240" w:lineRule="atLeast"/>
              <w:jc w:val="center"/>
              <w:rPr>
                <w:rFonts w:ascii="Times New Roman" w:hAnsi="Times New Roman"/>
              </w:rPr>
            </w:pPr>
            <w:r>
              <w:rPr>
                <w:rFonts w:ascii="Times New Roman" w:hAnsi="Times New Roman"/>
                <w:lang w:val="de-DE"/>
              </w:rPr>
              <w:t>SS</w:t>
            </w:r>
          </w:p>
          <w:p>
            <w:pPr>
              <w:spacing w:line="240" w:lineRule="atLeast"/>
              <w:jc w:val="center"/>
              <w:rPr>
                <w:rFonts w:ascii="Times New Roman" w:hAnsi="Times New Roman"/>
              </w:rPr>
            </w:pPr>
            <w:r>
              <w:rPr>
                <w:rFonts w:ascii="Times New Roman" w:hAnsi="Times New Roman"/>
              </w:rPr>
              <w:t>动植物油</w:t>
            </w:r>
          </w:p>
          <w:p>
            <w:pPr>
              <w:spacing w:line="240" w:lineRule="atLeast"/>
              <w:jc w:val="center"/>
              <w:rPr>
                <w:rFonts w:ascii="Times New Roman" w:hAnsi="Times New Roman"/>
                <w:lang w:val="de-DE"/>
              </w:rPr>
            </w:pPr>
            <w:r>
              <w:rPr>
                <w:rFonts w:ascii="Times New Roman" w:hAnsi="Times New Roman"/>
                <w:lang w:val="de-DE"/>
              </w:rPr>
              <w:t>氨氮</w:t>
            </w:r>
          </w:p>
          <w:p>
            <w:pPr>
              <w:pStyle w:val="41"/>
              <w:rPr>
                <w:rFonts w:ascii="Times New Roman" w:hAnsi="Times New Roman"/>
              </w:rPr>
            </w:pPr>
          </w:p>
        </w:tc>
        <w:tc>
          <w:tcPr>
            <w:tcW w:w="2700" w:type="dxa"/>
            <w:tcBorders>
              <w:bottom w:val="single" w:color="auto" w:sz="4" w:space="0"/>
            </w:tcBorders>
            <w:vAlign w:val="center"/>
          </w:tcPr>
          <w:p>
            <w:pPr>
              <w:jc w:val="center"/>
              <w:rPr>
                <w:rFonts w:ascii="Times New Roman" w:hAnsi="Times New Roman"/>
                <w:szCs w:val="21"/>
              </w:rPr>
            </w:pPr>
            <w:r>
              <w:rPr>
                <w:rFonts w:ascii="Times New Roman" w:hAnsi="Times New Roman"/>
                <w:color w:val="000000"/>
                <w:szCs w:val="21"/>
              </w:rPr>
              <w:t>生活污水经隔油池、化粪池处置</w:t>
            </w:r>
          </w:p>
        </w:tc>
        <w:tc>
          <w:tcPr>
            <w:tcW w:w="2470" w:type="dxa"/>
            <w:tcBorders>
              <w:right w:val="single" w:color="auto" w:sz="4" w:space="0"/>
            </w:tcBorders>
            <w:vAlign w:val="center"/>
          </w:tcPr>
          <w:p>
            <w:pPr>
              <w:jc w:val="center"/>
              <w:rPr>
                <w:rFonts w:ascii="Times New Roman" w:hAnsi="Times New Roman"/>
                <w:szCs w:val="21"/>
              </w:rPr>
            </w:pPr>
            <w:r>
              <w:rPr>
                <w:rFonts w:hint="eastAsia" w:ascii="Times New Roman" w:hAnsi="Times New Roman"/>
                <w:color w:val="000000"/>
              </w:rPr>
              <w:t>废水污染物处理满足《污水综合排放标准》（GB8978-1996）表4中的三级标准，其中氨氮参照《污水排入城镇下水道水质标准》（GB/T31962-2015中的标准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74"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rPr>
            </w:pPr>
          </w:p>
        </w:tc>
        <w:tc>
          <w:tcPr>
            <w:tcW w:w="449" w:type="dxa"/>
            <w:vMerge w:val="continue"/>
            <w:tcBorders>
              <w:left w:val="single" w:color="auto" w:sz="4" w:space="0"/>
            </w:tcBorders>
            <w:vAlign w:val="center"/>
          </w:tcPr>
          <w:p>
            <w:pPr>
              <w:spacing w:line="240" w:lineRule="atLeast"/>
              <w:jc w:val="center"/>
              <w:rPr>
                <w:rFonts w:ascii="Times New Roman" w:hAnsi="Times New Roman"/>
                <w:szCs w:val="21"/>
              </w:rPr>
            </w:pPr>
          </w:p>
        </w:tc>
        <w:tc>
          <w:tcPr>
            <w:tcW w:w="1312" w:type="dxa"/>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清洗残夜</w:t>
            </w:r>
          </w:p>
        </w:tc>
        <w:tc>
          <w:tcPr>
            <w:tcW w:w="1539" w:type="dxa"/>
            <w:tcBorders>
              <w:bottom w:val="single" w:color="auto" w:sz="4" w:space="0"/>
            </w:tcBorders>
            <w:vAlign w:val="center"/>
          </w:tcPr>
          <w:p>
            <w:pPr>
              <w:pStyle w:val="41"/>
              <w:rPr>
                <w:rFonts w:hint="default" w:ascii="Times New Roman" w:hAnsi="Times New Roman" w:eastAsia="宋体"/>
                <w:lang w:val="en-US" w:eastAsia="zh-CN"/>
              </w:rPr>
            </w:pPr>
            <w:r>
              <w:rPr>
                <w:rFonts w:hint="eastAsia" w:ascii="Times New Roman" w:hAnsi="Times New Roman"/>
                <w:lang w:val="en-US" w:eastAsia="zh-CN"/>
              </w:rPr>
              <w:t>SS</w:t>
            </w:r>
          </w:p>
        </w:tc>
        <w:tc>
          <w:tcPr>
            <w:tcW w:w="2700" w:type="dxa"/>
            <w:tcBorders>
              <w:bottom w:val="single" w:color="auto" w:sz="4" w:space="0"/>
            </w:tcBorders>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排入排污池，作为危废处置</w:t>
            </w:r>
          </w:p>
        </w:tc>
        <w:tc>
          <w:tcPr>
            <w:tcW w:w="2470" w:type="dxa"/>
            <w:tcBorders>
              <w:right w:val="single" w:color="auto" w:sz="4" w:space="0"/>
            </w:tcBorders>
            <w:vAlign w:val="center"/>
          </w:tcPr>
          <w:p>
            <w:pPr>
              <w:jc w:val="center"/>
              <w:rPr>
                <w:rFonts w:hint="eastAsia" w:ascii="Times New Roman" w:hAnsi="Times New Roman" w:eastAsia="宋体"/>
                <w:color w:val="000000"/>
                <w:lang w:val="en-US" w:eastAsia="zh-CN"/>
              </w:rPr>
            </w:pPr>
            <w:r>
              <w:rPr>
                <w:rFonts w:hint="eastAsia" w:ascii="Times New Roman" w:hAnsi="Times New Roman"/>
                <w:color w:val="000000"/>
                <w:lang w:val="en-US" w:eastAsia="zh-CN"/>
              </w:rPr>
              <w:t>不外排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74"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rPr>
            </w:pPr>
          </w:p>
        </w:tc>
        <w:tc>
          <w:tcPr>
            <w:tcW w:w="449" w:type="dxa"/>
            <w:vMerge w:val="restart"/>
            <w:tcBorders>
              <w:lef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固体废物</w:t>
            </w:r>
          </w:p>
        </w:tc>
        <w:tc>
          <w:tcPr>
            <w:tcW w:w="1312" w:type="dxa"/>
            <w:vMerge w:val="restart"/>
            <w:vAlign w:val="center"/>
          </w:tcPr>
          <w:p>
            <w:pPr>
              <w:spacing w:line="240" w:lineRule="atLeast"/>
              <w:jc w:val="center"/>
              <w:rPr>
                <w:rFonts w:ascii="Times New Roman" w:hAnsi="Times New Roman"/>
                <w:szCs w:val="21"/>
              </w:rPr>
            </w:pPr>
            <w:r>
              <w:rPr>
                <w:rFonts w:hint="eastAsia" w:ascii="Times New Roman" w:hAnsi="Times New Roman"/>
                <w:szCs w:val="21"/>
                <w:lang w:val="en-US" w:eastAsia="zh-CN"/>
              </w:rPr>
              <w:t>站</w:t>
            </w:r>
            <w:r>
              <w:rPr>
                <w:rFonts w:ascii="Times New Roman" w:hAnsi="Times New Roman"/>
                <w:szCs w:val="21"/>
              </w:rPr>
              <w:t>区</w:t>
            </w:r>
          </w:p>
        </w:tc>
        <w:tc>
          <w:tcPr>
            <w:tcW w:w="1539" w:type="dxa"/>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rPr>
              <w:t>生活垃圾</w:t>
            </w:r>
          </w:p>
        </w:tc>
        <w:tc>
          <w:tcPr>
            <w:tcW w:w="2700" w:type="dxa"/>
            <w:vMerge w:val="restart"/>
            <w:tcBorders>
              <w:top w:val="single" w:color="auto" w:sz="4" w:space="0"/>
            </w:tcBorders>
            <w:vAlign w:val="center"/>
          </w:tcPr>
          <w:p>
            <w:pPr>
              <w:pStyle w:val="105"/>
              <w:spacing w:line="240" w:lineRule="atLeast"/>
              <w:ind w:firstLine="0" w:firstLineChars="0"/>
              <w:jc w:val="center"/>
              <w:rPr>
                <w:rFonts w:ascii="Times New Roman" w:hAnsi="Times New Roman"/>
                <w:color w:val="000000"/>
                <w:szCs w:val="21"/>
              </w:rPr>
            </w:pPr>
            <w:r>
              <w:rPr>
                <w:rFonts w:ascii="Times New Roman" w:hAnsi="Times New Roman"/>
                <w:color w:val="000000"/>
                <w:szCs w:val="21"/>
              </w:rPr>
              <w:t>由</w:t>
            </w:r>
            <w:r>
              <w:rPr>
                <w:rFonts w:ascii="Times New Roman" w:hAnsi="Times New Roman"/>
                <w:color w:val="000000"/>
                <w:szCs w:val="21"/>
                <w:lang w:eastAsia="en-US"/>
              </w:rPr>
              <w:t>环卫部门处置</w:t>
            </w:r>
          </w:p>
        </w:tc>
        <w:tc>
          <w:tcPr>
            <w:tcW w:w="2470" w:type="dxa"/>
            <w:vMerge w:val="restart"/>
            <w:tcBorders>
              <w:right w:val="single" w:color="auto" w:sz="4" w:space="0"/>
            </w:tcBorders>
            <w:vAlign w:val="center"/>
          </w:tcPr>
          <w:p>
            <w:pPr>
              <w:spacing w:line="240" w:lineRule="atLeast"/>
              <w:jc w:val="center"/>
              <w:rPr>
                <w:rFonts w:ascii="Times New Roman" w:hAnsi="Times New Roman"/>
                <w:szCs w:val="21"/>
                <w:highlight w:val="yellow"/>
              </w:rPr>
            </w:pPr>
            <w:r>
              <w:rPr>
                <w:rFonts w:ascii="Times New Roman" w:hAnsi="Times New Roman"/>
                <w:szCs w:val="21"/>
              </w:rPr>
              <w:t>合理处置不对外环境产生影响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74"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rPr>
            </w:pPr>
          </w:p>
        </w:tc>
        <w:tc>
          <w:tcPr>
            <w:tcW w:w="449" w:type="dxa"/>
            <w:vMerge w:val="continue"/>
            <w:tcBorders>
              <w:left w:val="single" w:color="auto" w:sz="4" w:space="0"/>
            </w:tcBorders>
            <w:vAlign w:val="center"/>
          </w:tcPr>
          <w:p>
            <w:pPr>
              <w:spacing w:line="240" w:lineRule="atLeast"/>
              <w:jc w:val="center"/>
              <w:rPr>
                <w:rFonts w:ascii="Times New Roman" w:hAnsi="Times New Roman"/>
                <w:szCs w:val="21"/>
              </w:rPr>
            </w:pPr>
          </w:p>
        </w:tc>
        <w:tc>
          <w:tcPr>
            <w:tcW w:w="1312" w:type="dxa"/>
            <w:vMerge w:val="continue"/>
            <w:vAlign w:val="center"/>
          </w:tcPr>
          <w:p>
            <w:pPr>
              <w:spacing w:line="240" w:lineRule="atLeast"/>
              <w:jc w:val="center"/>
              <w:rPr>
                <w:rFonts w:ascii="Times New Roman" w:hAnsi="Times New Roman"/>
                <w:szCs w:val="21"/>
              </w:rPr>
            </w:pPr>
          </w:p>
        </w:tc>
        <w:tc>
          <w:tcPr>
            <w:tcW w:w="1539" w:type="dxa"/>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s="Times New Roman"/>
                <w:spacing w:val="0"/>
                <w:sz w:val="21"/>
                <w:szCs w:val="21"/>
                <w:lang w:val="en-US" w:eastAsia="zh-CN"/>
              </w:rPr>
              <w:t>废滤芯</w:t>
            </w:r>
          </w:p>
        </w:tc>
        <w:tc>
          <w:tcPr>
            <w:tcW w:w="2700" w:type="dxa"/>
            <w:vMerge w:val="continue"/>
            <w:vAlign w:val="center"/>
          </w:tcPr>
          <w:p>
            <w:pPr>
              <w:jc w:val="center"/>
              <w:rPr>
                <w:rFonts w:ascii="Times New Roman" w:hAnsi="Times New Roman"/>
                <w:color w:val="000000"/>
                <w:szCs w:val="21"/>
              </w:rPr>
            </w:pPr>
          </w:p>
        </w:tc>
        <w:tc>
          <w:tcPr>
            <w:tcW w:w="2470" w:type="dxa"/>
            <w:vMerge w:val="continue"/>
            <w:tcBorders>
              <w:right w:val="single" w:color="auto" w:sz="4" w:space="0"/>
            </w:tcBorders>
            <w:vAlign w:val="center"/>
          </w:tcPr>
          <w:p>
            <w:pPr>
              <w:spacing w:line="240" w:lineRule="atLeast"/>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74"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rPr>
            </w:pPr>
          </w:p>
        </w:tc>
        <w:tc>
          <w:tcPr>
            <w:tcW w:w="449" w:type="dxa"/>
            <w:vMerge w:val="continue"/>
            <w:tcBorders>
              <w:left w:val="single" w:color="auto" w:sz="4" w:space="0"/>
            </w:tcBorders>
            <w:vAlign w:val="center"/>
          </w:tcPr>
          <w:p>
            <w:pPr>
              <w:spacing w:line="240" w:lineRule="atLeast"/>
              <w:jc w:val="center"/>
              <w:rPr>
                <w:rFonts w:ascii="Times New Roman" w:hAnsi="Times New Roman"/>
                <w:szCs w:val="21"/>
              </w:rPr>
            </w:pPr>
          </w:p>
        </w:tc>
        <w:tc>
          <w:tcPr>
            <w:tcW w:w="1312" w:type="dxa"/>
            <w:vMerge w:val="continue"/>
            <w:vAlign w:val="center"/>
          </w:tcPr>
          <w:p>
            <w:pPr>
              <w:spacing w:line="240" w:lineRule="atLeast"/>
              <w:jc w:val="center"/>
              <w:rPr>
                <w:rFonts w:ascii="Times New Roman" w:hAnsi="Times New Roman"/>
                <w:szCs w:val="21"/>
              </w:rPr>
            </w:pPr>
          </w:p>
        </w:tc>
        <w:tc>
          <w:tcPr>
            <w:tcW w:w="1539" w:type="dxa"/>
            <w:vAlign w:val="center"/>
          </w:tcPr>
          <w:p>
            <w:pPr>
              <w:pStyle w:val="105"/>
              <w:spacing w:line="240" w:lineRule="atLeast"/>
              <w:ind w:firstLine="0" w:firstLineChars="0"/>
              <w:jc w:val="center"/>
              <w:rPr>
                <w:rFonts w:ascii="Times New Roman" w:hAnsi="Times New Roman"/>
                <w:color w:val="000000"/>
                <w:szCs w:val="21"/>
              </w:rPr>
            </w:pPr>
            <w:r>
              <w:rPr>
                <w:rFonts w:hint="eastAsia" w:ascii="Times New Roman" w:hAnsi="Times New Roman" w:cs="Times New Roman"/>
                <w:lang w:val="en-US" w:eastAsia="zh-CN"/>
              </w:rPr>
              <w:t>清管废渣</w:t>
            </w:r>
          </w:p>
        </w:tc>
        <w:tc>
          <w:tcPr>
            <w:tcW w:w="2700" w:type="dxa"/>
            <w:vMerge w:val="continue"/>
            <w:vAlign w:val="center"/>
          </w:tcPr>
          <w:p>
            <w:pPr>
              <w:jc w:val="center"/>
              <w:rPr>
                <w:rFonts w:ascii="Times New Roman" w:hAnsi="Times New Roman"/>
                <w:color w:val="000000"/>
                <w:szCs w:val="21"/>
              </w:rPr>
            </w:pPr>
          </w:p>
        </w:tc>
        <w:tc>
          <w:tcPr>
            <w:tcW w:w="2470" w:type="dxa"/>
            <w:vMerge w:val="continue"/>
            <w:tcBorders>
              <w:right w:val="single" w:color="auto" w:sz="4" w:space="0"/>
            </w:tcBorders>
            <w:vAlign w:val="center"/>
          </w:tcPr>
          <w:p>
            <w:pPr>
              <w:spacing w:line="240" w:lineRule="atLeast"/>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74" w:type="dxa"/>
            <w:vMerge w:val="continue"/>
            <w:tcBorders>
              <w:left w:val="single" w:color="auto" w:sz="4" w:space="0"/>
              <w:right w:val="single" w:color="auto" w:sz="4" w:space="0"/>
            </w:tcBorders>
            <w:vAlign w:val="center"/>
          </w:tcPr>
          <w:p>
            <w:pPr>
              <w:spacing w:line="240" w:lineRule="atLeast"/>
              <w:jc w:val="center"/>
              <w:rPr>
                <w:rFonts w:ascii="Times New Roman" w:hAnsi="Times New Roman"/>
                <w:szCs w:val="21"/>
              </w:rPr>
            </w:pPr>
          </w:p>
        </w:tc>
        <w:tc>
          <w:tcPr>
            <w:tcW w:w="449" w:type="dxa"/>
            <w:vMerge w:val="continue"/>
            <w:tcBorders>
              <w:left w:val="single" w:color="auto" w:sz="4" w:space="0"/>
            </w:tcBorders>
            <w:vAlign w:val="center"/>
          </w:tcPr>
          <w:p>
            <w:pPr>
              <w:spacing w:line="240" w:lineRule="atLeast"/>
              <w:jc w:val="center"/>
              <w:rPr>
                <w:rFonts w:ascii="Times New Roman" w:hAnsi="Times New Roman"/>
                <w:szCs w:val="21"/>
              </w:rPr>
            </w:pPr>
          </w:p>
        </w:tc>
        <w:tc>
          <w:tcPr>
            <w:tcW w:w="1312" w:type="dxa"/>
            <w:vMerge w:val="continue"/>
            <w:vAlign w:val="center"/>
          </w:tcPr>
          <w:p>
            <w:pPr>
              <w:spacing w:line="240" w:lineRule="atLeast"/>
              <w:jc w:val="center"/>
              <w:rPr>
                <w:rFonts w:ascii="Times New Roman" w:hAnsi="Times New Roman"/>
                <w:szCs w:val="21"/>
              </w:rPr>
            </w:pPr>
          </w:p>
        </w:tc>
        <w:tc>
          <w:tcPr>
            <w:tcW w:w="1539" w:type="dxa"/>
            <w:vAlign w:val="center"/>
          </w:tcPr>
          <w:p>
            <w:pPr>
              <w:pStyle w:val="17"/>
              <w:jc w:val="center"/>
              <w:rPr>
                <w:rFonts w:hint="eastAsia"/>
                <w:szCs w:val="21"/>
                <w:lang w:val="zh-TW"/>
              </w:rPr>
            </w:pPr>
            <w:r>
              <w:rPr>
                <w:rFonts w:hint="eastAsia" w:ascii="Times New Roman" w:hAnsi="Times New Roman" w:cs="Times New Roman"/>
                <w:spacing w:val="0"/>
                <w:sz w:val="21"/>
                <w:szCs w:val="21"/>
                <w:lang w:val="en-US" w:eastAsia="zh-CN"/>
              </w:rPr>
              <w:t>清管废水残夜</w:t>
            </w:r>
          </w:p>
        </w:tc>
        <w:tc>
          <w:tcPr>
            <w:tcW w:w="2700" w:type="dxa"/>
            <w:tcBorders>
              <w:top w:val="single" w:color="auto" w:sz="4" w:space="0"/>
            </w:tcBorders>
            <w:vAlign w:val="center"/>
          </w:tcPr>
          <w:p>
            <w:pPr>
              <w:jc w:val="center"/>
              <w:rPr>
                <w:rFonts w:hint="eastAsia"/>
                <w:szCs w:val="21"/>
              </w:rPr>
            </w:pPr>
            <w:r>
              <w:rPr>
                <w:rFonts w:hint="eastAsia" w:ascii="Times New Roman" w:hAnsi="Times New Roman"/>
                <w:color w:val="000000"/>
                <w:sz w:val="21"/>
                <w:szCs w:val="21"/>
                <w:lang w:val="en-US" w:eastAsia="zh-CN"/>
              </w:rPr>
              <w:t>高安首站产生的危废利用码头工程建设的危废库（建筑面积30m</w:t>
            </w:r>
            <w:r>
              <w:rPr>
                <w:rFonts w:hint="eastAsia" w:ascii="Times New Roman" w:hAnsi="Times New Roman"/>
                <w:color w:val="000000"/>
                <w:sz w:val="21"/>
                <w:szCs w:val="21"/>
                <w:vertAlign w:val="superscript"/>
                <w:lang w:val="en-US" w:eastAsia="zh-CN"/>
              </w:rPr>
              <w:t>2</w:t>
            </w:r>
            <w:r>
              <w:rPr>
                <w:rFonts w:hint="eastAsia" w:ascii="Times New Roman" w:hAnsi="Times New Roman"/>
                <w:color w:val="000000"/>
                <w:sz w:val="21"/>
                <w:szCs w:val="21"/>
                <w:lang w:val="en-US" w:eastAsia="zh-CN"/>
              </w:rPr>
              <w:t>）存储，横山</w:t>
            </w:r>
            <w:r>
              <w:rPr>
                <w:rFonts w:hint="eastAsia" w:ascii="Times New Roman" w:hAnsi="Times New Roman"/>
                <w:color w:val="000000"/>
                <w:sz w:val="21"/>
                <w:szCs w:val="21"/>
              </w:rPr>
              <w:t>分输站内</w:t>
            </w:r>
            <w:r>
              <w:rPr>
                <w:rFonts w:hint="eastAsia" w:ascii="Times New Roman" w:hAnsi="Times New Roman"/>
                <w:color w:val="000000"/>
                <w:sz w:val="21"/>
                <w:szCs w:val="21"/>
                <w:lang w:val="en-US" w:eastAsia="zh-CN"/>
              </w:rPr>
              <w:t>新</w:t>
            </w:r>
            <w:r>
              <w:rPr>
                <w:rFonts w:hint="eastAsia" w:ascii="Times New Roman" w:hAnsi="Times New Roman"/>
                <w:color w:val="000000"/>
                <w:sz w:val="21"/>
                <w:szCs w:val="21"/>
              </w:rPr>
              <w:t>建设1处危废暂存区，</w:t>
            </w:r>
            <w:r>
              <w:rPr>
                <w:rFonts w:hint="eastAsia" w:ascii="Times New Roman" w:hAnsi="Times New Roman"/>
                <w:color w:val="000000"/>
                <w:sz w:val="21"/>
                <w:szCs w:val="21"/>
                <w:lang w:val="en-US" w:eastAsia="zh-CN"/>
              </w:rPr>
              <w:t>建筑面积10m</w:t>
            </w:r>
            <w:r>
              <w:rPr>
                <w:rFonts w:hint="eastAsia" w:ascii="Times New Roman" w:hAnsi="Times New Roman"/>
                <w:color w:val="000000"/>
                <w:sz w:val="21"/>
                <w:szCs w:val="21"/>
                <w:vertAlign w:val="superscript"/>
                <w:lang w:val="en-US" w:eastAsia="zh-CN"/>
              </w:rPr>
              <w:t>2</w:t>
            </w:r>
          </w:p>
        </w:tc>
        <w:tc>
          <w:tcPr>
            <w:tcW w:w="2470" w:type="dxa"/>
            <w:vMerge w:val="continue"/>
            <w:tcBorders>
              <w:right w:val="single" w:color="auto" w:sz="4" w:space="0"/>
            </w:tcBorders>
            <w:vAlign w:val="center"/>
          </w:tcPr>
          <w:p>
            <w:pPr>
              <w:spacing w:line="240" w:lineRule="atLeast"/>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823"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Times New Roman" w:hAnsi="Times New Roman"/>
                <w:szCs w:val="21"/>
              </w:rPr>
            </w:pPr>
            <w:r>
              <w:rPr>
                <w:rFonts w:ascii="Times New Roman" w:hAnsi="Times New Roman"/>
                <w:szCs w:val="21"/>
              </w:rPr>
              <w:t>噪</w:t>
            </w:r>
          </w:p>
          <w:p>
            <w:pPr>
              <w:spacing w:line="240" w:lineRule="atLeast"/>
              <w:jc w:val="center"/>
              <w:rPr>
                <w:rFonts w:ascii="Times New Roman" w:hAnsi="Times New Roman"/>
                <w:sz w:val="24"/>
                <w:szCs w:val="24"/>
              </w:rPr>
            </w:pPr>
            <w:r>
              <w:rPr>
                <w:rFonts w:ascii="Times New Roman" w:hAnsi="Times New Roman"/>
                <w:szCs w:val="21"/>
              </w:rPr>
              <w:t>声</w:t>
            </w:r>
          </w:p>
        </w:tc>
        <w:tc>
          <w:tcPr>
            <w:tcW w:w="8021" w:type="dxa"/>
            <w:gridSpan w:val="4"/>
            <w:tcBorders>
              <w:top w:val="single" w:color="auto" w:sz="4" w:space="0"/>
              <w:left w:val="single" w:color="auto" w:sz="4" w:space="0"/>
              <w:bottom w:val="single" w:color="auto" w:sz="4" w:space="0"/>
              <w:right w:val="single" w:color="auto" w:sz="4" w:space="0"/>
            </w:tcBorders>
            <w:vAlign w:val="center"/>
          </w:tcPr>
          <w:p>
            <w:pPr>
              <w:spacing w:line="240" w:lineRule="atLeast"/>
              <w:ind w:firstLine="420" w:firstLineChars="200"/>
              <w:rPr>
                <w:rFonts w:ascii="Times New Roman" w:hAnsi="Times New Roman"/>
                <w:szCs w:val="21"/>
              </w:rPr>
            </w:pPr>
            <w:r>
              <w:rPr>
                <w:rFonts w:hint="eastAsia" w:ascii="Times New Roman" w:hAnsi="Times New Roman"/>
                <w:szCs w:val="21"/>
              </w:rPr>
              <w:t>施工期</w:t>
            </w:r>
            <w:r>
              <w:rPr>
                <w:rFonts w:ascii="Times New Roman" w:hAnsi="Times New Roman"/>
                <w:szCs w:val="21"/>
              </w:rPr>
              <w:t>项目厂界噪声可满足</w:t>
            </w:r>
            <w:r>
              <w:rPr>
                <w:rFonts w:hint="eastAsia" w:ascii="Times New Roman" w:hAnsi="Times New Roman"/>
                <w:color w:val="000000"/>
                <w:szCs w:val="21"/>
              </w:rPr>
              <w:t>《建筑施工场界环境噪声排放标准》（GB12523-2011）标准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8844"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rPr>
                <w:b/>
                <w:bCs/>
              </w:rPr>
            </w:pPr>
            <w:r>
              <w:rPr>
                <w:b/>
                <w:bCs/>
              </w:rPr>
              <w:t>生态保护措施及预期效果：</w:t>
            </w:r>
          </w:p>
          <w:p>
            <w:pPr>
              <w:spacing w:line="360" w:lineRule="auto"/>
              <w:ind w:firstLine="420" w:firstLineChars="200"/>
            </w:pPr>
            <w:r>
              <w:rPr>
                <w:rFonts w:hint="eastAsia"/>
              </w:rPr>
              <w:t>工程对生态坏境的影响主要表现在施工期输气管道敷设时对植被的影响。为了把影响降至最低，施工时应尽量减少临时占地范围；管沟开挖时，表土与底土分开，施工结束应立即进行回填，并恢复到原有用地状态。另外，本项目穿越赤铸山路段无名沟渠，施工期严禁生活垃圾和废水排入该沟渠。</w:t>
            </w:r>
          </w:p>
          <w:p>
            <w:pPr>
              <w:spacing w:line="360" w:lineRule="auto"/>
              <w:ind w:firstLine="420" w:firstLineChars="200"/>
            </w:pPr>
            <w:r>
              <w:rPr>
                <w:rFonts w:hint="eastAsia"/>
              </w:rPr>
              <w:t>工程建设没有改变生态系统结构，由于于本工程施工期较短，因此对生态环境影响较小，管道敷设后能及时覆土恢复植被，没有破坏生态系统的连续性。因此，工程实施后本地区的生态系统不会受到显著影响。</w:t>
            </w:r>
          </w:p>
          <w:p>
            <w:pPr>
              <w:pStyle w:val="41"/>
              <w:jc w:val="both"/>
              <w:rPr>
                <w:rFonts w:ascii="Times New Roman" w:hAnsi="Times New Roman"/>
              </w:rPr>
            </w:pPr>
          </w:p>
        </w:tc>
      </w:tr>
    </w:tbl>
    <w:p>
      <w:pPr>
        <w:pStyle w:val="2"/>
      </w:pPr>
      <w:r>
        <w:rPr>
          <w:rFonts w:ascii="Times New Roman" w:hAnsi="Times New Roman"/>
          <w:color w:val="000000"/>
          <w:sz w:val="28"/>
          <w:highlight w:val="yellow"/>
        </w:rPr>
        <w:br w:type="page"/>
      </w:r>
      <w:r>
        <w:t>结论与建议</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094" w:hRule="atLeast"/>
          <w:jc w:val="center"/>
        </w:trPr>
        <w:tc>
          <w:tcPr>
            <w:tcW w:w="9373"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b/>
                <w:color w:val="000000"/>
                <w:sz w:val="28"/>
                <w:szCs w:val="28"/>
              </w:rPr>
            </w:pPr>
            <w:r>
              <w:rPr>
                <w:rFonts w:ascii="Times New Roman" w:hAnsi="Times New Roman"/>
                <w:b/>
                <w:color w:val="000000"/>
                <w:sz w:val="28"/>
                <w:szCs w:val="28"/>
              </w:rPr>
              <w:t>结论：</w:t>
            </w:r>
          </w:p>
          <w:p>
            <w:pPr>
              <w:spacing w:line="360" w:lineRule="auto"/>
              <w:ind w:firstLine="482" w:firstLineChars="200"/>
              <w:jc w:val="left"/>
              <w:rPr>
                <w:rFonts w:ascii="Times New Roman" w:hAnsi="Times New Roman"/>
                <w:b/>
                <w:sz w:val="24"/>
              </w:rPr>
            </w:pPr>
            <w:r>
              <w:rPr>
                <w:rFonts w:ascii="Times New Roman" w:hAnsi="Times New Roman"/>
                <w:b/>
                <w:sz w:val="24"/>
              </w:rPr>
              <w:t>（一）项目概况</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本项目的建设内容包括：新建天然气输气首站、分输站站址建设及配套管网工程建设两部分。</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新建站址：高安站内主要建设生产区，用地面积约2000m</w:t>
            </w:r>
            <w:r>
              <w:rPr>
                <w:rFonts w:hint="eastAsia" w:ascii="Times New Roman" w:hAnsi="Times New Roman"/>
                <w:kern w:val="0"/>
                <w:sz w:val="24"/>
                <w:vertAlign w:val="superscript"/>
              </w:rPr>
              <w:t>2</w:t>
            </w:r>
            <w:r>
              <w:rPr>
                <w:rFonts w:hint="eastAsia" w:ascii="Times New Roman" w:hAnsi="Times New Roman"/>
                <w:kern w:val="0"/>
                <w:sz w:val="24"/>
              </w:rPr>
              <w:t>，生产区主要包括工艺设备区、排污池等，站内设置贸易计量撬2套；站内设置调压撬2套，1用1备站内设置自用气撬1套；站内设置加热炉2套，一用一备；站内设置清管器发球筒2套。</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横山分输站主要建设生产区及辅助用房区，总用地面积1.0457公顷，生产区主要包括工艺设备区、排污池等，辅助用房区包括发电机房、配电间、控制室等，主要设备有：过滤分离器、计量撬、调压撬、自用气撬、清管器接收装置、气液联动球阀、放空立管等。工程主要设置过滤、加热、调压、分输等功能。</w:t>
            </w:r>
          </w:p>
          <w:p>
            <w:pPr>
              <w:spacing w:line="360" w:lineRule="auto"/>
              <w:ind w:firstLine="470" w:firstLineChars="196"/>
              <w:rPr>
                <w:rFonts w:ascii="Times New Roman" w:hAnsi="Times New Roman"/>
                <w:kern w:val="0"/>
                <w:sz w:val="24"/>
              </w:rPr>
            </w:pPr>
            <w:r>
              <w:rPr>
                <w:rFonts w:hint="eastAsia" w:ascii="Times New Roman" w:hAnsi="Times New Roman"/>
                <w:kern w:val="0"/>
                <w:sz w:val="24"/>
              </w:rPr>
              <w:t>管网工程：总长度为5.8km，起点为芜湖长江LNG接收（转运）站内的高安首站围墙外2m，管道出首站后随即穿越疏港路及路边明渠，而后沿疏港路路边明渠南侧向东敷设，顶管穿越巢黄高速后折向南沿该高速东侧绿化带敷设至横山河路和裕民路交叉口西南侧的横山分输站。</w:t>
            </w:r>
          </w:p>
          <w:p>
            <w:pPr>
              <w:spacing w:line="360" w:lineRule="auto"/>
              <w:ind w:firstLine="482" w:firstLineChars="200"/>
              <w:jc w:val="left"/>
              <w:rPr>
                <w:rFonts w:ascii="Times New Roman" w:hAnsi="Times New Roman"/>
                <w:sz w:val="24"/>
              </w:rPr>
            </w:pPr>
            <w:r>
              <w:rPr>
                <w:rFonts w:ascii="Times New Roman" w:hAnsi="Times New Roman"/>
                <w:b/>
                <w:sz w:val="24"/>
              </w:rPr>
              <w:t>（二）产业政策符合性分析</w:t>
            </w:r>
          </w:p>
          <w:p>
            <w:pPr>
              <w:spacing w:line="360" w:lineRule="auto"/>
              <w:ind w:firstLine="480" w:firstLineChars="200"/>
              <w:rPr>
                <w:rFonts w:ascii="Times New Roman" w:hAnsi="Times New Roman"/>
                <w:sz w:val="24"/>
                <w:szCs w:val="22"/>
              </w:rPr>
            </w:pPr>
            <w:r>
              <w:rPr>
                <w:rFonts w:ascii="Times New Roman" w:hAnsi="Times New Roman"/>
                <w:sz w:val="24"/>
              </w:rPr>
              <w:t>对照国家发展和改革委员会令第9号令《产业结构调整指导目录（201</w:t>
            </w:r>
            <w:r>
              <w:rPr>
                <w:rFonts w:hint="eastAsia" w:ascii="Times New Roman" w:hAnsi="Times New Roman"/>
                <w:sz w:val="24"/>
              </w:rPr>
              <w:t>9</w:t>
            </w:r>
            <w:r>
              <w:rPr>
                <w:rFonts w:ascii="Times New Roman" w:hAnsi="Times New Roman"/>
                <w:sz w:val="24"/>
              </w:rPr>
              <w:t>年本）》，本项目属于鼓励类</w:t>
            </w:r>
            <w:r>
              <w:rPr>
                <w:rFonts w:hint="eastAsia" w:ascii="Times New Roman" w:hAnsi="Times New Roman"/>
                <w:sz w:val="24"/>
              </w:rPr>
              <w:t>—七石油、天然气—3、原油、天然气、液化天然气、成品油的储运和管道输送设施、网络和液化天然气加注设施建设。</w:t>
            </w:r>
            <w:r>
              <w:rPr>
                <w:rFonts w:ascii="Times New Roman" w:hAnsi="Times New Roman"/>
                <w:sz w:val="24"/>
              </w:rPr>
              <w:t>因此本项目符合国家产业政策，项目已经于20</w:t>
            </w:r>
            <w:r>
              <w:rPr>
                <w:rFonts w:hint="eastAsia" w:ascii="Times New Roman" w:hAnsi="Times New Roman"/>
                <w:sz w:val="24"/>
              </w:rPr>
              <w:t>20</w:t>
            </w:r>
            <w:r>
              <w:rPr>
                <w:rFonts w:ascii="Times New Roman" w:hAnsi="Times New Roman"/>
                <w:sz w:val="24"/>
              </w:rPr>
              <w:t>年</w:t>
            </w:r>
            <w:r>
              <w:rPr>
                <w:rFonts w:hint="eastAsia" w:ascii="Times New Roman" w:hAnsi="Times New Roman"/>
                <w:sz w:val="24"/>
              </w:rPr>
              <w:t>12</w:t>
            </w:r>
            <w:r>
              <w:rPr>
                <w:rFonts w:ascii="Times New Roman" w:hAnsi="Times New Roman"/>
                <w:sz w:val="24"/>
              </w:rPr>
              <w:t>月</w:t>
            </w:r>
            <w:r>
              <w:rPr>
                <w:rFonts w:hint="eastAsia" w:ascii="Times New Roman" w:hAnsi="Times New Roman"/>
                <w:sz w:val="24"/>
              </w:rPr>
              <w:t>10</w:t>
            </w:r>
            <w:r>
              <w:rPr>
                <w:rFonts w:ascii="Times New Roman" w:hAnsi="Times New Roman"/>
                <w:sz w:val="24"/>
              </w:rPr>
              <w:t>日取得</w:t>
            </w:r>
            <w:r>
              <w:rPr>
                <w:rFonts w:hint="eastAsia" w:ascii="Times New Roman" w:hAnsi="Times New Roman"/>
                <w:kern w:val="0"/>
                <w:sz w:val="24"/>
              </w:rPr>
              <w:t>安徽芜湖三山经济开发区管委会</w:t>
            </w:r>
            <w:r>
              <w:rPr>
                <w:rFonts w:ascii="Times New Roman" w:hAnsi="Times New Roman"/>
                <w:kern w:val="0"/>
                <w:sz w:val="24"/>
              </w:rPr>
              <w:t>文件“关于同意</w:t>
            </w:r>
            <w:r>
              <w:rPr>
                <w:rFonts w:hint="eastAsia" w:ascii="Times New Roman" w:hAnsi="Times New Roman"/>
                <w:sz w:val="24"/>
                <w:szCs w:val="24"/>
              </w:rPr>
              <w:t>芜湖长江LNG内河接收（转运）站配套天然气外输管道高安-横山分输站段</w:t>
            </w:r>
            <w:r>
              <w:rPr>
                <w:rFonts w:ascii="Times New Roman" w:hAnsi="Times New Roman"/>
                <w:sz w:val="24"/>
                <w:szCs w:val="24"/>
              </w:rPr>
              <w:t>项目</w:t>
            </w:r>
            <w:r>
              <w:rPr>
                <w:rFonts w:ascii="Times New Roman" w:hAnsi="Times New Roman"/>
                <w:kern w:val="0"/>
                <w:sz w:val="24"/>
              </w:rPr>
              <w:t>备案的通知”</w:t>
            </w:r>
            <w:r>
              <w:rPr>
                <w:rFonts w:ascii="Times New Roman" w:hAnsi="Times New Roman"/>
                <w:sz w:val="24"/>
                <w:szCs w:val="22"/>
              </w:rPr>
              <w:t xml:space="preserve">，因此项目符合国家和当地的相关产业政策。 </w:t>
            </w:r>
          </w:p>
          <w:p>
            <w:pPr>
              <w:spacing w:line="360" w:lineRule="auto"/>
              <w:ind w:firstLine="482" w:firstLineChars="200"/>
              <w:jc w:val="left"/>
              <w:rPr>
                <w:rFonts w:ascii="Times New Roman" w:hAnsi="Times New Roman"/>
                <w:b/>
                <w:color w:val="0000FF"/>
                <w:sz w:val="24"/>
              </w:rPr>
            </w:pPr>
            <w:r>
              <w:rPr>
                <w:rFonts w:ascii="Times New Roman" w:hAnsi="Times New Roman"/>
                <w:b/>
                <w:sz w:val="24"/>
              </w:rPr>
              <w:t>（三）选址可行性分析</w:t>
            </w:r>
          </w:p>
          <w:p>
            <w:pPr>
              <w:spacing w:line="360" w:lineRule="auto"/>
              <w:ind w:firstLine="439" w:firstLineChars="183"/>
              <w:rPr>
                <w:rFonts w:ascii="Times New Roman" w:hAnsi="Times New Roman"/>
                <w:color w:val="000000"/>
                <w:sz w:val="24"/>
                <w:szCs w:val="24"/>
              </w:rPr>
            </w:pPr>
            <w:r>
              <w:rPr>
                <w:rFonts w:ascii="Times New Roman" w:hAnsi="Times New Roman"/>
                <w:color w:val="000000"/>
                <w:sz w:val="24"/>
                <w:szCs w:val="24"/>
              </w:rPr>
              <w:t>本项目</w:t>
            </w:r>
            <w:r>
              <w:rPr>
                <w:rFonts w:hint="eastAsia" w:ascii="Times New Roman" w:hAnsi="Times New Roman"/>
                <w:color w:val="000000"/>
                <w:sz w:val="24"/>
                <w:szCs w:val="24"/>
              </w:rPr>
              <w:t>位于芜湖三山经济开发区境内</w:t>
            </w:r>
            <w:r>
              <w:rPr>
                <w:rFonts w:ascii="Times New Roman" w:hAnsi="Times New Roman"/>
                <w:color w:val="000000"/>
                <w:sz w:val="24"/>
                <w:szCs w:val="24"/>
              </w:rPr>
              <w:t>，</w:t>
            </w:r>
            <w:r>
              <w:rPr>
                <w:rFonts w:hint="eastAsia" w:ascii="Times New Roman" w:hAnsi="Times New Roman"/>
                <w:color w:val="000000"/>
                <w:sz w:val="24"/>
                <w:szCs w:val="24"/>
              </w:rPr>
              <w:t>根据2012年5月23日国土资源部、国家发展和改革委员“会关于发布实施《限制用地项目目录（2012年本）》和《禁止用地项目目录（2012年本）》的通知"，本管道工程为成品油外输管线，属于国家扶持的能源基础设施用地项目，不属于国家限制和禁止供地项目，可以以</w:t>
            </w:r>
            <w:r>
              <w:rPr>
                <w:rFonts w:hint="eastAsia" w:ascii="Times New Roman" w:hAnsi="Times New Roman"/>
                <w:color w:val="000000"/>
                <w:sz w:val="24"/>
                <w:szCs w:val="24"/>
                <w:lang w:val="en-US" w:eastAsia="zh-CN"/>
              </w:rPr>
              <w:t>出让</w:t>
            </w:r>
            <w:r>
              <w:rPr>
                <w:rFonts w:hint="eastAsia" w:ascii="Times New Roman" w:hAnsi="Times New Roman"/>
                <w:color w:val="000000"/>
                <w:sz w:val="24"/>
                <w:szCs w:val="24"/>
              </w:rPr>
              <w:t>的方式取得土地使用权的有关规定，符合国家供地政策。</w:t>
            </w:r>
          </w:p>
          <w:p>
            <w:pPr>
              <w:spacing w:line="360" w:lineRule="auto"/>
              <w:ind w:firstLine="439" w:firstLineChars="183"/>
              <w:rPr>
                <w:rFonts w:ascii="Times New Roman" w:hAnsi="Times New Roman"/>
                <w:color w:val="000000"/>
                <w:sz w:val="24"/>
                <w:szCs w:val="24"/>
              </w:rPr>
            </w:pPr>
            <w:r>
              <w:rPr>
                <w:rFonts w:hint="eastAsia" w:ascii="Times New Roman" w:hAnsi="Times New Roman"/>
                <w:color w:val="000000"/>
                <w:sz w:val="24"/>
                <w:szCs w:val="24"/>
              </w:rPr>
              <w:t>本工程项目选线符合沿线地方的总体规划，管道、站场选址不涉及生态红线区域。在施工作业带、穿越工程、施工临时通道选址时，尽量选址荒地，减少对基本农田的占用，提高土地综合利用率。</w:t>
            </w:r>
          </w:p>
          <w:p>
            <w:pPr>
              <w:spacing w:line="360" w:lineRule="auto"/>
              <w:ind w:firstLine="439" w:firstLineChars="183"/>
              <w:rPr>
                <w:rFonts w:ascii="Times New Roman" w:hAnsi="Times New Roman"/>
                <w:sz w:val="24"/>
                <w:szCs w:val="24"/>
              </w:rPr>
            </w:pPr>
            <w:r>
              <w:rPr>
                <w:rFonts w:hint="eastAsia" w:ascii="Times New Roman" w:hAnsi="Times New Roman"/>
                <w:sz w:val="24"/>
                <w:szCs w:val="24"/>
              </w:rPr>
              <w:t>因此，本项目的选址是可行的。</w:t>
            </w:r>
          </w:p>
          <w:p>
            <w:pPr>
              <w:tabs>
                <w:tab w:val="left" w:pos="6313"/>
              </w:tabs>
              <w:spacing w:line="360" w:lineRule="auto"/>
              <w:ind w:firstLine="482" w:firstLineChars="200"/>
              <w:jc w:val="left"/>
              <w:rPr>
                <w:rFonts w:ascii="Times New Roman" w:hAnsi="Times New Roman"/>
                <w:b/>
                <w:sz w:val="24"/>
              </w:rPr>
            </w:pPr>
            <w:r>
              <w:rPr>
                <w:rFonts w:ascii="Times New Roman" w:hAnsi="Times New Roman"/>
                <w:b/>
                <w:sz w:val="24"/>
              </w:rPr>
              <w:t>（四）环境质量现状评价结论</w:t>
            </w:r>
          </w:p>
          <w:p>
            <w:pPr>
              <w:spacing w:line="360" w:lineRule="auto"/>
              <w:ind w:firstLine="480" w:firstLineChars="200"/>
              <w:rPr>
                <w:rFonts w:ascii="Times New Roman" w:hAnsi="Times New Roman"/>
                <w:color w:val="000000"/>
                <w:sz w:val="24"/>
              </w:rPr>
            </w:pPr>
            <w:r>
              <w:rPr>
                <w:rFonts w:ascii="Times New Roman" w:hAnsi="Times New Roman"/>
                <w:color w:val="000000"/>
                <w:sz w:val="24"/>
              </w:rPr>
              <w:t>（1）环境空气</w:t>
            </w:r>
          </w:p>
          <w:p>
            <w:pPr>
              <w:spacing w:line="360" w:lineRule="auto"/>
              <w:ind w:firstLine="480" w:firstLineChars="200"/>
              <w:rPr>
                <w:rFonts w:ascii="Times New Roman" w:hAnsi="Times New Roman"/>
                <w:color w:val="000000"/>
                <w:sz w:val="24"/>
              </w:rPr>
            </w:pPr>
            <w:r>
              <w:rPr>
                <w:rFonts w:ascii="Times New Roman" w:hAnsi="Times New Roman"/>
                <w:color w:val="000000"/>
                <w:sz w:val="24"/>
              </w:rPr>
              <w:t>项目所在区域大气环境质量指标</w:t>
            </w:r>
            <w:r>
              <w:rPr>
                <w:rFonts w:hint="eastAsia" w:ascii="Times New Roman" w:hAnsi="Times New Roman"/>
                <w:color w:val="000000"/>
                <w:sz w:val="24"/>
              </w:rPr>
              <w:t>不</w:t>
            </w:r>
            <w:r>
              <w:rPr>
                <w:rFonts w:ascii="Times New Roman" w:hAnsi="Times New Roman"/>
                <w:color w:val="000000"/>
                <w:sz w:val="24"/>
              </w:rPr>
              <w:t>满足《环境空气质量标准》（GB3095-2012）中二级标准要求。</w:t>
            </w:r>
          </w:p>
          <w:p>
            <w:pPr>
              <w:spacing w:line="360" w:lineRule="auto"/>
              <w:ind w:firstLine="480" w:firstLineChars="200"/>
              <w:rPr>
                <w:rFonts w:ascii="Times New Roman" w:hAnsi="Times New Roman"/>
                <w:color w:val="000000"/>
                <w:sz w:val="24"/>
              </w:rPr>
            </w:pPr>
            <w:r>
              <w:rPr>
                <w:rFonts w:ascii="Times New Roman" w:hAnsi="Times New Roman"/>
                <w:color w:val="000000"/>
                <w:sz w:val="24"/>
              </w:rPr>
              <w:t>（2）地表水长江</w:t>
            </w:r>
            <w:r>
              <w:rPr>
                <w:rFonts w:hint="eastAsia" w:ascii="Times New Roman" w:hAnsi="Times New Roman"/>
                <w:color w:val="000000"/>
                <w:sz w:val="24"/>
                <w:lang w:eastAsia="zh-CN"/>
              </w:rPr>
              <w:t>（</w:t>
            </w:r>
            <w:r>
              <w:rPr>
                <w:rFonts w:hint="eastAsia" w:ascii="Times New Roman" w:hAnsi="Times New Roman"/>
                <w:color w:val="000000"/>
                <w:sz w:val="24"/>
                <w:lang w:val="en-US" w:eastAsia="zh-CN"/>
              </w:rPr>
              <w:t>芜湖段</w:t>
            </w:r>
            <w:r>
              <w:rPr>
                <w:rFonts w:hint="eastAsia" w:ascii="Times New Roman" w:hAnsi="Times New Roman"/>
                <w:color w:val="000000"/>
                <w:sz w:val="24"/>
                <w:lang w:eastAsia="zh-CN"/>
              </w:rPr>
              <w:t>）</w:t>
            </w:r>
            <w:r>
              <w:rPr>
                <w:rFonts w:ascii="Times New Roman" w:hAnsi="Times New Roman"/>
                <w:color w:val="000000"/>
                <w:sz w:val="24"/>
              </w:rPr>
              <w:t>水质满足《地表水环境质量标准》（GB3838-2002）中的Ⅲ类标准。</w:t>
            </w:r>
          </w:p>
          <w:p>
            <w:pPr>
              <w:spacing w:line="360" w:lineRule="auto"/>
              <w:ind w:firstLine="480" w:firstLineChars="200"/>
              <w:rPr>
                <w:rFonts w:ascii="Times New Roman" w:hAnsi="Times New Roman"/>
                <w:color w:val="000000"/>
                <w:sz w:val="24"/>
              </w:rPr>
            </w:pPr>
            <w:r>
              <w:rPr>
                <w:rFonts w:ascii="Times New Roman" w:hAnsi="Times New Roman"/>
                <w:color w:val="000000"/>
                <w:sz w:val="24"/>
              </w:rPr>
              <w:t>（3）该项目所在区域基本无较大噪声源，声环境质量较好，项目区域能够满足《声环境质量标准》（GB3096-2008）中</w:t>
            </w:r>
            <w:r>
              <w:rPr>
                <w:rFonts w:hint="eastAsia" w:ascii="Times New Roman" w:hAnsi="Times New Roman"/>
                <w:color w:val="000000"/>
                <w:sz w:val="24"/>
              </w:rPr>
              <w:t>3类</w:t>
            </w:r>
            <w:r>
              <w:rPr>
                <w:rFonts w:ascii="Times New Roman" w:hAnsi="Times New Roman"/>
                <w:color w:val="000000"/>
                <w:sz w:val="24"/>
              </w:rPr>
              <w:t>区标准要求。</w:t>
            </w:r>
          </w:p>
          <w:p>
            <w:pPr>
              <w:autoSpaceDE w:val="0"/>
              <w:autoSpaceDN w:val="0"/>
              <w:adjustRightInd w:val="0"/>
              <w:spacing w:line="360" w:lineRule="auto"/>
              <w:ind w:firstLine="482" w:firstLineChars="200"/>
              <w:rPr>
                <w:rFonts w:ascii="Times New Roman" w:hAnsi="Times New Roman"/>
                <w:b/>
                <w:sz w:val="24"/>
              </w:rPr>
            </w:pPr>
            <w:r>
              <w:rPr>
                <w:rFonts w:ascii="Times New Roman" w:hAnsi="Times New Roman"/>
                <w:b/>
                <w:bCs/>
                <w:color w:val="000000"/>
                <w:sz w:val="24"/>
                <w:szCs w:val="24"/>
              </w:rPr>
              <w:t>（五）</w:t>
            </w:r>
            <w:r>
              <w:rPr>
                <w:rFonts w:ascii="Times New Roman" w:hAnsi="Times New Roman"/>
                <w:b/>
                <w:sz w:val="24"/>
              </w:rPr>
              <w:t>营运期环境影响分析结论</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（1） 大气</w:t>
            </w:r>
          </w:p>
          <w:p>
            <w:pPr>
              <w:spacing w:line="360" w:lineRule="auto"/>
              <w:ind w:firstLine="480" w:firstLineChars="200"/>
              <w:rPr>
                <w:rFonts w:ascii="Times New Roman" w:hAnsi="Times New Roman"/>
                <w:color w:val="000000"/>
                <w:sz w:val="24"/>
              </w:rPr>
            </w:pPr>
            <w:r>
              <w:rPr>
                <w:rFonts w:hint="eastAsia" w:ascii="Times New Roman" w:hAnsi="Times New Roman"/>
                <w:color w:val="000000"/>
                <w:sz w:val="24"/>
              </w:rPr>
              <w:t>本项目施工期间产生的大气污染主要来自站场土建、管沟开挖、道路运输以及施工建筑料的的装卸等引起的扬尘；各类施工机械、运输车辆和发电机排放的废气。</w:t>
            </w:r>
          </w:p>
          <w:p>
            <w:pPr>
              <w:spacing w:line="360" w:lineRule="auto"/>
              <w:ind w:firstLine="480" w:firstLineChars="200"/>
              <w:rPr>
                <w:rFonts w:ascii="Times New Roman" w:hAnsi="Times New Roman"/>
                <w:color w:val="000000"/>
                <w:sz w:val="24"/>
              </w:rPr>
            </w:pPr>
            <w:r>
              <w:rPr>
                <w:rFonts w:hint="eastAsia" w:ascii="Times New Roman" w:hAnsi="Times New Roman"/>
                <w:color w:val="000000"/>
                <w:sz w:val="24"/>
              </w:rPr>
              <w:t>本项目沿线绿化率高，易于扬尘沉降，线路施工均在野外，周边地势开阔，有利于空气的扩散。在采取适当的抑尘措施后，施工期带来的大气污染可降低的到较小的程度，不会对区域空气敏感点造成较大的影响。</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（2）废水</w:t>
            </w:r>
            <w:r>
              <w:rPr>
                <w:rFonts w:ascii="Times New Roman" w:hAnsi="Times New Roman"/>
                <w:color w:val="000000"/>
                <w:sz w:val="24"/>
                <w:szCs w:val="24"/>
              </w:rPr>
              <w:tab/>
            </w:r>
          </w:p>
          <w:p>
            <w:pPr>
              <w:spacing w:line="360" w:lineRule="auto"/>
              <w:ind w:firstLine="480" w:firstLineChars="200"/>
              <w:rPr>
                <w:rFonts w:hint="eastAsia" w:ascii="Times New Roman" w:hAnsi="Times New Roman" w:eastAsia="宋体"/>
                <w:sz w:val="24"/>
                <w:lang w:eastAsia="zh-CN"/>
              </w:rPr>
            </w:pPr>
            <w:r>
              <w:rPr>
                <w:rFonts w:hint="eastAsia" w:ascii="Times New Roman" w:hAnsi="Times New Roman"/>
                <w:sz w:val="24"/>
              </w:rPr>
              <w:t>本项目施工期废水主要来自施工人员在施工作业中产生的生活污水、定向钻穿越工程产生的泥浆废水和管道安装完成后清管试压排放的废水。设置沉淀池，</w:t>
            </w:r>
            <w:r>
              <w:rPr>
                <w:rFonts w:hint="eastAsia" w:ascii="Times New Roman" w:hAnsi="Times New Roman"/>
                <w:sz w:val="24"/>
                <w:lang w:val="en-US" w:eastAsia="zh-CN"/>
              </w:rPr>
              <w:t>用以</w:t>
            </w:r>
            <w:r>
              <w:rPr>
                <w:rFonts w:hint="eastAsia" w:ascii="Times New Roman" w:hAnsi="Times New Roman"/>
                <w:sz w:val="24"/>
              </w:rPr>
              <w:t>处理管道试压水；堆管场旁设置沉淀池，施工废水经沉淀后回用</w:t>
            </w:r>
            <w:r>
              <w:rPr>
                <w:rFonts w:hint="eastAsia" w:ascii="Times New Roman" w:hAnsi="Times New Roman"/>
                <w:sz w:val="24"/>
                <w:lang w:eastAsia="zh-CN"/>
              </w:rPr>
              <w:t>，</w:t>
            </w:r>
            <w:r>
              <w:rPr>
                <w:rFonts w:hint="eastAsia" w:ascii="Times New Roman" w:hAnsi="Times New Roman"/>
                <w:sz w:val="24"/>
              </w:rPr>
              <w:t>施工作业带设立截排水沟和沉淀池，雨水经处理后尽量回用</w:t>
            </w:r>
            <w:r>
              <w:rPr>
                <w:rFonts w:hint="eastAsia" w:ascii="Times New Roman" w:hAnsi="Times New Roman"/>
                <w:sz w:val="24"/>
                <w:lang w:eastAsia="zh-CN"/>
              </w:rPr>
              <w:t>，</w:t>
            </w:r>
            <w:r>
              <w:rPr>
                <w:rFonts w:hint="eastAsia" w:ascii="Times New Roman" w:hAnsi="Times New Roman"/>
                <w:sz w:val="24"/>
              </w:rPr>
              <w:t>采用定向钻方式穿越河流设置泥浆收集池，并配泥浆回收装置，废弃泥浆经沉淀后上清液收集进蓄水池，经处理后回用于道路抑尘洒水</w:t>
            </w:r>
            <w:r>
              <w:rPr>
                <w:rFonts w:hint="eastAsia" w:ascii="Times New Roman" w:hAnsi="Times New Roman"/>
                <w:sz w:val="24"/>
                <w:lang w:eastAsia="zh-CN"/>
              </w:rPr>
              <w:t>。</w:t>
            </w:r>
          </w:p>
          <w:p>
            <w:pPr>
              <w:spacing w:line="360" w:lineRule="auto"/>
              <w:ind w:firstLine="480" w:firstLineChars="200"/>
              <w:rPr>
                <w:rFonts w:ascii="Times New Roman" w:hAnsi="Times New Roman"/>
                <w:sz w:val="24"/>
                <w:szCs w:val="22"/>
              </w:rPr>
            </w:pPr>
            <w:r>
              <w:rPr>
                <w:rFonts w:hint="eastAsia" w:ascii="Times New Roman" w:hAnsi="Times New Roman"/>
                <w:sz w:val="24"/>
              </w:rPr>
              <w:t>本项目不设施工营地，施工队伍吃住一般依托附近的居住点，污水依托当地的排水系统，不会对水体水质造成明显的不利影响。</w:t>
            </w:r>
            <w:r>
              <w:rPr>
                <w:rFonts w:hint="eastAsia" w:ascii="Times New Roman" w:hAnsi="Times New Roman"/>
                <w:sz w:val="24"/>
                <w:lang w:val="en-US" w:eastAsia="zh-CN"/>
              </w:rPr>
              <w:t>清洗残夜排放至排污池内（5m</w:t>
            </w:r>
            <w:r>
              <w:rPr>
                <w:rFonts w:hint="eastAsia" w:ascii="Times New Roman" w:hAnsi="Times New Roman"/>
                <w:sz w:val="24"/>
                <w:vertAlign w:val="superscript"/>
                <w:lang w:val="en-US" w:eastAsia="zh-CN"/>
              </w:rPr>
              <w:t>2</w:t>
            </w:r>
            <w:r>
              <w:rPr>
                <w:rFonts w:hint="eastAsia" w:ascii="Times New Roman" w:hAnsi="Times New Roman"/>
                <w:sz w:val="24"/>
                <w:lang w:val="en-US" w:eastAsia="zh-CN"/>
              </w:rPr>
              <w:t>），作为危废处置，不外排；</w:t>
            </w:r>
            <w:r>
              <w:rPr>
                <w:rFonts w:hint="eastAsia" w:ascii="Times New Roman" w:hAnsi="Times New Roman"/>
                <w:sz w:val="24"/>
              </w:rPr>
              <w:t>站场工作人员生活污水经隔油池、化粪池处置满足《污水综合排放标准》（GB8978-1996）表4中的三级标准，其中氨氮参照《污水排入城镇下水道水质标准》（GB/T31962-2015中的标准，排放至芜湖大桥综合经济开发区污水处理厂处置，尾水排放满足《城镇污水处理厂污染物排放标准》（GB18918-2002）一级标准中 A 类标准，</w:t>
            </w:r>
            <w:r>
              <w:rPr>
                <w:rFonts w:ascii="Times New Roman" w:hAnsi="Times New Roman"/>
                <w:sz w:val="24"/>
              </w:rPr>
              <w:t>本项目建成后对周围地表水影响较小。</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（3）噪声</w:t>
            </w:r>
          </w:p>
          <w:p>
            <w:pPr>
              <w:spacing w:line="360" w:lineRule="auto"/>
              <w:ind w:firstLine="480" w:firstLineChars="200"/>
              <w:rPr>
                <w:rFonts w:ascii="Times New Roman" w:hAnsi="Times New Roman"/>
                <w:sz w:val="24"/>
                <w:szCs w:val="24"/>
              </w:rPr>
            </w:pPr>
            <w:r>
              <w:rPr>
                <w:rFonts w:ascii="Times New Roman" w:hAnsi="Times New Roman"/>
                <w:color w:val="000000"/>
                <w:sz w:val="24"/>
                <w:szCs w:val="24"/>
              </w:rPr>
              <w:t>由预测结果可知，正常运行时，</w:t>
            </w:r>
            <w:r>
              <w:rPr>
                <w:rFonts w:hint="eastAsia" w:ascii="Times New Roman" w:hAnsi="Times New Roman"/>
                <w:color w:val="000000"/>
                <w:sz w:val="24"/>
                <w:szCs w:val="24"/>
              </w:rPr>
              <w:t>施工期项目厂界噪声可满足《建筑施工场界环境噪声排放标准》（GB12523-2011）标准</w:t>
            </w:r>
            <w:r>
              <w:rPr>
                <w:rFonts w:ascii="Times New Roman" w:hAnsi="Times New Roman"/>
                <w:color w:val="000000"/>
                <w:sz w:val="24"/>
                <w:szCs w:val="24"/>
              </w:rPr>
              <w:t>。</w:t>
            </w:r>
            <w:r>
              <w:rPr>
                <w:rFonts w:hint="eastAsia" w:ascii="Times New Roman" w:hAnsi="Times New Roman"/>
                <w:color w:val="000000"/>
                <w:sz w:val="24"/>
                <w:szCs w:val="24"/>
              </w:rPr>
              <w:t>运营期站场</w:t>
            </w:r>
            <w:r>
              <w:rPr>
                <w:rFonts w:ascii="Times New Roman" w:hAnsi="Times New Roman"/>
                <w:color w:val="000000"/>
                <w:sz w:val="24"/>
                <w:szCs w:val="24"/>
              </w:rPr>
              <w:t>昼夜噪声预测值满足《工业企业厂界环境噪声排放标准</w:t>
            </w:r>
            <w:r>
              <w:rPr>
                <w:rFonts w:ascii="Times New Roman" w:hAnsi="Times New Roman"/>
                <w:sz w:val="24"/>
                <w:szCs w:val="24"/>
              </w:rPr>
              <w:t>》（GB12348-2008）中3类要求。</w:t>
            </w:r>
            <w:r>
              <w:rPr>
                <w:rFonts w:ascii="Times New Roman" w:hAnsi="Times New Roman"/>
                <w:color w:val="000000"/>
                <w:sz w:val="24"/>
                <w:szCs w:val="24"/>
              </w:rPr>
              <w:t>因此，在落实环评提出的各项隔声减振措施的情况下，项目的</w:t>
            </w:r>
            <w:r>
              <w:rPr>
                <w:rFonts w:hint="eastAsia" w:ascii="Times New Roman" w:hAnsi="Times New Roman"/>
                <w:color w:val="000000"/>
                <w:sz w:val="24"/>
                <w:szCs w:val="24"/>
              </w:rPr>
              <w:t>施工期</w:t>
            </w:r>
            <w:r>
              <w:rPr>
                <w:rFonts w:ascii="Times New Roman" w:hAnsi="Times New Roman"/>
                <w:color w:val="000000"/>
                <w:sz w:val="24"/>
                <w:szCs w:val="24"/>
              </w:rPr>
              <w:t>产生的噪声对项目区域声环境质量影响甚微</w:t>
            </w:r>
            <w:r>
              <w:rPr>
                <w:rFonts w:ascii="Times New Roman" w:hAnsi="Times New Roman"/>
                <w:sz w:val="24"/>
                <w:szCs w:val="24"/>
              </w:rPr>
              <w:t>。</w:t>
            </w:r>
          </w:p>
          <w:p>
            <w:pPr>
              <w:spacing w:line="360" w:lineRule="auto"/>
              <w:ind w:firstLine="480" w:firstLineChars="200"/>
              <w:rPr>
                <w:rFonts w:ascii="Times New Roman" w:hAnsi="Times New Roman"/>
                <w:sz w:val="24"/>
                <w:szCs w:val="24"/>
              </w:rPr>
            </w:pPr>
            <w:r>
              <w:rPr>
                <w:rFonts w:ascii="Times New Roman" w:hAnsi="Times New Roman"/>
                <w:sz w:val="24"/>
                <w:szCs w:val="24"/>
              </w:rPr>
              <w:t>（4）固废</w:t>
            </w:r>
          </w:p>
          <w:p>
            <w:pPr>
              <w:tabs>
                <w:tab w:val="left" w:pos="-160"/>
              </w:tabs>
              <w:spacing w:line="360" w:lineRule="auto"/>
              <w:ind w:firstLine="480" w:firstLineChars="200"/>
              <w:rPr>
                <w:rFonts w:ascii="Times New Roman" w:hAnsi="Times New Roman"/>
                <w:sz w:val="24"/>
              </w:rPr>
            </w:pPr>
            <w:r>
              <w:rPr>
                <w:rFonts w:hint="eastAsia" w:ascii="Times New Roman" w:hAnsi="Times New Roman"/>
                <w:sz w:val="24"/>
              </w:rPr>
              <w:t>本工程施工期产生的固体废物主要来自三个方面：①施工人员的生活垃圾；②土石方、泥浆；③管线施工过程产生的焊渣和废管材料等。生活垃圾通过在施工现场设置垃圾桶，纳入当地生活垃圾收运及处置系统，对环境影响较小。本项目不设弃渣场，产生的土方和泥浆分别采取分层堆放覆盖和泥浆池措施，待工程完成后用于场地回填和绿化。本项目施工过程中产生的施工废料为施工焊渣和非管材，属于一般固废，由施工单位分类回收后交废物收购站处理。</w:t>
            </w:r>
          </w:p>
          <w:p>
            <w:pPr>
              <w:tabs>
                <w:tab w:val="left" w:pos="-160"/>
              </w:tabs>
              <w:spacing w:line="360" w:lineRule="auto"/>
              <w:ind w:firstLine="480" w:firstLineChars="200"/>
              <w:rPr>
                <w:rFonts w:hint="default" w:ascii="Times New Roman" w:hAnsi="Times New Roman" w:cs="Times New Roman"/>
                <w:sz w:val="24"/>
                <w:szCs w:val="22"/>
              </w:rPr>
            </w:pPr>
            <w:r>
              <w:rPr>
                <w:rFonts w:hint="eastAsia" w:ascii="Times New Roman" w:hAnsi="Times New Roman" w:cs="Times New Roman"/>
                <w:color w:val="000000"/>
                <w:sz w:val="24"/>
                <w:lang w:val="en-US" w:eastAsia="zh-CN"/>
              </w:rPr>
              <w:t>营运期</w:t>
            </w:r>
            <w:r>
              <w:rPr>
                <w:rFonts w:hint="default" w:ascii="Times New Roman" w:hAnsi="Times New Roman" w:cs="Times New Roman"/>
                <w:color w:val="000000"/>
                <w:sz w:val="24"/>
              </w:rPr>
              <w:t>项目固体废物主要为废滤芯</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rPr>
              <w:t>清管废渣</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rPr>
              <w:t>清管废水残夜</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rPr>
              <w:t>生活垃圾。</w:t>
            </w:r>
            <w:r>
              <w:rPr>
                <w:rFonts w:hint="default" w:ascii="Times New Roman" w:hAnsi="Times New Roman" w:cs="Times New Roman"/>
                <w:sz w:val="24"/>
              </w:rPr>
              <w:t>根据建设单位提供资料，废滤芯、清管废渣</w:t>
            </w:r>
            <w:r>
              <w:rPr>
                <w:rFonts w:hint="eastAsia" w:ascii="Times New Roman" w:hAnsi="Times New Roman" w:cs="Times New Roman"/>
                <w:sz w:val="24"/>
                <w:lang w:val="en-US" w:eastAsia="zh-CN"/>
              </w:rPr>
              <w:t>作为</w:t>
            </w:r>
            <w:r>
              <w:rPr>
                <w:rFonts w:hint="default" w:ascii="Times New Roman" w:hAnsi="Times New Roman" w:cs="Times New Roman"/>
                <w:sz w:val="24"/>
                <w:szCs w:val="22"/>
              </w:rPr>
              <w:t>一般固废</w:t>
            </w:r>
            <w:r>
              <w:rPr>
                <w:rFonts w:hint="eastAsia" w:ascii="Times New Roman" w:hAnsi="Times New Roman" w:cs="Times New Roman"/>
                <w:sz w:val="24"/>
                <w:szCs w:val="22"/>
                <w:lang w:eastAsia="zh-CN"/>
              </w:rPr>
              <w:t>，</w:t>
            </w:r>
            <w:r>
              <w:rPr>
                <w:rFonts w:hint="default" w:ascii="Times New Roman" w:hAnsi="Times New Roman" w:cs="Times New Roman"/>
                <w:sz w:val="24"/>
              </w:rPr>
              <w:t>收集后统一交由环卫部门处置。</w:t>
            </w:r>
            <w:r>
              <w:rPr>
                <w:rFonts w:hint="default" w:ascii="Times New Roman" w:hAnsi="Times New Roman" w:cs="Times New Roman"/>
                <w:color w:val="000000"/>
                <w:sz w:val="24"/>
              </w:rPr>
              <w:t>清管废水残夜</w:t>
            </w:r>
            <w:r>
              <w:rPr>
                <w:rFonts w:hint="default" w:ascii="Times New Roman" w:hAnsi="Times New Roman" w:cs="Times New Roman"/>
                <w:sz w:val="24"/>
                <w:szCs w:val="22"/>
              </w:rPr>
              <w:t>属于危险废物</w:t>
            </w:r>
            <w:r>
              <w:rPr>
                <w:rFonts w:hint="default" w:ascii="Times New Roman" w:hAnsi="Times New Roman" w:cs="Times New Roman"/>
                <w:sz w:val="24"/>
                <w:szCs w:val="22"/>
                <w:lang w:eastAsia="zh-CN"/>
              </w:rPr>
              <w:t>。</w:t>
            </w:r>
            <w:r>
              <w:rPr>
                <w:rFonts w:hint="eastAsia" w:ascii="Times New Roman" w:hAnsi="Times New Roman"/>
                <w:color w:val="000000"/>
                <w:sz w:val="24"/>
                <w:lang w:val="en-US" w:eastAsia="zh-CN"/>
              </w:rPr>
              <w:t>高安首站产生的危废利用码头工程建设的危废库（建筑面积30m</w:t>
            </w:r>
            <w:r>
              <w:rPr>
                <w:rFonts w:hint="eastAsia" w:ascii="Times New Roman" w:hAnsi="Times New Roman"/>
                <w:color w:val="000000"/>
                <w:sz w:val="24"/>
                <w:vertAlign w:val="superscript"/>
                <w:lang w:val="en-US" w:eastAsia="zh-CN"/>
              </w:rPr>
              <w:t>2</w:t>
            </w:r>
            <w:r>
              <w:rPr>
                <w:rFonts w:hint="eastAsia" w:ascii="Times New Roman" w:hAnsi="Times New Roman"/>
                <w:color w:val="000000"/>
                <w:sz w:val="24"/>
                <w:lang w:val="en-US" w:eastAsia="zh-CN"/>
              </w:rPr>
              <w:t>）存储，横山</w:t>
            </w:r>
            <w:r>
              <w:rPr>
                <w:rFonts w:hint="eastAsia" w:ascii="Times New Roman" w:hAnsi="Times New Roman"/>
                <w:color w:val="000000"/>
                <w:sz w:val="24"/>
              </w:rPr>
              <w:t>分输站内</w:t>
            </w:r>
            <w:r>
              <w:rPr>
                <w:rFonts w:hint="eastAsia" w:ascii="Times New Roman" w:hAnsi="Times New Roman"/>
                <w:color w:val="000000"/>
                <w:sz w:val="24"/>
                <w:lang w:val="en-US" w:eastAsia="zh-CN"/>
              </w:rPr>
              <w:t>新</w:t>
            </w:r>
            <w:r>
              <w:rPr>
                <w:rFonts w:hint="eastAsia" w:ascii="Times New Roman" w:hAnsi="Times New Roman"/>
                <w:color w:val="000000"/>
                <w:sz w:val="24"/>
              </w:rPr>
              <w:t>建设1处危废暂存区，</w:t>
            </w:r>
            <w:r>
              <w:rPr>
                <w:rFonts w:hint="eastAsia" w:ascii="Times New Roman" w:hAnsi="Times New Roman"/>
                <w:color w:val="000000"/>
                <w:sz w:val="24"/>
                <w:lang w:val="en-US" w:eastAsia="zh-CN"/>
              </w:rPr>
              <w:t>建筑面积10m</w:t>
            </w:r>
            <w:r>
              <w:rPr>
                <w:rFonts w:hint="eastAsia" w:ascii="Times New Roman" w:hAnsi="Times New Roman"/>
                <w:color w:val="000000"/>
                <w:sz w:val="24"/>
                <w:vertAlign w:val="superscript"/>
                <w:lang w:val="en-US" w:eastAsia="zh-CN"/>
              </w:rPr>
              <w:t>2</w:t>
            </w:r>
            <w:r>
              <w:rPr>
                <w:rFonts w:hint="default" w:ascii="Times New Roman" w:hAnsi="Times New Roman" w:cs="Times New Roman"/>
                <w:sz w:val="24"/>
                <w:szCs w:val="22"/>
              </w:rPr>
              <w:t>。在危废的处理处置过程中，应严格执行环保相关规定及要求，危废交由有资质的危废处理单位统一收集处置。</w:t>
            </w:r>
          </w:p>
          <w:p>
            <w:pPr>
              <w:tabs>
                <w:tab w:val="left" w:pos="-160"/>
              </w:tabs>
              <w:spacing w:line="360" w:lineRule="auto"/>
              <w:ind w:firstLine="480" w:firstLineChars="200"/>
              <w:rPr>
                <w:rFonts w:ascii="Times New Roman" w:hAnsi="Times New Roman"/>
                <w:sz w:val="24"/>
              </w:rPr>
            </w:pPr>
            <w:r>
              <w:rPr>
                <w:rFonts w:hint="eastAsia" w:ascii="Times New Roman" w:hAnsi="Times New Roman"/>
                <w:sz w:val="24"/>
              </w:rPr>
              <w:t>（5）态环境</w:t>
            </w:r>
          </w:p>
          <w:p>
            <w:pPr>
              <w:tabs>
                <w:tab w:val="left" w:pos="-160"/>
              </w:tabs>
              <w:spacing w:line="360" w:lineRule="auto"/>
              <w:ind w:firstLine="480" w:firstLineChars="200"/>
              <w:rPr>
                <w:rFonts w:ascii="Times New Roman" w:hAnsi="Times New Roman"/>
                <w:sz w:val="24"/>
              </w:rPr>
            </w:pPr>
            <w:r>
              <w:rPr>
                <w:rFonts w:hint="eastAsia" w:ascii="Times New Roman" w:hAnsi="Times New Roman"/>
                <w:sz w:val="24"/>
              </w:rPr>
              <w:t>输气管道敷设时的管沟开挖不可避免地破坏沿线植被，因此项目对于生态环境的影响主要来自施工期。管线土石方施工期，是管线开挖及填筑形成裸露边坡时段也是产生水土流失量及流失强度较大的时段，需要重点防治的时段。该时段水土流失的防治是本工程水土流失防治的关键时段。各类施工活动要严格限定在用地范围内，严禁随意占压、扰动和破坏地表植被。做好表土的剥离、集中堆放、拦挡、排水及恢复等措施，废弃土方禁止随意倾倒。加强施工组织管理和临时防护，严格控制施工期间可能造成的水土流失。</w:t>
            </w:r>
          </w:p>
          <w:p>
            <w:pPr>
              <w:tabs>
                <w:tab w:val="left" w:pos="-160"/>
              </w:tabs>
              <w:spacing w:line="360" w:lineRule="auto"/>
              <w:ind w:firstLine="480" w:firstLineChars="200"/>
              <w:rPr>
                <w:rFonts w:ascii="Times New Roman" w:hAnsi="Times New Roman"/>
                <w:sz w:val="24"/>
              </w:rPr>
            </w:pPr>
            <w:r>
              <w:rPr>
                <w:rFonts w:hint="eastAsia" w:ascii="Times New Roman" w:hAnsi="Times New Roman"/>
                <w:sz w:val="24"/>
              </w:rPr>
              <w:t>施工结束后将实施施工作业带植被恢复，因此项目对生态环境的影响很有限。当回填土方并恢复植被后，地表的生态系统能连成一片，因此项目建设区域生态系统功能不会受到破坏。</w:t>
            </w:r>
          </w:p>
          <w:p>
            <w:pPr>
              <w:tabs>
                <w:tab w:val="left" w:pos="-160"/>
              </w:tabs>
              <w:spacing w:line="360" w:lineRule="auto"/>
              <w:ind w:firstLine="480" w:firstLineChars="200"/>
              <w:rPr>
                <w:rFonts w:ascii="Times New Roman" w:hAnsi="Times New Roman"/>
                <w:sz w:val="24"/>
              </w:rPr>
            </w:pPr>
            <w:r>
              <w:rPr>
                <w:rFonts w:hint="eastAsia" w:ascii="Times New Roman" w:hAnsi="Times New Roman"/>
                <w:sz w:val="24"/>
              </w:rPr>
              <w:t>（6）环境风险</w:t>
            </w:r>
          </w:p>
          <w:p>
            <w:pPr>
              <w:tabs>
                <w:tab w:val="left" w:pos="-160"/>
              </w:tabs>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本工程输气管线泄露对整个评价区域的空气环境的影响不大；本工程采用了较为严格的设计标准，行业设计规范与环境风险事故防范要求是相符的。环评要求建设单位制定风险应急预案，一旦发生事故将可迅速响应，采取措施将损失降到最小。因此本项目的环境风险水平是可以接受的。</w:t>
            </w:r>
          </w:p>
          <w:p>
            <w:pPr>
              <w:tabs>
                <w:tab w:val="left" w:pos="6313"/>
              </w:tabs>
              <w:spacing w:line="360" w:lineRule="auto"/>
              <w:ind w:firstLine="482" w:firstLineChars="200"/>
              <w:jc w:val="left"/>
              <w:rPr>
                <w:rFonts w:ascii="Times New Roman" w:hAnsi="Times New Roman"/>
                <w:b/>
                <w:sz w:val="24"/>
              </w:rPr>
            </w:pPr>
            <w:r>
              <w:rPr>
                <w:rFonts w:ascii="Times New Roman" w:hAnsi="Times New Roman"/>
                <w:b/>
                <w:sz w:val="24"/>
              </w:rPr>
              <w:t>（六）总量控制</w:t>
            </w:r>
          </w:p>
          <w:p>
            <w:pPr>
              <w:spacing w:line="360" w:lineRule="auto"/>
              <w:ind w:firstLine="480" w:firstLineChars="200"/>
              <w:rPr>
                <w:rFonts w:ascii="Times New Roman" w:hAnsi="Times New Roman"/>
                <w:b/>
                <w:color w:val="000000"/>
                <w:sz w:val="24"/>
                <w:szCs w:val="24"/>
              </w:rPr>
            </w:pPr>
            <w:r>
              <w:rPr>
                <w:rFonts w:hint="eastAsia" w:ascii="Times New Roman" w:hAnsi="Times New Roman"/>
                <w:color w:val="000000"/>
                <w:sz w:val="24"/>
              </w:rPr>
              <w:t>项目废水产生量为288m</w:t>
            </w:r>
            <w:r>
              <w:rPr>
                <w:rFonts w:hint="eastAsia" w:ascii="Times New Roman" w:hAnsi="Times New Roman"/>
                <w:color w:val="000000"/>
                <w:sz w:val="24"/>
                <w:vertAlign w:val="superscript"/>
              </w:rPr>
              <w:t>3</w:t>
            </w:r>
            <w:r>
              <w:rPr>
                <w:rFonts w:hint="eastAsia" w:ascii="Times New Roman" w:hAnsi="Times New Roman"/>
                <w:color w:val="000000"/>
                <w:sz w:val="24"/>
              </w:rPr>
              <w:t>/a。产生的废水通过市政污水管网送往芜湖大桥综合经济开发区污水处理厂集中处理，本项目废水污染物排放总量计入芜湖大桥综合经济开发区污水处理厂总量指标内，不另外下达。本环评给出项目污水排入环境中的量作为环境主管部门参考，COD：0.0144t/a；NH</w:t>
            </w:r>
            <w:r>
              <w:rPr>
                <w:rFonts w:hint="eastAsia" w:ascii="Times New Roman" w:hAnsi="Times New Roman"/>
                <w:color w:val="000000"/>
                <w:sz w:val="24"/>
                <w:vertAlign w:val="subscript"/>
              </w:rPr>
              <w:t>3</w:t>
            </w:r>
            <w:r>
              <w:rPr>
                <w:rFonts w:hint="eastAsia" w:ascii="Times New Roman" w:hAnsi="Times New Roman"/>
                <w:color w:val="000000"/>
                <w:sz w:val="24"/>
              </w:rPr>
              <w:t>-N：0.0014t/a（以芜湖大桥综合经济开发区污水处理厂出水水质核算）。</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（七）项目结论</w:t>
            </w:r>
          </w:p>
          <w:p>
            <w:pPr>
              <w:spacing w:line="360" w:lineRule="auto"/>
              <w:ind w:firstLine="482" w:firstLineChars="200"/>
              <w:rPr>
                <w:rFonts w:ascii="Times New Roman" w:hAnsi="Times New Roman"/>
                <w:b/>
                <w:bCs/>
                <w:sz w:val="24"/>
                <w:szCs w:val="22"/>
                <w:lang w:val="zh-CN"/>
              </w:rPr>
            </w:pPr>
            <w:r>
              <w:rPr>
                <w:rFonts w:ascii="Times New Roman" w:hAnsi="Times New Roman"/>
                <w:b/>
                <w:bCs/>
                <w:sz w:val="24"/>
                <w:szCs w:val="22"/>
                <w:lang w:val="zh-CN"/>
              </w:rPr>
              <w:t>综上所述，本项目符合国家产业政策要求，项目选址合理，建设项目所在地环境现状较好。废水、废气、噪声和固废污染物采取本评价提出的污染防治措施后可达标排放。该项目在坚持“三同时”原则并按照本报告中提出的各项环保措施治理后，从环境影响评价的角度来讲，项目建设是可行的。</w:t>
            </w:r>
          </w:p>
          <w:p>
            <w:pPr>
              <w:spacing w:line="360" w:lineRule="auto"/>
              <w:rPr>
                <w:rFonts w:ascii="Times New Roman" w:hAnsi="Times New Roman"/>
                <w:b/>
                <w:color w:val="000000"/>
                <w:sz w:val="28"/>
                <w:szCs w:val="28"/>
              </w:rPr>
            </w:pPr>
            <w:r>
              <w:rPr>
                <w:rFonts w:ascii="Times New Roman" w:hAnsi="Times New Roman"/>
                <w:b/>
                <w:color w:val="000000"/>
                <w:sz w:val="28"/>
                <w:szCs w:val="28"/>
              </w:rPr>
              <w:t>建议及要求：</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落实环保投资，确保环保资金到位，确保顺利实现达标排放，做到经济、社会、环境效益的统一协调发展。为了能使本项目产生的各项污染防治措施达到较好的实际使用效果，建议业主加强各种处理设施的维修、保养及管理，确保污染治理设施的正常运转。</w:t>
            </w:r>
          </w:p>
          <w:p>
            <w:pPr>
              <w:spacing w:line="360" w:lineRule="auto"/>
              <w:rPr>
                <w:rFonts w:ascii="Times New Roman" w:hAnsi="Times New Roman"/>
                <w:color w:val="000000"/>
                <w:sz w:val="24"/>
                <w:szCs w:val="24"/>
              </w:rPr>
            </w:pPr>
          </w:p>
        </w:tc>
      </w:tr>
    </w:tbl>
    <w:p>
      <w:pPr>
        <w:rPr>
          <w:color w:val="000000"/>
        </w:rPr>
      </w:pPr>
    </w:p>
    <w:tbl>
      <w:tblPr>
        <w:tblStyle w:val="32"/>
        <w:tblW w:w="0" w:type="auto"/>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928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98" w:hRule="atLeast"/>
          <w:jc w:val="center"/>
        </w:trPr>
        <w:tc>
          <w:tcPr>
            <w:tcW w:w="9282" w:type="dxa"/>
          </w:tcPr>
          <w:p>
            <w:pPr>
              <w:rPr>
                <w:w w:val="98"/>
                <w:kern w:val="0"/>
                <w:sz w:val="28"/>
              </w:rPr>
            </w:pPr>
            <w:r>
              <w:rPr>
                <w:w w:val="98"/>
                <w:kern w:val="0"/>
                <w:sz w:val="28"/>
              </w:rPr>
              <w:t>预审意见：</w:t>
            </w:r>
          </w:p>
          <w:p>
            <w:pPr>
              <w:rPr>
                <w:w w:val="98"/>
              </w:rPr>
            </w:pPr>
          </w:p>
          <w:p>
            <w:pPr>
              <w:rPr>
                <w:w w:val="98"/>
              </w:rPr>
            </w:pPr>
          </w:p>
          <w:p>
            <w:pPr>
              <w:rPr>
                <w:w w:val="98"/>
              </w:rPr>
            </w:pPr>
          </w:p>
          <w:p>
            <w:pPr>
              <w:rPr>
                <w:w w:val="98"/>
              </w:rPr>
            </w:pPr>
          </w:p>
          <w:p>
            <w:pPr>
              <w:rPr>
                <w:w w:val="98"/>
              </w:rPr>
            </w:pPr>
          </w:p>
          <w:p>
            <w:pPr>
              <w:rPr>
                <w:w w:val="98"/>
              </w:rPr>
            </w:pPr>
          </w:p>
          <w:p>
            <w:pPr>
              <w:rPr>
                <w:w w:val="98"/>
              </w:rPr>
            </w:pPr>
          </w:p>
          <w:p>
            <w:pPr>
              <w:rPr>
                <w:w w:val="98"/>
              </w:rPr>
            </w:pPr>
          </w:p>
          <w:p>
            <w:pPr>
              <w:rPr>
                <w:w w:val="98"/>
                <w:kern w:val="0"/>
                <w:sz w:val="28"/>
              </w:rPr>
            </w:pPr>
          </w:p>
          <w:p>
            <w:pPr>
              <w:rPr>
                <w:w w:val="98"/>
                <w:kern w:val="0"/>
                <w:sz w:val="28"/>
              </w:rPr>
            </w:pPr>
          </w:p>
          <w:p>
            <w:pPr>
              <w:rPr>
                <w:w w:val="98"/>
                <w:kern w:val="0"/>
                <w:sz w:val="28"/>
              </w:rPr>
            </w:pPr>
            <w:r>
              <w:rPr>
                <w:w w:val="98"/>
                <w:kern w:val="0"/>
                <w:sz w:val="28"/>
              </w:rPr>
              <w:t xml:space="preserve">                                                  </w:t>
            </w:r>
            <w:r>
              <w:rPr>
                <w:w w:val="98"/>
              </w:rPr>
              <w:t xml:space="preserve"> </w:t>
            </w:r>
            <w:r>
              <w:rPr>
                <w:w w:val="98"/>
                <w:kern w:val="0"/>
                <w:sz w:val="28"/>
              </w:rPr>
              <w:t>公   章</w:t>
            </w:r>
          </w:p>
          <w:p>
            <w:pPr>
              <w:ind w:firstLine="200" w:firstLineChars="98"/>
              <w:rPr>
                <w:w w:val="98"/>
                <w:kern w:val="0"/>
                <w:sz w:val="28"/>
              </w:rPr>
            </w:pPr>
            <w:r>
              <w:rPr>
                <w:w w:val="98"/>
              </w:rPr>
              <w:t xml:space="preserve"> </w:t>
            </w:r>
            <w:r>
              <w:rPr>
                <w:w w:val="98"/>
                <w:kern w:val="0"/>
                <w:sz w:val="28"/>
              </w:rPr>
              <w:t xml:space="preserve">经办人： </w:t>
            </w:r>
            <w:r>
              <w:rPr>
                <w:w w:val="98"/>
              </w:rPr>
              <w:t xml:space="preserve">                                                </w:t>
            </w:r>
            <w:r>
              <w:rPr>
                <w:w w:val="98"/>
                <w:kern w:val="0"/>
                <w:sz w:val="28"/>
              </w:rPr>
              <w:t>年    月    日</w:t>
            </w:r>
          </w:p>
          <w:p>
            <w:pPr>
              <w:ind w:firstLine="268" w:firstLineChars="98"/>
              <w:rPr>
                <w:w w:val="98"/>
                <w:kern w:val="0"/>
                <w:sz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4230" w:hRule="atLeast"/>
          <w:jc w:val="center"/>
        </w:trPr>
        <w:tc>
          <w:tcPr>
            <w:tcW w:w="9282" w:type="dxa"/>
          </w:tcPr>
          <w:p>
            <w:pPr>
              <w:rPr>
                <w:rFonts w:ascii="宋体" w:hAnsi="宋体"/>
                <w:w w:val="98"/>
                <w:kern w:val="0"/>
                <w:sz w:val="28"/>
              </w:rPr>
            </w:pPr>
          </w:p>
          <w:p>
            <w:pPr>
              <w:rPr>
                <w:rFonts w:ascii="宋体" w:hAnsi="宋体"/>
                <w:w w:val="98"/>
                <w:kern w:val="0"/>
                <w:sz w:val="28"/>
              </w:rPr>
            </w:pPr>
            <w:r>
              <w:rPr>
                <w:rFonts w:ascii="宋体" w:hAnsi="宋体"/>
                <w:w w:val="98"/>
                <w:kern w:val="0"/>
                <w:sz w:val="28"/>
              </w:rPr>
              <w:t>下一级环境保护行政主管部门审查意见：</w:t>
            </w: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kern w:val="0"/>
                <w:sz w:val="28"/>
              </w:rPr>
            </w:pPr>
            <w:r>
              <w:rPr>
                <w:rFonts w:ascii="宋体" w:hAnsi="宋体"/>
                <w:w w:val="98"/>
              </w:rPr>
              <w:t xml:space="preserve"> </w:t>
            </w:r>
            <w:r>
              <w:rPr>
                <w:rFonts w:hint="eastAsia" w:ascii="宋体" w:hAnsi="宋体"/>
                <w:w w:val="98"/>
              </w:rPr>
              <w:t xml:space="preserve">                                                                 </w:t>
            </w:r>
            <w:r>
              <w:rPr>
                <w:rFonts w:ascii="宋体" w:hAnsi="宋体"/>
                <w:w w:val="98"/>
                <w:kern w:val="0"/>
                <w:sz w:val="28"/>
              </w:rPr>
              <w:t>公   章</w:t>
            </w:r>
          </w:p>
          <w:p>
            <w:pPr>
              <w:rPr>
                <w:rFonts w:ascii="宋体" w:hAnsi="宋体"/>
                <w:w w:val="98"/>
                <w:kern w:val="0"/>
                <w:sz w:val="28"/>
              </w:rPr>
            </w:pPr>
            <w:r>
              <w:rPr>
                <w:rFonts w:ascii="宋体" w:hAnsi="宋体"/>
                <w:w w:val="98"/>
              </w:rPr>
              <w:t xml:space="preserve">   </w:t>
            </w:r>
            <w:r>
              <w:rPr>
                <w:rFonts w:ascii="宋体" w:hAnsi="宋体"/>
                <w:w w:val="98"/>
                <w:kern w:val="0"/>
                <w:sz w:val="28"/>
              </w:rPr>
              <w:t>经办人：                                   年    月    日</w:t>
            </w:r>
          </w:p>
          <w:p>
            <w:pPr>
              <w:rPr>
                <w:rFonts w:ascii="宋体" w:hAnsi="宋体"/>
                <w:w w:val="98"/>
                <w:kern w:val="0"/>
                <w:sz w:val="28"/>
              </w:rPr>
            </w:pPr>
            <w:r>
              <w:rPr>
                <w:rFonts w:hint="eastAsia" w:ascii="宋体" w:hAnsi="宋体"/>
                <w:w w:val="98"/>
                <w:kern w:val="0"/>
                <w:sz w:val="28"/>
              </w:rPr>
              <w:t>审查意见；</w:t>
            </w: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p>
          <w:p>
            <w:pPr>
              <w:rPr>
                <w:rFonts w:ascii="宋体" w:hAnsi="宋体"/>
                <w:w w:val="98"/>
                <w:kern w:val="0"/>
                <w:sz w:val="28"/>
              </w:rPr>
            </w:pPr>
            <w:r>
              <w:rPr>
                <w:rFonts w:hint="eastAsia" w:ascii="宋体" w:hAnsi="宋体"/>
                <w:w w:val="98"/>
                <w:kern w:val="0"/>
                <w:sz w:val="28"/>
              </w:rPr>
              <w:t xml:space="preserve">                                                 公  章</w:t>
            </w:r>
          </w:p>
          <w:p>
            <w:pPr>
              <w:rPr>
                <w:rFonts w:ascii="宋体" w:hAnsi="宋体"/>
                <w:w w:val="98"/>
                <w:kern w:val="0"/>
                <w:sz w:val="28"/>
              </w:rPr>
            </w:pPr>
            <w:r>
              <w:rPr>
                <w:rFonts w:hint="eastAsia" w:ascii="宋体" w:hAnsi="宋体"/>
                <w:w w:val="98"/>
                <w:kern w:val="0"/>
                <w:sz w:val="28"/>
              </w:rPr>
              <w:t>经办人；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3363" w:hRule="atLeast"/>
          <w:jc w:val="center"/>
        </w:trPr>
        <w:tc>
          <w:tcPr>
            <w:tcW w:w="9282" w:type="dxa"/>
            <w:vAlign w:val="center"/>
          </w:tcPr>
          <w:p>
            <w:pPr>
              <w:spacing w:line="360" w:lineRule="auto"/>
              <w:jc w:val="center"/>
              <w:rPr>
                <w:rFonts w:ascii="宋体" w:hAnsi="宋体"/>
                <w:b/>
                <w:sz w:val="32"/>
                <w:szCs w:val="32"/>
              </w:rPr>
            </w:pPr>
            <w:r>
              <w:rPr>
                <w:rFonts w:ascii="宋体" w:hAnsi="宋体"/>
                <w:b/>
                <w:sz w:val="32"/>
                <w:szCs w:val="32"/>
              </w:rPr>
              <w:t>注        释</w:t>
            </w:r>
          </w:p>
          <w:p>
            <w:pPr>
              <w:spacing w:line="360" w:lineRule="auto"/>
              <w:ind w:firstLine="352" w:firstLineChars="147"/>
              <w:rPr>
                <w:rFonts w:ascii="宋体" w:hAnsi="宋体"/>
                <w:sz w:val="24"/>
              </w:rPr>
            </w:pPr>
            <w:r>
              <w:rPr>
                <w:rFonts w:ascii="宋体" w:hAnsi="宋体"/>
                <w:sz w:val="24"/>
              </w:rPr>
              <w:t>一、本报告表应附以下附件、附图：</w:t>
            </w:r>
          </w:p>
          <w:p>
            <w:pPr>
              <w:spacing w:line="360" w:lineRule="auto"/>
              <w:ind w:firstLine="480" w:firstLineChars="200"/>
              <w:rPr>
                <w:rFonts w:ascii="宋体" w:hAnsi="宋体"/>
                <w:sz w:val="24"/>
              </w:rPr>
            </w:pPr>
            <w:r>
              <w:rPr>
                <w:rFonts w:ascii="宋体" w:hAnsi="宋体"/>
                <w:sz w:val="24"/>
              </w:rPr>
              <w:t xml:space="preserve">附件1  </w:t>
            </w:r>
            <w:r>
              <w:rPr>
                <w:rFonts w:hint="eastAsia" w:ascii="宋体" w:hAnsi="宋体"/>
                <w:sz w:val="24"/>
              </w:rPr>
              <w:t>项目委托书</w:t>
            </w:r>
          </w:p>
          <w:p>
            <w:pPr>
              <w:spacing w:line="360" w:lineRule="auto"/>
              <w:ind w:firstLine="480" w:firstLineChars="200"/>
              <w:rPr>
                <w:rFonts w:ascii="宋体" w:hAnsi="宋体"/>
                <w:sz w:val="24"/>
              </w:rPr>
            </w:pPr>
            <w:r>
              <w:rPr>
                <w:rFonts w:ascii="宋体" w:hAnsi="宋体"/>
                <w:sz w:val="24"/>
              </w:rPr>
              <w:t xml:space="preserve">附件2  </w:t>
            </w:r>
            <w:r>
              <w:rPr>
                <w:rFonts w:hint="eastAsia" w:ascii="宋体" w:hAnsi="宋体"/>
                <w:sz w:val="24"/>
              </w:rPr>
              <w:t>承诺</w:t>
            </w:r>
          </w:p>
          <w:p>
            <w:pPr>
              <w:spacing w:line="360" w:lineRule="auto"/>
              <w:ind w:firstLine="480" w:firstLineChars="200"/>
              <w:rPr>
                <w:rFonts w:ascii="宋体" w:hAnsi="宋体"/>
                <w:sz w:val="24"/>
              </w:rPr>
            </w:pPr>
            <w:r>
              <w:rPr>
                <w:rFonts w:ascii="宋体" w:hAnsi="宋体"/>
                <w:sz w:val="24"/>
              </w:rPr>
              <w:t>附件3</w:t>
            </w:r>
            <w:r>
              <w:rPr>
                <w:rFonts w:hint="eastAsia" w:ascii="宋体" w:hAnsi="宋体"/>
                <w:sz w:val="24"/>
              </w:rPr>
              <w:t xml:space="preserve"> </w:t>
            </w:r>
            <w:r>
              <w:rPr>
                <w:rFonts w:ascii="宋体" w:hAnsi="宋体"/>
                <w:sz w:val="24"/>
              </w:rPr>
              <w:t xml:space="preserve"> </w:t>
            </w:r>
            <w:r>
              <w:rPr>
                <w:rFonts w:hint="eastAsia" w:ascii="宋体" w:hAnsi="宋体"/>
                <w:sz w:val="24"/>
              </w:rPr>
              <w:t>立项</w:t>
            </w:r>
          </w:p>
          <w:p>
            <w:pPr>
              <w:spacing w:line="360" w:lineRule="auto"/>
              <w:ind w:firstLine="480" w:firstLineChars="200"/>
              <w:rPr>
                <w:rFonts w:ascii="宋体" w:hAnsi="宋体"/>
                <w:sz w:val="24"/>
              </w:rPr>
            </w:pPr>
            <w:r>
              <w:rPr>
                <w:rFonts w:hint="eastAsia" w:ascii="宋体" w:hAnsi="宋体"/>
                <w:sz w:val="24"/>
              </w:rPr>
              <w:t>附件</w:t>
            </w:r>
            <w:r>
              <w:rPr>
                <w:rFonts w:hint="eastAsia" w:ascii="宋体" w:hAnsi="宋体"/>
                <w:sz w:val="24"/>
                <w:lang w:val="en-US" w:eastAsia="zh-CN"/>
              </w:rPr>
              <w:t>4</w:t>
            </w:r>
            <w:r>
              <w:rPr>
                <w:rFonts w:hint="eastAsia" w:ascii="宋体" w:hAnsi="宋体"/>
                <w:sz w:val="24"/>
              </w:rPr>
              <w:t xml:space="preserve">  </w:t>
            </w:r>
            <w:r>
              <w:rPr>
                <w:rFonts w:hint="eastAsia" w:ascii="宋体" w:hAnsi="宋体"/>
                <w:sz w:val="24"/>
                <w:lang w:val="en-US" w:eastAsia="zh-CN"/>
              </w:rPr>
              <w:t>噪声</w:t>
            </w:r>
            <w:r>
              <w:rPr>
                <w:rFonts w:hint="eastAsia" w:ascii="宋体" w:hAnsi="宋体"/>
                <w:sz w:val="24"/>
              </w:rPr>
              <w:t>监测数据</w:t>
            </w:r>
          </w:p>
          <w:p>
            <w:pPr>
              <w:spacing w:line="360" w:lineRule="auto"/>
              <w:ind w:firstLine="480" w:firstLineChars="200"/>
              <w:rPr>
                <w:rFonts w:hint="default" w:ascii="宋体" w:hAnsi="宋体" w:eastAsia="宋体"/>
                <w:sz w:val="24"/>
                <w:lang w:val="en-US" w:eastAsia="zh-CN"/>
              </w:rPr>
            </w:pPr>
            <w:r>
              <w:rPr>
                <w:rFonts w:hint="eastAsia" w:ascii="宋体" w:hAnsi="宋体"/>
                <w:sz w:val="24"/>
              </w:rPr>
              <w:t>附件</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项目选址意见</w:t>
            </w:r>
          </w:p>
          <w:p>
            <w:pPr>
              <w:spacing w:line="360" w:lineRule="auto"/>
              <w:ind w:firstLine="480" w:firstLineChars="200"/>
              <w:rPr>
                <w:rFonts w:hint="default" w:ascii="宋体" w:hAnsi="宋体" w:eastAsia="宋体"/>
                <w:sz w:val="24"/>
                <w:lang w:val="en-US" w:eastAsia="zh-CN"/>
              </w:rPr>
            </w:pPr>
            <w:r>
              <w:rPr>
                <w:rFonts w:hint="eastAsia" w:ascii="宋体" w:hAnsi="宋体"/>
                <w:sz w:val="24"/>
              </w:rPr>
              <w:t>附件</w:t>
            </w:r>
            <w:r>
              <w:rPr>
                <w:rFonts w:hint="eastAsia" w:ascii="宋体" w:hAnsi="宋体"/>
                <w:sz w:val="24"/>
                <w:lang w:val="en-US" w:eastAsia="zh-CN"/>
              </w:rPr>
              <w:t>6</w:t>
            </w:r>
            <w:r>
              <w:rPr>
                <w:rFonts w:hint="eastAsia" w:ascii="宋体" w:hAnsi="宋体"/>
                <w:sz w:val="24"/>
              </w:rPr>
              <w:t xml:space="preserve">  </w:t>
            </w:r>
            <w:r>
              <w:rPr>
                <w:rFonts w:hint="eastAsia" w:ascii="宋体" w:hAnsi="宋体"/>
                <w:sz w:val="24"/>
                <w:lang w:val="en-US" w:eastAsia="zh-CN"/>
              </w:rPr>
              <w:t>项目用地预审意见书</w:t>
            </w:r>
          </w:p>
          <w:p>
            <w:pPr>
              <w:spacing w:line="360" w:lineRule="auto"/>
              <w:ind w:firstLine="480" w:firstLineChars="200"/>
              <w:rPr>
                <w:rFonts w:ascii="宋体" w:hAnsi="宋体"/>
                <w:sz w:val="24"/>
              </w:rPr>
            </w:pPr>
            <w:r>
              <w:rPr>
                <w:rFonts w:ascii="宋体" w:hAnsi="宋体"/>
                <w:sz w:val="24"/>
              </w:rPr>
              <w:t xml:space="preserve">附图1  </w:t>
            </w:r>
            <w:r>
              <w:rPr>
                <w:rFonts w:hint="eastAsia" w:ascii="宋体" w:hAnsi="宋体"/>
                <w:sz w:val="24"/>
                <w:lang w:val="en-US" w:eastAsia="zh-CN"/>
              </w:rPr>
              <w:t>线路走向</w:t>
            </w:r>
            <w:r>
              <w:rPr>
                <w:rFonts w:ascii="宋体" w:hAnsi="宋体"/>
                <w:sz w:val="24"/>
              </w:rPr>
              <w:t>图</w:t>
            </w:r>
          </w:p>
          <w:p>
            <w:pPr>
              <w:spacing w:line="360" w:lineRule="auto"/>
              <w:ind w:firstLine="480" w:firstLineChars="200"/>
              <w:rPr>
                <w:rFonts w:ascii="宋体" w:hAnsi="宋体"/>
                <w:sz w:val="24"/>
              </w:rPr>
            </w:pPr>
            <w:r>
              <w:rPr>
                <w:rFonts w:hint="eastAsia" w:ascii="宋体" w:hAnsi="宋体"/>
                <w:sz w:val="24"/>
              </w:rPr>
              <w:t>附图2</w:t>
            </w:r>
            <w:r>
              <w:rPr>
                <w:rFonts w:ascii="宋体" w:hAnsi="宋体"/>
                <w:sz w:val="24"/>
              </w:rPr>
              <w:t xml:space="preserve">  </w:t>
            </w:r>
            <w:r>
              <w:rPr>
                <w:rFonts w:hint="eastAsia" w:ascii="宋体" w:hAnsi="宋体"/>
                <w:sz w:val="24"/>
                <w:lang w:val="en-US" w:eastAsia="zh-CN"/>
              </w:rPr>
              <w:t>站场</w:t>
            </w:r>
            <w:r>
              <w:rPr>
                <w:rFonts w:hint="eastAsia" w:ascii="宋体" w:hAnsi="宋体"/>
                <w:sz w:val="24"/>
              </w:rPr>
              <w:t>平面布置图</w:t>
            </w:r>
          </w:p>
          <w:p>
            <w:pPr>
              <w:spacing w:line="360" w:lineRule="auto"/>
              <w:ind w:firstLine="480" w:firstLineChars="200"/>
              <w:rPr>
                <w:rFonts w:ascii="宋体" w:hAnsi="宋体"/>
                <w:sz w:val="24"/>
              </w:rPr>
            </w:pPr>
            <w:r>
              <w:rPr>
                <w:rFonts w:hint="eastAsia" w:ascii="宋体" w:hAnsi="宋体"/>
                <w:sz w:val="24"/>
              </w:rPr>
              <w:t>附图3  环境保护目标分布图</w:t>
            </w:r>
          </w:p>
          <w:p>
            <w:pPr>
              <w:spacing w:line="360" w:lineRule="auto"/>
              <w:ind w:firstLine="480" w:firstLineChars="200"/>
              <w:rPr>
                <w:rFonts w:ascii="宋体" w:hAnsi="宋体"/>
                <w:sz w:val="24"/>
              </w:rPr>
            </w:pPr>
            <w:r>
              <w:rPr>
                <w:rFonts w:ascii="宋体" w:hAnsi="宋体"/>
                <w:sz w:val="24"/>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rFonts w:ascii="宋体" w:hAnsi="宋体"/>
                <w:sz w:val="24"/>
              </w:rPr>
            </w:pPr>
            <w:r>
              <w:rPr>
                <w:rFonts w:ascii="宋体" w:hAnsi="宋体"/>
                <w:sz w:val="24"/>
              </w:rPr>
              <w:t>1、大气环境影响专项评价</w:t>
            </w:r>
          </w:p>
          <w:p>
            <w:pPr>
              <w:spacing w:line="360" w:lineRule="auto"/>
              <w:ind w:firstLine="480" w:firstLineChars="200"/>
              <w:rPr>
                <w:rFonts w:ascii="宋体" w:hAnsi="宋体"/>
                <w:sz w:val="24"/>
              </w:rPr>
            </w:pPr>
            <w:r>
              <w:rPr>
                <w:rFonts w:ascii="宋体" w:hAnsi="宋体"/>
                <w:sz w:val="24"/>
              </w:rPr>
              <w:t>2、水环境影响专项评价（包括地表水和地下水）</w:t>
            </w:r>
          </w:p>
          <w:p>
            <w:pPr>
              <w:spacing w:line="360" w:lineRule="auto"/>
              <w:ind w:firstLine="480" w:firstLineChars="200"/>
              <w:rPr>
                <w:rFonts w:ascii="宋体" w:hAnsi="宋体"/>
                <w:sz w:val="24"/>
              </w:rPr>
            </w:pPr>
            <w:r>
              <w:rPr>
                <w:rFonts w:ascii="宋体" w:hAnsi="宋体"/>
                <w:sz w:val="24"/>
              </w:rPr>
              <w:t>3、生态影响专项评价</w:t>
            </w:r>
          </w:p>
          <w:p>
            <w:pPr>
              <w:spacing w:line="360" w:lineRule="auto"/>
              <w:ind w:firstLine="480" w:firstLineChars="200"/>
              <w:rPr>
                <w:rFonts w:ascii="宋体" w:hAnsi="宋体"/>
                <w:sz w:val="24"/>
              </w:rPr>
            </w:pPr>
            <w:r>
              <w:rPr>
                <w:rFonts w:ascii="宋体" w:hAnsi="宋体"/>
                <w:sz w:val="24"/>
              </w:rPr>
              <w:t>4、声影响专项评价</w:t>
            </w:r>
          </w:p>
          <w:p>
            <w:pPr>
              <w:spacing w:line="360" w:lineRule="auto"/>
              <w:ind w:firstLine="480" w:firstLineChars="200"/>
              <w:rPr>
                <w:rFonts w:ascii="宋体" w:hAnsi="宋体"/>
                <w:sz w:val="24"/>
              </w:rPr>
            </w:pPr>
            <w:r>
              <w:rPr>
                <w:rFonts w:ascii="宋体" w:hAnsi="宋体"/>
                <w:sz w:val="24"/>
              </w:rPr>
              <w:t>5、土壤影响专项评价</w:t>
            </w:r>
          </w:p>
          <w:p>
            <w:pPr>
              <w:spacing w:line="360" w:lineRule="auto"/>
              <w:ind w:firstLine="480" w:firstLineChars="200"/>
              <w:rPr>
                <w:rFonts w:ascii="宋体" w:hAnsi="宋体"/>
                <w:sz w:val="24"/>
              </w:rPr>
            </w:pPr>
            <w:r>
              <w:rPr>
                <w:rFonts w:ascii="宋体" w:hAnsi="宋体"/>
                <w:sz w:val="24"/>
              </w:rPr>
              <w:t>6、</w:t>
            </w:r>
            <w:r>
              <w:rPr>
                <w:rFonts w:hint="eastAsia" w:ascii="宋体" w:hAnsi="宋体"/>
                <w:sz w:val="24"/>
              </w:rPr>
              <w:t>固体废物</w:t>
            </w:r>
            <w:r>
              <w:rPr>
                <w:rFonts w:ascii="宋体" w:hAnsi="宋体"/>
                <w:sz w:val="24"/>
              </w:rPr>
              <w:t>影响专项评价</w:t>
            </w:r>
          </w:p>
          <w:p>
            <w:pPr>
              <w:spacing w:line="360" w:lineRule="auto"/>
              <w:ind w:firstLine="480" w:firstLineChars="200"/>
              <w:rPr>
                <w:rFonts w:ascii="宋体" w:hAnsi="宋体"/>
                <w:sz w:val="24"/>
              </w:rPr>
            </w:pPr>
            <w:r>
              <w:rPr>
                <w:rFonts w:ascii="宋体" w:hAnsi="宋体"/>
                <w:sz w:val="24"/>
              </w:rPr>
              <w:t>以上专项评价未包括的可另列专项，专项评价按照《环境影响评价技术导则》中的要求进行。</w:t>
            </w:r>
          </w:p>
          <w:p>
            <w:pPr>
              <w:spacing w:line="480" w:lineRule="auto"/>
              <w:ind w:firstLine="480" w:firstLineChars="200"/>
              <w:rPr>
                <w:rFonts w:ascii="宋体" w:hAnsi="宋体"/>
                <w:sz w:val="24"/>
              </w:rPr>
            </w:pPr>
          </w:p>
          <w:p>
            <w:pPr>
              <w:spacing w:line="480" w:lineRule="auto"/>
              <w:rPr>
                <w:rFonts w:ascii="宋体" w:hAnsi="宋体"/>
                <w:sz w:val="24"/>
              </w:rPr>
            </w:pPr>
          </w:p>
        </w:tc>
      </w:tr>
    </w:tbl>
    <w:p>
      <w:pPr>
        <w:jc w:val="center"/>
        <w:rPr>
          <w:rFonts w:ascii="宋体" w:hAnsi="宋体" w:cs="宋体"/>
          <w:sz w:val="52"/>
          <w:szCs w:val="52"/>
        </w:rPr>
        <w:sectPr>
          <w:footerReference r:id="rId4" w:type="default"/>
          <w:pgSz w:w="11906" w:h="16838"/>
          <w:pgMar w:top="1440" w:right="1800" w:bottom="1558" w:left="1800" w:header="851" w:footer="992" w:gutter="0"/>
          <w:pgNumType w:start="1"/>
          <w:cols w:space="720" w:num="1"/>
          <w:docGrid w:type="lines" w:linePitch="312" w:charSpace="0"/>
        </w:sectPr>
      </w:pPr>
    </w:p>
    <w:p>
      <w:pPr>
        <w:pStyle w:val="5"/>
        <w:ind w:firstLine="0" w:firstLineChars="0"/>
      </w:pPr>
    </w:p>
    <w:sectPr>
      <w:footerReference r:id="rId5" w:type="default"/>
      <w:type w:val="continuous"/>
      <w:pgSz w:w="16838" w:h="11906" w:orient="landscape"/>
      <w:pgMar w:top="1800" w:right="1440" w:bottom="1800" w:left="155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Arial Black">
    <w:panose1 w:val="020B0A04020102020204"/>
    <w:charset w:val="00"/>
    <w:family w:val="swiss"/>
    <w:pitch w:val="default"/>
    <w:sig w:usb0="A00002AF" w:usb1="400078FB" w:usb2="00000000" w:usb3="00000000" w:csb0="6000009F" w:csb1="DFD70000"/>
  </w:font>
  <w:font w:name="等线">
    <w:panose1 w:val="02010600030101010101"/>
    <w:charset w:val="86"/>
    <w:family w:val="auto"/>
    <w:pitch w:val="default"/>
    <w:sig w:usb0="A00002BF" w:usb1="38CF7CFA" w:usb2="00000016" w:usb3="00000000" w:csb0="0004000F" w:csb1="00000000"/>
  </w:font>
  <w:font w:name="??">
    <w:altName w:val="Times New Roman"/>
    <w:panose1 w:val="00000000000000000000"/>
    <w:charset w:val="00"/>
    <w:family w:val="roman"/>
    <w:pitch w:val="default"/>
    <w:sig w:usb0="00000000" w:usb1="00000000" w:usb2="00000000" w:usb3="00000000" w:csb0="00040001"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Style w:val="38"/>
      </w:rPr>
    </w:pPr>
  </w:p>
  <w:p>
    <w:pPr>
      <w:pStyle w:val="24"/>
      <w:jc w:val="center"/>
    </w:pPr>
    <w:r>
      <w:rPr>
        <w:rStyle w:val="38"/>
        <w:rFonts w:hint="eastAsia"/>
      </w:rPr>
      <w:t xml:space="preserve">                               </w:t>
    </w:r>
    <w:r>
      <w:rPr>
        <w:rFonts w:hint="eastAsia"/>
      </w:rPr>
      <w:t xml:space="preserve">                       </w:t>
    </w:r>
    <w:r>
      <w:rPr>
        <w:sz w:val="21"/>
        <w:szCs w:val="21"/>
      </w:rPr>
      <w:tab/>
    </w:r>
    <w:r>
      <w:rPr>
        <w:rStyle w:val="38"/>
        <w:rFonts w:hint="eastAsia"/>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Style w:val="3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65</w:t>
                          </w:r>
                          <w:r>
                            <w:rPr>
                              <w:rFonts w:hint="eastAsia"/>
                              <w:sz w:val="18"/>
                            </w:rPr>
                            <w:fldChar w:fldCharType="end"/>
                          </w:r>
                        </w:p>
                      </w:txbxContent>
                    </wps:txbx>
                    <wps:bodyPr wrap="none" lIns="0" tIns="0" rIns="0" bIns="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H8+gBxgEAAJEDAAAOAAAAAAAAAAEAIAAAAB4BAABkcnMvZTJvRG9jLnht&#10;bFBLBQYAAAAABgAGAFkBAABW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65</w:t>
                    </w:r>
                    <w:r>
                      <w:rPr>
                        <w:rFonts w:hint="eastAsia"/>
                        <w:sz w:val="18"/>
                      </w:rPr>
                      <w:fldChar w:fldCharType="end"/>
                    </w:r>
                  </w:p>
                </w:txbxContent>
              </v:textbox>
            </v:shape>
          </w:pict>
        </mc:Fallback>
      </mc:AlternateContent>
    </w:r>
  </w:p>
  <w:p>
    <w:pPr>
      <w:pStyle w:val="24"/>
      <w:jc w:val="center"/>
    </w:pPr>
    <w:r>
      <w:rPr>
        <w:rStyle w:val="38"/>
        <w:rFonts w:hint="eastAsia"/>
      </w:rPr>
      <w:t xml:space="preserve">                               </w:t>
    </w:r>
    <w:r>
      <w:rPr>
        <w:rFonts w:hint="eastAsia"/>
      </w:rPr>
      <w:t xml:space="preserve">                       </w:t>
    </w:r>
    <w:r>
      <w:rPr>
        <w:sz w:val="21"/>
        <w:szCs w:val="21"/>
      </w:rPr>
      <w:tab/>
    </w:r>
    <w:r>
      <w:rPr>
        <w:rStyle w:val="38"/>
        <w:rFonts w:hint="eastAsia"/>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Style w:val="38"/>
      </w:rPr>
    </w:pPr>
  </w:p>
  <w:p>
    <w:pPr>
      <w:pStyle w:val="24"/>
      <w:jc w:val="center"/>
    </w:pPr>
    <w:r>
      <w:rPr>
        <w:rStyle w:val="38"/>
        <w:rFonts w:hint="eastAsia"/>
      </w:rPr>
      <w:t xml:space="preserve">                               </w:t>
    </w:r>
    <w:r>
      <w:rPr>
        <w:rFonts w:hint="eastAsia"/>
      </w:rPr>
      <w:t xml:space="preserve">                       </w:t>
    </w:r>
    <w:r>
      <w:rPr>
        <w:sz w:val="21"/>
        <w:szCs w:val="21"/>
      </w:rPr>
      <w:tab/>
    </w:r>
    <w:r>
      <w:rPr>
        <w:rStyle w:val="38"/>
        <w:rFonts w:hint="eastAsia"/>
        <w:sz w:val="21"/>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DB295C"/>
    <w:multiLevelType w:val="singleLevel"/>
    <w:tmpl w:val="86DB295C"/>
    <w:lvl w:ilvl="0" w:tentative="0">
      <w:start w:val="11"/>
      <w:numFmt w:val="decimal"/>
      <w:suff w:val="nothing"/>
      <w:lvlText w:val="%1、"/>
      <w:lvlJc w:val="left"/>
    </w:lvl>
  </w:abstractNum>
  <w:abstractNum w:abstractNumId="1">
    <w:nsid w:val="A93EBE01"/>
    <w:multiLevelType w:val="singleLevel"/>
    <w:tmpl w:val="A93EBE01"/>
    <w:lvl w:ilvl="0" w:tentative="0">
      <w:start w:val="4"/>
      <w:numFmt w:val="decimal"/>
      <w:suff w:val="nothing"/>
      <w:lvlText w:val="（%1）"/>
      <w:lvlJc w:val="left"/>
    </w:lvl>
  </w:abstractNum>
  <w:abstractNum w:abstractNumId="2">
    <w:nsid w:val="B50C1B46"/>
    <w:multiLevelType w:val="singleLevel"/>
    <w:tmpl w:val="B50C1B46"/>
    <w:lvl w:ilvl="0" w:tentative="0">
      <w:start w:val="8"/>
      <w:numFmt w:val="decimal"/>
      <w:suff w:val="nothing"/>
      <w:lvlText w:val="（%1）"/>
      <w:lvlJc w:val="left"/>
      <w:pPr>
        <w:ind w:left="600" w:firstLine="0"/>
      </w:pPr>
    </w:lvl>
  </w:abstractNum>
  <w:abstractNum w:abstractNumId="3">
    <w:nsid w:val="1A403CA3"/>
    <w:multiLevelType w:val="singleLevel"/>
    <w:tmpl w:val="1A403CA3"/>
    <w:lvl w:ilvl="0" w:tentative="0">
      <w:start w:val="8"/>
      <w:numFmt w:val="decimal"/>
      <w:suff w:val="nothing"/>
      <w:lvlText w:val="（%1）"/>
      <w:lvlJc w:val="left"/>
    </w:lvl>
  </w:abstractNum>
  <w:abstractNum w:abstractNumId="4">
    <w:nsid w:val="3FAE4587"/>
    <w:multiLevelType w:val="singleLevel"/>
    <w:tmpl w:val="3FAE4587"/>
    <w:lvl w:ilvl="0" w:tentative="0">
      <w:start w:val="1"/>
      <w:numFmt w:val="decimal"/>
      <w:lvlText w:val="%1."/>
      <w:lvlJc w:val="left"/>
      <w:pPr>
        <w:tabs>
          <w:tab w:val="left" w:pos="842"/>
        </w:tabs>
        <w:ind w:left="0" w:firstLine="482"/>
      </w:pPr>
    </w:lvl>
  </w:abstractNum>
  <w:abstractNum w:abstractNumId="5">
    <w:nsid w:val="4BA307A9"/>
    <w:multiLevelType w:val="singleLevel"/>
    <w:tmpl w:val="4BA307A9"/>
    <w:lvl w:ilvl="0" w:tentative="0">
      <w:start w:val="1"/>
      <w:numFmt w:val="decimal"/>
      <w:suff w:val="nothing"/>
      <w:lvlText w:val="%1、"/>
      <w:lvlJc w:val="left"/>
    </w:lvl>
  </w:abstractNum>
  <w:abstractNum w:abstractNumId="6">
    <w:nsid w:val="63D6F915"/>
    <w:multiLevelType w:val="singleLevel"/>
    <w:tmpl w:val="63D6F915"/>
    <w:lvl w:ilvl="0" w:tentative="0">
      <w:start w:val="1"/>
      <w:numFmt w:val="chineseCounting"/>
      <w:suff w:val="nothing"/>
      <w:lvlText w:val="%1、"/>
      <w:lvlJc w:val="left"/>
      <w:rPr>
        <w:rFonts w:hint="eastAsia"/>
      </w:rPr>
    </w:lvl>
  </w:abstractNum>
  <w:abstractNum w:abstractNumId="7">
    <w:nsid w:val="72AEB539"/>
    <w:multiLevelType w:val="singleLevel"/>
    <w:tmpl w:val="72AEB539"/>
    <w:lvl w:ilvl="0" w:tentative="0">
      <w:start w:val="7"/>
      <w:numFmt w:val="decimal"/>
      <w:suff w:val="nothing"/>
      <w:lvlText w:val="%1、"/>
      <w:lvlJc w:val="left"/>
    </w:lvl>
  </w:abstractNum>
  <w:num w:numId="1">
    <w:abstractNumId w:val="4"/>
    <w:lvlOverride w:ilvl="0">
      <w:startOverride w:val="1"/>
    </w:lvlOverride>
  </w:num>
  <w:num w:numId="2">
    <w:abstractNumId w:val="2"/>
  </w:num>
  <w:num w:numId="3">
    <w:abstractNumId w:val="3"/>
  </w:num>
  <w:num w:numId="4">
    <w:abstractNumId w:val="7"/>
  </w:num>
  <w:num w:numId="5">
    <w:abstractNumId w:val="0"/>
  </w:num>
  <w:num w:numId="6">
    <w:abstractNumId w:val="1"/>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C9"/>
    <w:rsid w:val="00000EFA"/>
    <w:rsid w:val="0000120D"/>
    <w:rsid w:val="00001254"/>
    <w:rsid w:val="00001465"/>
    <w:rsid w:val="000022AE"/>
    <w:rsid w:val="0000304C"/>
    <w:rsid w:val="00003081"/>
    <w:rsid w:val="0000371C"/>
    <w:rsid w:val="00003A7D"/>
    <w:rsid w:val="0000452A"/>
    <w:rsid w:val="00004EBE"/>
    <w:rsid w:val="000050B7"/>
    <w:rsid w:val="000055E1"/>
    <w:rsid w:val="00005BD6"/>
    <w:rsid w:val="0000623D"/>
    <w:rsid w:val="00006346"/>
    <w:rsid w:val="0000703B"/>
    <w:rsid w:val="00007761"/>
    <w:rsid w:val="00007A1C"/>
    <w:rsid w:val="00010389"/>
    <w:rsid w:val="00010B86"/>
    <w:rsid w:val="00010D60"/>
    <w:rsid w:val="00010FF2"/>
    <w:rsid w:val="0001118E"/>
    <w:rsid w:val="00012237"/>
    <w:rsid w:val="000122B4"/>
    <w:rsid w:val="0001241E"/>
    <w:rsid w:val="00012903"/>
    <w:rsid w:val="00013335"/>
    <w:rsid w:val="000134AE"/>
    <w:rsid w:val="00014730"/>
    <w:rsid w:val="00014F0D"/>
    <w:rsid w:val="00015256"/>
    <w:rsid w:val="00015482"/>
    <w:rsid w:val="00015861"/>
    <w:rsid w:val="000159C4"/>
    <w:rsid w:val="00015A86"/>
    <w:rsid w:val="00015F03"/>
    <w:rsid w:val="00016338"/>
    <w:rsid w:val="0001694A"/>
    <w:rsid w:val="00016957"/>
    <w:rsid w:val="000174A7"/>
    <w:rsid w:val="00017CEC"/>
    <w:rsid w:val="00020648"/>
    <w:rsid w:val="000206A2"/>
    <w:rsid w:val="000210FB"/>
    <w:rsid w:val="000211C0"/>
    <w:rsid w:val="00021684"/>
    <w:rsid w:val="00021E0B"/>
    <w:rsid w:val="00021EF2"/>
    <w:rsid w:val="0002231C"/>
    <w:rsid w:val="000229DD"/>
    <w:rsid w:val="000234CC"/>
    <w:rsid w:val="0002385E"/>
    <w:rsid w:val="00023D86"/>
    <w:rsid w:val="00024B64"/>
    <w:rsid w:val="00024D93"/>
    <w:rsid w:val="00024E32"/>
    <w:rsid w:val="00025019"/>
    <w:rsid w:val="00025032"/>
    <w:rsid w:val="00025BF8"/>
    <w:rsid w:val="00025EAA"/>
    <w:rsid w:val="0002646F"/>
    <w:rsid w:val="00026865"/>
    <w:rsid w:val="00026BFD"/>
    <w:rsid w:val="0002794D"/>
    <w:rsid w:val="00027D0A"/>
    <w:rsid w:val="00027D28"/>
    <w:rsid w:val="00027D36"/>
    <w:rsid w:val="00030349"/>
    <w:rsid w:val="00030547"/>
    <w:rsid w:val="000306A8"/>
    <w:rsid w:val="00030EF5"/>
    <w:rsid w:val="000315A3"/>
    <w:rsid w:val="000316EF"/>
    <w:rsid w:val="00032229"/>
    <w:rsid w:val="00032679"/>
    <w:rsid w:val="00032950"/>
    <w:rsid w:val="00032D5F"/>
    <w:rsid w:val="00032FBC"/>
    <w:rsid w:val="000336AE"/>
    <w:rsid w:val="0003370B"/>
    <w:rsid w:val="00033D86"/>
    <w:rsid w:val="000344AC"/>
    <w:rsid w:val="000355A6"/>
    <w:rsid w:val="0003585E"/>
    <w:rsid w:val="00036078"/>
    <w:rsid w:val="0003645F"/>
    <w:rsid w:val="000367C2"/>
    <w:rsid w:val="000367E0"/>
    <w:rsid w:val="00036BA2"/>
    <w:rsid w:val="00037560"/>
    <w:rsid w:val="000403A9"/>
    <w:rsid w:val="0004052A"/>
    <w:rsid w:val="00040950"/>
    <w:rsid w:val="00041083"/>
    <w:rsid w:val="000412C2"/>
    <w:rsid w:val="000417A2"/>
    <w:rsid w:val="0004181F"/>
    <w:rsid w:val="0004259B"/>
    <w:rsid w:val="000426D8"/>
    <w:rsid w:val="00042DE0"/>
    <w:rsid w:val="00043290"/>
    <w:rsid w:val="0004360A"/>
    <w:rsid w:val="000447DA"/>
    <w:rsid w:val="00044908"/>
    <w:rsid w:val="00044FD0"/>
    <w:rsid w:val="00044FD9"/>
    <w:rsid w:val="000452D9"/>
    <w:rsid w:val="00045B8C"/>
    <w:rsid w:val="00046981"/>
    <w:rsid w:val="00046BD6"/>
    <w:rsid w:val="00046D1B"/>
    <w:rsid w:val="0004767C"/>
    <w:rsid w:val="00047754"/>
    <w:rsid w:val="00047EB8"/>
    <w:rsid w:val="000502FC"/>
    <w:rsid w:val="00050350"/>
    <w:rsid w:val="00050BA3"/>
    <w:rsid w:val="000518F0"/>
    <w:rsid w:val="0005202E"/>
    <w:rsid w:val="0005237C"/>
    <w:rsid w:val="000528E3"/>
    <w:rsid w:val="00052C49"/>
    <w:rsid w:val="00052C4D"/>
    <w:rsid w:val="000531F2"/>
    <w:rsid w:val="000534BB"/>
    <w:rsid w:val="0005354E"/>
    <w:rsid w:val="00053598"/>
    <w:rsid w:val="000537A7"/>
    <w:rsid w:val="00053986"/>
    <w:rsid w:val="00053EBB"/>
    <w:rsid w:val="00054392"/>
    <w:rsid w:val="00054AB6"/>
    <w:rsid w:val="00054DFF"/>
    <w:rsid w:val="00056089"/>
    <w:rsid w:val="000568C4"/>
    <w:rsid w:val="00056FA8"/>
    <w:rsid w:val="0005728A"/>
    <w:rsid w:val="00057292"/>
    <w:rsid w:val="0005794D"/>
    <w:rsid w:val="00057BCC"/>
    <w:rsid w:val="000600D6"/>
    <w:rsid w:val="000605A5"/>
    <w:rsid w:val="000607D4"/>
    <w:rsid w:val="00060E65"/>
    <w:rsid w:val="00060F32"/>
    <w:rsid w:val="000610D4"/>
    <w:rsid w:val="00061C1F"/>
    <w:rsid w:val="00061E3E"/>
    <w:rsid w:val="00061E8D"/>
    <w:rsid w:val="00062927"/>
    <w:rsid w:val="00063344"/>
    <w:rsid w:val="00064274"/>
    <w:rsid w:val="000646E7"/>
    <w:rsid w:val="00064E8F"/>
    <w:rsid w:val="0006507A"/>
    <w:rsid w:val="00065209"/>
    <w:rsid w:val="00065EC0"/>
    <w:rsid w:val="00065F82"/>
    <w:rsid w:val="0006602A"/>
    <w:rsid w:val="000668DC"/>
    <w:rsid w:val="000700ED"/>
    <w:rsid w:val="00070699"/>
    <w:rsid w:val="00070F58"/>
    <w:rsid w:val="0007254C"/>
    <w:rsid w:val="000725C6"/>
    <w:rsid w:val="00073A57"/>
    <w:rsid w:val="00073F89"/>
    <w:rsid w:val="000746EA"/>
    <w:rsid w:val="0007475D"/>
    <w:rsid w:val="0007490B"/>
    <w:rsid w:val="00075207"/>
    <w:rsid w:val="00075F01"/>
    <w:rsid w:val="00075F11"/>
    <w:rsid w:val="00076448"/>
    <w:rsid w:val="000765F1"/>
    <w:rsid w:val="0007662E"/>
    <w:rsid w:val="00076987"/>
    <w:rsid w:val="00076E65"/>
    <w:rsid w:val="0007758B"/>
    <w:rsid w:val="00080029"/>
    <w:rsid w:val="00080B57"/>
    <w:rsid w:val="00080C82"/>
    <w:rsid w:val="00080EC7"/>
    <w:rsid w:val="00081CA8"/>
    <w:rsid w:val="000820E3"/>
    <w:rsid w:val="000822DF"/>
    <w:rsid w:val="00083CDF"/>
    <w:rsid w:val="00083E91"/>
    <w:rsid w:val="000858C7"/>
    <w:rsid w:val="00085A5B"/>
    <w:rsid w:val="00085B1B"/>
    <w:rsid w:val="0008622A"/>
    <w:rsid w:val="0008623E"/>
    <w:rsid w:val="00086401"/>
    <w:rsid w:val="0008744B"/>
    <w:rsid w:val="000879B5"/>
    <w:rsid w:val="00090110"/>
    <w:rsid w:val="00090727"/>
    <w:rsid w:val="00090970"/>
    <w:rsid w:val="00090C73"/>
    <w:rsid w:val="00090E5B"/>
    <w:rsid w:val="00091E20"/>
    <w:rsid w:val="00092753"/>
    <w:rsid w:val="000928DF"/>
    <w:rsid w:val="00092BB1"/>
    <w:rsid w:val="00093B14"/>
    <w:rsid w:val="00093BC9"/>
    <w:rsid w:val="00093E46"/>
    <w:rsid w:val="00093FCD"/>
    <w:rsid w:val="00094210"/>
    <w:rsid w:val="00094946"/>
    <w:rsid w:val="00094D80"/>
    <w:rsid w:val="000959C0"/>
    <w:rsid w:val="00095FA4"/>
    <w:rsid w:val="00095FD2"/>
    <w:rsid w:val="000963EE"/>
    <w:rsid w:val="000964A0"/>
    <w:rsid w:val="000977B3"/>
    <w:rsid w:val="00097A5B"/>
    <w:rsid w:val="000A086D"/>
    <w:rsid w:val="000A0A96"/>
    <w:rsid w:val="000A0B93"/>
    <w:rsid w:val="000A1E8C"/>
    <w:rsid w:val="000A2165"/>
    <w:rsid w:val="000A280C"/>
    <w:rsid w:val="000A33CF"/>
    <w:rsid w:val="000A45B9"/>
    <w:rsid w:val="000A4612"/>
    <w:rsid w:val="000A4747"/>
    <w:rsid w:val="000A4B2A"/>
    <w:rsid w:val="000A4E85"/>
    <w:rsid w:val="000A5157"/>
    <w:rsid w:val="000A5F18"/>
    <w:rsid w:val="000A5FA8"/>
    <w:rsid w:val="000A625E"/>
    <w:rsid w:val="000A68EA"/>
    <w:rsid w:val="000A69A0"/>
    <w:rsid w:val="000A6A3D"/>
    <w:rsid w:val="000A72B1"/>
    <w:rsid w:val="000A73A8"/>
    <w:rsid w:val="000A76BF"/>
    <w:rsid w:val="000B0201"/>
    <w:rsid w:val="000B06CE"/>
    <w:rsid w:val="000B0F3C"/>
    <w:rsid w:val="000B116C"/>
    <w:rsid w:val="000B23E7"/>
    <w:rsid w:val="000B2643"/>
    <w:rsid w:val="000B26A2"/>
    <w:rsid w:val="000B27B4"/>
    <w:rsid w:val="000B290D"/>
    <w:rsid w:val="000B2E8B"/>
    <w:rsid w:val="000B337E"/>
    <w:rsid w:val="000B3931"/>
    <w:rsid w:val="000B3B91"/>
    <w:rsid w:val="000B4181"/>
    <w:rsid w:val="000B42D9"/>
    <w:rsid w:val="000B46C5"/>
    <w:rsid w:val="000B4DF6"/>
    <w:rsid w:val="000B540B"/>
    <w:rsid w:val="000B54A0"/>
    <w:rsid w:val="000B593F"/>
    <w:rsid w:val="000B5C78"/>
    <w:rsid w:val="000B5D28"/>
    <w:rsid w:val="000B5D2A"/>
    <w:rsid w:val="000C0762"/>
    <w:rsid w:val="000C0C62"/>
    <w:rsid w:val="000C1335"/>
    <w:rsid w:val="000C16AD"/>
    <w:rsid w:val="000C2094"/>
    <w:rsid w:val="000C21D9"/>
    <w:rsid w:val="000C25B8"/>
    <w:rsid w:val="000C266C"/>
    <w:rsid w:val="000C2BE6"/>
    <w:rsid w:val="000C2D5A"/>
    <w:rsid w:val="000C2F9A"/>
    <w:rsid w:val="000C317B"/>
    <w:rsid w:val="000C349C"/>
    <w:rsid w:val="000C373F"/>
    <w:rsid w:val="000C4595"/>
    <w:rsid w:val="000C4679"/>
    <w:rsid w:val="000C48C0"/>
    <w:rsid w:val="000C5101"/>
    <w:rsid w:val="000C5352"/>
    <w:rsid w:val="000C5392"/>
    <w:rsid w:val="000C5934"/>
    <w:rsid w:val="000C5952"/>
    <w:rsid w:val="000C5E37"/>
    <w:rsid w:val="000C6C32"/>
    <w:rsid w:val="000C6ECE"/>
    <w:rsid w:val="000C7405"/>
    <w:rsid w:val="000C7415"/>
    <w:rsid w:val="000C756B"/>
    <w:rsid w:val="000C7798"/>
    <w:rsid w:val="000C7A2E"/>
    <w:rsid w:val="000C7E22"/>
    <w:rsid w:val="000C7EF7"/>
    <w:rsid w:val="000D01B2"/>
    <w:rsid w:val="000D073C"/>
    <w:rsid w:val="000D1C76"/>
    <w:rsid w:val="000D22FF"/>
    <w:rsid w:val="000D26FA"/>
    <w:rsid w:val="000D2BBC"/>
    <w:rsid w:val="000D2C3A"/>
    <w:rsid w:val="000D30E1"/>
    <w:rsid w:val="000D31BC"/>
    <w:rsid w:val="000D35E1"/>
    <w:rsid w:val="000D4358"/>
    <w:rsid w:val="000D606A"/>
    <w:rsid w:val="000D691C"/>
    <w:rsid w:val="000D6DAE"/>
    <w:rsid w:val="000D6E3D"/>
    <w:rsid w:val="000D794F"/>
    <w:rsid w:val="000E076B"/>
    <w:rsid w:val="000E13DC"/>
    <w:rsid w:val="000E153D"/>
    <w:rsid w:val="000E174C"/>
    <w:rsid w:val="000E1F47"/>
    <w:rsid w:val="000E249B"/>
    <w:rsid w:val="000E2808"/>
    <w:rsid w:val="000E32CF"/>
    <w:rsid w:val="000E3A89"/>
    <w:rsid w:val="000E41E7"/>
    <w:rsid w:val="000E479B"/>
    <w:rsid w:val="000E4AAE"/>
    <w:rsid w:val="000E4B4C"/>
    <w:rsid w:val="000E525C"/>
    <w:rsid w:val="000E5ABC"/>
    <w:rsid w:val="000E5EB3"/>
    <w:rsid w:val="000E6234"/>
    <w:rsid w:val="000E65C2"/>
    <w:rsid w:val="000E765B"/>
    <w:rsid w:val="000E7C19"/>
    <w:rsid w:val="000E7C9A"/>
    <w:rsid w:val="000F0AD1"/>
    <w:rsid w:val="000F1292"/>
    <w:rsid w:val="000F14F5"/>
    <w:rsid w:val="000F15E2"/>
    <w:rsid w:val="000F1BDE"/>
    <w:rsid w:val="000F1C88"/>
    <w:rsid w:val="000F21B1"/>
    <w:rsid w:val="000F235C"/>
    <w:rsid w:val="000F2461"/>
    <w:rsid w:val="000F24CE"/>
    <w:rsid w:val="000F2A9D"/>
    <w:rsid w:val="000F2CA0"/>
    <w:rsid w:val="000F3B10"/>
    <w:rsid w:val="000F3B76"/>
    <w:rsid w:val="000F4FDA"/>
    <w:rsid w:val="000F50C8"/>
    <w:rsid w:val="000F54AA"/>
    <w:rsid w:val="000F57CD"/>
    <w:rsid w:val="000F5D7B"/>
    <w:rsid w:val="000F65D9"/>
    <w:rsid w:val="000F67C7"/>
    <w:rsid w:val="000F6AA9"/>
    <w:rsid w:val="000F6D68"/>
    <w:rsid w:val="000F748F"/>
    <w:rsid w:val="001001C7"/>
    <w:rsid w:val="00100857"/>
    <w:rsid w:val="0010112E"/>
    <w:rsid w:val="00101398"/>
    <w:rsid w:val="00101454"/>
    <w:rsid w:val="00101EEF"/>
    <w:rsid w:val="00101F00"/>
    <w:rsid w:val="00102AB8"/>
    <w:rsid w:val="00103440"/>
    <w:rsid w:val="00103DDF"/>
    <w:rsid w:val="0010419E"/>
    <w:rsid w:val="0010436F"/>
    <w:rsid w:val="00104677"/>
    <w:rsid w:val="00104E47"/>
    <w:rsid w:val="00104FB3"/>
    <w:rsid w:val="001052FC"/>
    <w:rsid w:val="001054FF"/>
    <w:rsid w:val="0010571C"/>
    <w:rsid w:val="00105861"/>
    <w:rsid w:val="00105A88"/>
    <w:rsid w:val="0010653F"/>
    <w:rsid w:val="001066F0"/>
    <w:rsid w:val="00107714"/>
    <w:rsid w:val="0010781C"/>
    <w:rsid w:val="00107A9D"/>
    <w:rsid w:val="0011019A"/>
    <w:rsid w:val="00110E97"/>
    <w:rsid w:val="00110F44"/>
    <w:rsid w:val="00111218"/>
    <w:rsid w:val="001118F5"/>
    <w:rsid w:val="00111983"/>
    <w:rsid w:val="00111A53"/>
    <w:rsid w:val="00111C07"/>
    <w:rsid w:val="00111C67"/>
    <w:rsid w:val="00111D1E"/>
    <w:rsid w:val="00111D1F"/>
    <w:rsid w:val="001126FD"/>
    <w:rsid w:val="00112DB7"/>
    <w:rsid w:val="00112F5E"/>
    <w:rsid w:val="0011327D"/>
    <w:rsid w:val="00113B28"/>
    <w:rsid w:val="00113EDC"/>
    <w:rsid w:val="00114046"/>
    <w:rsid w:val="00114ADE"/>
    <w:rsid w:val="00114FF4"/>
    <w:rsid w:val="00115703"/>
    <w:rsid w:val="00115AE7"/>
    <w:rsid w:val="001163BB"/>
    <w:rsid w:val="0011666A"/>
    <w:rsid w:val="00116FB5"/>
    <w:rsid w:val="0011703F"/>
    <w:rsid w:val="0011738F"/>
    <w:rsid w:val="0011741B"/>
    <w:rsid w:val="00117D86"/>
    <w:rsid w:val="00120280"/>
    <w:rsid w:val="00120488"/>
    <w:rsid w:val="00120ED9"/>
    <w:rsid w:val="00120FA0"/>
    <w:rsid w:val="00121A18"/>
    <w:rsid w:val="00121DDF"/>
    <w:rsid w:val="0012253D"/>
    <w:rsid w:val="00122A97"/>
    <w:rsid w:val="00122A9F"/>
    <w:rsid w:val="00122BC6"/>
    <w:rsid w:val="00123907"/>
    <w:rsid w:val="00123A4D"/>
    <w:rsid w:val="00123BC9"/>
    <w:rsid w:val="00123E5A"/>
    <w:rsid w:val="001242EE"/>
    <w:rsid w:val="00124DE7"/>
    <w:rsid w:val="00126089"/>
    <w:rsid w:val="00127275"/>
    <w:rsid w:val="001273CC"/>
    <w:rsid w:val="00127807"/>
    <w:rsid w:val="0012795E"/>
    <w:rsid w:val="00130461"/>
    <w:rsid w:val="00130657"/>
    <w:rsid w:val="00130854"/>
    <w:rsid w:val="0013199B"/>
    <w:rsid w:val="00131D0F"/>
    <w:rsid w:val="00132970"/>
    <w:rsid w:val="00133075"/>
    <w:rsid w:val="00133E15"/>
    <w:rsid w:val="00133F1A"/>
    <w:rsid w:val="00134690"/>
    <w:rsid w:val="0013485B"/>
    <w:rsid w:val="001348E2"/>
    <w:rsid w:val="00134CFA"/>
    <w:rsid w:val="0013582D"/>
    <w:rsid w:val="00136968"/>
    <w:rsid w:val="00136A34"/>
    <w:rsid w:val="001373D5"/>
    <w:rsid w:val="001373F7"/>
    <w:rsid w:val="001377B2"/>
    <w:rsid w:val="00137B1F"/>
    <w:rsid w:val="00140185"/>
    <w:rsid w:val="0014043A"/>
    <w:rsid w:val="0014079C"/>
    <w:rsid w:val="00141006"/>
    <w:rsid w:val="001419E3"/>
    <w:rsid w:val="001422A5"/>
    <w:rsid w:val="001423A9"/>
    <w:rsid w:val="00142A0E"/>
    <w:rsid w:val="00142AAF"/>
    <w:rsid w:val="001435FB"/>
    <w:rsid w:val="00143A7D"/>
    <w:rsid w:val="00143B3D"/>
    <w:rsid w:val="0014439B"/>
    <w:rsid w:val="001444D9"/>
    <w:rsid w:val="001451DF"/>
    <w:rsid w:val="0014540D"/>
    <w:rsid w:val="0014575F"/>
    <w:rsid w:val="00145835"/>
    <w:rsid w:val="00145F4A"/>
    <w:rsid w:val="001467B9"/>
    <w:rsid w:val="00146B99"/>
    <w:rsid w:val="001473A0"/>
    <w:rsid w:val="0014745B"/>
    <w:rsid w:val="0014750D"/>
    <w:rsid w:val="0014755D"/>
    <w:rsid w:val="00147BB3"/>
    <w:rsid w:val="00147E41"/>
    <w:rsid w:val="00147E60"/>
    <w:rsid w:val="00150EE3"/>
    <w:rsid w:val="00151816"/>
    <w:rsid w:val="0015191E"/>
    <w:rsid w:val="00152A92"/>
    <w:rsid w:val="00152EE7"/>
    <w:rsid w:val="001530DD"/>
    <w:rsid w:val="001534D3"/>
    <w:rsid w:val="001538F9"/>
    <w:rsid w:val="00153BA6"/>
    <w:rsid w:val="00153FD5"/>
    <w:rsid w:val="00154267"/>
    <w:rsid w:val="0015432B"/>
    <w:rsid w:val="0015453B"/>
    <w:rsid w:val="00154556"/>
    <w:rsid w:val="001545DA"/>
    <w:rsid w:val="0015498A"/>
    <w:rsid w:val="00154C66"/>
    <w:rsid w:val="00154F72"/>
    <w:rsid w:val="00155183"/>
    <w:rsid w:val="0015531D"/>
    <w:rsid w:val="0015557F"/>
    <w:rsid w:val="00155D27"/>
    <w:rsid w:val="00155FFB"/>
    <w:rsid w:val="001564EF"/>
    <w:rsid w:val="0015712A"/>
    <w:rsid w:val="001571E4"/>
    <w:rsid w:val="0015721D"/>
    <w:rsid w:val="001573EA"/>
    <w:rsid w:val="00157EC1"/>
    <w:rsid w:val="0016016A"/>
    <w:rsid w:val="00160B3E"/>
    <w:rsid w:val="00160F77"/>
    <w:rsid w:val="00161C9A"/>
    <w:rsid w:val="00162128"/>
    <w:rsid w:val="00163313"/>
    <w:rsid w:val="00163872"/>
    <w:rsid w:val="0016394D"/>
    <w:rsid w:val="001663EB"/>
    <w:rsid w:val="001665A7"/>
    <w:rsid w:val="00166C44"/>
    <w:rsid w:val="00166D66"/>
    <w:rsid w:val="00167E73"/>
    <w:rsid w:val="00170A67"/>
    <w:rsid w:val="00170D4C"/>
    <w:rsid w:val="001718E2"/>
    <w:rsid w:val="001718FE"/>
    <w:rsid w:val="0017195D"/>
    <w:rsid w:val="001719D2"/>
    <w:rsid w:val="00171E5B"/>
    <w:rsid w:val="00171F93"/>
    <w:rsid w:val="001721B3"/>
    <w:rsid w:val="001722E8"/>
    <w:rsid w:val="001725B5"/>
    <w:rsid w:val="001725D8"/>
    <w:rsid w:val="00172A27"/>
    <w:rsid w:val="00172F2F"/>
    <w:rsid w:val="001731D6"/>
    <w:rsid w:val="00173262"/>
    <w:rsid w:val="00173F84"/>
    <w:rsid w:val="00174BFC"/>
    <w:rsid w:val="001750A6"/>
    <w:rsid w:val="00175BCF"/>
    <w:rsid w:val="00176EBC"/>
    <w:rsid w:val="00177746"/>
    <w:rsid w:val="00177D7D"/>
    <w:rsid w:val="001808DA"/>
    <w:rsid w:val="001809F0"/>
    <w:rsid w:val="0018133F"/>
    <w:rsid w:val="00181D82"/>
    <w:rsid w:val="00182063"/>
    <w:rsid w:val="00183FB3"/>
    <w:rsid w:val="00184370"/>
    <w:rsid w:val="0018457D"/>
    <w:rsid w:val="00184C50"/>
    <w:rsid w:val="00185730"/>
    <w:rsid w:val="001857E1"/>
    <w:rsid w:val="00185801"/>
    <w:rsid w:val="0018713B"/>
    <w:rsid w:val="00187409"/>
    <w:rsid w:val="001874FC"/>
    <w:rsid w:val="00187531"/>
    <w:rsid w:val="0018755F"/>
    <w:rsid w:val="00187BCA"/>
    <w:rsid w:val="0019085E"/>
    <w:rsid w:val="00190DD0"/>
    <w:rsid w:val="00191086"/>
    <w:rsid w:val="00191832"/>
    <w:rsid w:val="00191C4E"/>
    <w:rsid w:val="00191C74"/>
    <w:rsid w:val="00191D6B"/>
    <w:rsid w:val="00191EBC"/>
    <w:rsid w:val="00191FBE"/>
    <w:rsid w:val="0019211F"/>
    <w:rsid w:val="00192B19"/>
    <w:rsid w:val="00192D08"/>
    <w:rsid w:val="001930AB"/>
    <w:rsid w:val="00193416"/>
    <w:rsid w:val="001934DB"/>
    <w:rsid w:val="00193BEE"/>
    <w:rsid w:val="00194A4E"/>
    <w:rsid w:val="00194DB5"/>
    <w:rsid w:val="0019575C"/>
    <w:rsid w:val="00195FF0"/>
    <w:rsid w:val="00196288"/>
    <w:rsid w:val="00196746"/>
    <w:rsid w:val="00196EE8"/>
    <w:rsid w:val="0019721C"/>
    <w:rsid w:val="0019742A"/>
    <w:rsid w:val="00197C60"/>
    <w:rsid w:val="00197EED"/>
    <w:rsid w:val="001A0002"/>
    <w:rsid w:val="001A083A"/>
    <w:rsid w:val="001A08B5"/>
    <w:rsid w:val="001A0D04"/>
    <w:rsid w:val="001A0E14"/>
    <w:rsid w:val="001A0FC1"/>
    <w:rsid w:val="001A113E"/>
    <w:rsid w:val="001A137F"/>
    <w:rsid w:val="001A20C8"/>
    <w:rsid w:val="001A269B"/>
    <w:rsid w:val="001A31F1"/>
    <w:rsid w:val="001A4507"/>
    <w:rsid w:val="001A4C60"/>
    <w:rsid w:val="001A4E50"/>
    <w:rsid w:val="001A4FB4"/>
    <w:rsid w:val="001A538D"/>
    <w:rsid w:val="001A561C"/>
    <w:rsid w:val="001A569A"/>
    <w:rsid w:val="001A5733"/>
    <w:rsid w:val="001A599C"/>
    <w:rsid w:val="001A5F04"/>
    <w:rsid w:val="001A6A6D"/>
    <w:rsid w:val="001A6C66"/>
    <w:rsid w:val="001A6D78"/>
    <w:rsid w:val="001A7CF3"/>
    <w:rsid w:val="001A7F5D"/>
    <w:rsid w:val="001B0685"/>
    <w:rsid w:val="001B0D46"/>
    <w:rsid w:val="001B0FA5"/>
    <w:rsid w:val="001B1490"/>
    <w:rsid w:val="001B1922"/>
    <w:rsid w:val="001B1E74"/>
    <w:rsid w:val="001B23BA"/>
    <w:rsid w:val="001B28C2"/>
    <w:rsid w:val="001B29FA"/>
    <w:rsid w:val="001B2CB5"/>
    <w:rsid w:val="001B2F16"/>
    <w:rsid w:val="001B35B3"/>
    <w:rsid w:val="001B3753"/>
    <w:rsid w:val="001B38D8"/>
    <w:rsid w:val="001B3A7F"/>
    <w:rsid w:val="001B3E01"/>
    <w:rsid w:val="001B4FBE"/>
    <w:rsid w:val="001B5113"/>
    <w:rsid w:val="001B5D27"/>
    <w:rsid w:val="001B5E2A"/>
    <w:rsid w:val="001B61F3"/>
    <w:rsid w:val="001B6599"/>
    <w:rsid w:val="001B698B"/>
    <w:rsid w:val="001B6BD3"/>
    <w:rsid w:val="001B70DA"/>
    <w:rsid w:val="001B7608"/>
    <w:rsid w:val="001B7968"/>
    <w:rsid w:val="001B7CE5"/>
    <w:rsid w:val="001C052D"/>
    <w:rsid w:val="001C07EB"/>
    <w:rsid w:val="001C0C4C"/>
    <w:rsid w:val="001C0DC3"/>
    <w:rsid w:val="001C106A"/>
    <w:rsid w:val="001C12AF"/>
    <w:rsid w:val="001C12C4"/>
    <w:rsid w:val="001C131A"/>
    <w:rsid w:val="001C1594"/>
    <w:rsid w:val="001C17E2"/>
    <w:rsid w:val="001C18F2"/>
    <w:rsid w:val="001C19CE"/>
    <w:rsid w:val="001C1CB4"/>
    <w:rsid w:val="001C2491"/>
    <w:rsid w:val="001C2C5F"/>
    <w:rsid w:val="001C32DA"/>
    <w:rsid w:val="001C3326"/>
    <w:rsid w:val="001C3529"/>
    <w:rsid w:val="001C3734"/>
    <w:rsid w:val="001C3AC3"/>
    <w:rsid w:val="001C3B8F"/>
    <w:rsid w:val="001C3C2E"/>
    <w:rsid w:val="001C46E8"/>
    <w:rsid w:val="001C4767"/>
    <w:rsid w:val="001C4A1F"/>
    <w:rsid w:val="001C4D8B"/>
    <w:rsid w:val="001C4EA2"/>
    <w:rsid w:val="001C51DC"/>
    <w:rsid w:val="001C53A8"/>
    <w:rsid w:val="001C557D"/>
    <w:rsid w:val="001C59E4"/>
    <w:rsid w:val="001C6C1F"/>
    <w:rsid w:val="001C6CA5"/>
    <w:rsid w:val="001C77D7"/>
    <w:rsid w:val="001C7966"/>
    <w:rsid w:val="001C79CB"/>
    <w:rsid w:val="001D0647"/>
    <w:rsid w:val="001D0810"/>
    <w:rsid w:val="001D140F"/>
    <w:rsid w:val="001D177A"/>
    <w:rsid w:val="001D1CE6"/>
    <w:rsid w:val="001D2B2E"/>
    <w:rsid w:val="001D2BA3"/>
    <w:rsid w:val="001D2E29"/>
    <w:rsid w:val="001D33DC"/>
    <w:rsid w:val="001D35EA"/>
    <w:rsid w:val="001D396F"/>
    <w:rsid w:val="001D47C2"/>
    <w:rsid w:val="001D49BA"/>
    <w:rsid w:val="001D5688"/>
    <w:rsid w:val="001D5848"/>
    <w:rsid w:val="001D5891"/>
    <w:rsid w:val="001D607D"/>
    <w:rsid w:val="001D6A66"/>
    <w:rsid w:val="001D6DE5"/>
    <w:rsid w:val="001D77CA"/>
    <w:rsid w:val="001D7AE7"/>
    <w:rsid w:val="001E099C"/>
    <w:rsid w:val="001E0E97"/>
    <w:rsid w:val="001E143D"/>
    <w:rsid w:val="001E14A6"/>
    <w:rsid w:val="001E1554"/>
    <w:rsid w:val="001E1661"/>
    <w:rsid w:val="001E1CAD"/>
    <w:rsid w:val="001E1E39"/>
    <w:rsid w:val="001E2095"/>
    <w:rsid w:val="001E223A"/>
    <w:rsid w:val="001E2528"/>
    <w:rsid w:val="001E2C75"/>
    <w:rsid w:val="001E2D5C"/>
    <w:rsid w:val="001E2DA3"/>
    <w:rsid w:val="001E2EBD"/>
    <w:rsid w:val="001E3270"/>
    <w:rsid w:val="001E3D8E"/>
    <w:rsid w:val="001E4078"/>
    <w:rsid w:val="001E4A75"/>
    <w:rsid w:val="001E4AD5"/>
    <w:rsid w:val="001E4D49"/>
    <w:rsid w:val="001E5455"/>
    <w:rsid w:val="001E59A1"/>
    <w:rsid w:val="001E59CC"/>
    <w:rsid w:val="001E5EC5"/>
    <w:rsid w:val="001E5FCA"/>
    <w:rsid w:val="001E6120"/>
    <w:rsid w:val="001E61B9"/>
    <w:rsid w:val="001E6EE4"/>
    <w:rsid w:val="001E6F54"/>
    <w:rsid w:val="001E6FA7"/>
    <w:rsid w:val="001E7139"/>
    <w:rsid w:val="001E7679"/>
    <w:rsid w:val="001E7AB9"/>
    <w:rsid w:val="001F01CA"/>
    <w:rsid w:val="001F1510"/>
    <w:rsid w:val="001F1966"/>
    <w:rsid w:val="001F1C65"/>
    <w:rsid w:val="001F2004"/>
    <w:rsid w:val="001F2703"/>
    <w:rsid w:val="001F295B"/>
    <w:rsid w:val="001F2F7B"/>
    <w:rsid w:val="001F3667"/>
    <w:rsid w:val="001F39BB"/>
    <w:rsid w:val="001F3C6A"/>
    <w:rsid w:val="001F47E5"/>
    <w:rsid w:val="001F48D1"/>
    <w:rsid w:val="001F5B32"/>
    <w:rsid w:val="001F5CE8"/>
    <w:rsid w:val="001F5FE7"/>
    <w:rsid w:val="001F6398"/>
    <w:rsid w:val="001F64A8"/>
    <w:rsid w:val="001F6777"/>
    <w:rsid w:val="001F7308"/>
    <w:rsid w:val="001F76A1"/>
    <w:rsid w:val="001F7BE8"/>
    <w:rsid w:val="00200249"/>
    <w:rsid w:val="00200AEC"/>
    <w:rsid w:val="00200E48"/>
    <w:rsid w:val="00201693"/>
    <w:rsid w:val="00201FD2"/>
    <w:rsid w:val="00201FF9"/>
    <w:rsid w:val="00202916"/>
    <w:rsid w:val="00202DBA"/>
    <w:rsid w:val="00202F24"/>
    <w:rsid w:val="00203677"/>
    <w:rsid w:val="00203915"/>
    <w:rsid w:val="002045CC"/>
    <w:rsid w:val="00204E8C"/>
    <w:rsid w:val="00205515"/>
    <w:rsid w:val="00205660"/>
    <w:rsid w:val="00205F84"/>
    <w:rsid w:val="00206DAA"/>
    <w:rsid w:val="00207FC8"/>
    <w:rsid w:val="0021004F"/>
    <w:rsid w:val="002102A3"/>
    <w:rsid w:val="00210400"/>
    <w:rsid w:val="00210A14"/>
    <w:rsid w:val="00210B9F"/>
    <w:rsid w:val="00211934"/>
    <w:rsid w:val="00211939"/>
    <w:rsid w:val="00211E63"/>
    <w:rsid w:val="00212411"/>
    <w:rsid w:val="00212ADE"/>
    <w:rsid w:val="00212BC6"/>
    <w:rsid w:val="002132F2"/>
    <w:rsid w:val="002149C8"/>
    <w:rsid w:val="00214EEE"/>
    <w:rsid w:val="00215A4A"/>
    <w:rsid w:val="0021658C"/>
    <w:rsid w:val="002165D6"/>
    <w:rsid w:val="002172CF"/>
    <w:rsid w:val="00217CC4"/>
    <w:rsid w:val="00220A1B"/>
    <w:rsid w:val="00221075"/>
    <w:rsid w:val="0022205B"/>
    <w:rsid w:val="0022216E"/>
    <w:rsid w:val="0022240D"/>
    <w:rsid w:val="002241F4"/>
    <w:rsid w:val="002248EC"/>
    <w:rsid w:val="00224ED2"/>
    <w:rsid w:val="00225EDA"/>
    <w:rsid w:val="00225FDE"/>
    <w:rsid w:val="00226480"/>
    <w:rsid w:val="002270CD"/>
    <w:rsid w:val="00227945"/>
    <w:rsid w:val="00227BCF"/>
    <w:rsid w:val="00227D67"/>
    <w:rsid w:val="00227F28"/>
    <w:rsid w:val="002304F7"/>
    <w:rsid w:val="0023095E"/>
    <w:rsid w:val="00231272"/>
    <w:rsid w:val="002313B4"/>
    <w:rsid w:val="00231641"/>
    <w:rsid w:val="00231B9B"/>
    <w:rsid w:val="0023248D"/>
    <w:rsid w:val="002331B3"/>
    <w:rsid w:val="002347F3"/>
    <w:rsid w:val="0023499D"/>
    <w:rsid w:val="002349F3"/>
    <w:rsid w:val="00235409"/>
    <w:rsid w:val="002357FD"/>
    <w:rsid w:val="00235869"/>
    <w:rsid w:val="002366A4"/>
    <w:rsid w:val="00236A99"/>
    <w:rsid w:val="00236F04"/>
    <w:rsid w:val="00236F2A"/>
    <w:rsid w:val="002373E7"/>
    <w:rsid w:val="002374D5"/>
    <w:rsid w:val="0023755D"/>
    <w:rsid w:val="00237C41"/>
    <w:rsid w:val="002400AB"/>
    <w:rsid w:val="0024070F"/>
    <w:rsid w:val="00240A6D"/>
    <w:rsid w:val="00241DDA"/>
    <w:rsid w:val="0024202E"/>
    <w:rsid w:val="00242716"/>
    <w:rsid w:val="00242F56"/>
    <w:rsid w:val="002430F3"/>
    <w:rsid w:val="00243AE5"/>
    <w:rsid w:val="00244747"/>
    <w:rsid w:val="002447A6"/>
    <w:rsid w:val="00245281"/>
    <w:rsid w:val="00245BE0"/>
    <w:rsid w:val="00245E24"/>
    <w:rsid w:val="00245EB8"/>
    <w:rsid w:val="00246399"/>
    <w:rsid w:val="00246481"/>
    <w:rsid w:val="002471A2"/>
    <w:rsid w:val="002471F0"/>
    <w:rsid w:val="00247307"/>
    <w:rsid w:val="00247CC8"/>
    <w:rsid w:val="00247FFA"/>
    <w:rsid w:val="00250AB8"/>
    <w:rsid w:val="002514C6"/>
    <w:rsid w:val="00251526"/>
    <w:rsid w:val="002518C7"/>
    <w:rsid w:val="00252205"/>
    <w:rsid w:val="002527E2"/>
    <w:rsid w:val="00252A08"/>
    <w:rsid w:val="002530F6"/>
    <w:rsid w:val="00253905"/>
    <w:rsid w:val="00253B41"/>
    <w:rsid w:val="00253B6D"/>
    <w:rsid w:val="00254175"/>
    <w:rsid w:val="00254980"/>
    <w:rsid w:val="00254EE8"/>
    <w:rsid w:val="00254FA3"/>
    <w:rsid w:val="00255238"/>
    <w:rsid w:val="0025583E"/>
    <w:rsid w:val="0025631C"/>
    <w:rsid w:val="00256D6F"/>
    <w:rsid w:val="00257265"/>
    <w:rsid w:val="00257826"/>
    <w:rsid w:val="0026021A"/>
    <w:rsid w:val="00260797"/>
    <w:rsid w:val="00260FFC"/>
    <w:rsid w:val="00261F7C"/>
    <w:rsid w:val="00262061"/>
    <w:rsid w:val="002626A9"/>
    <w:rsid w:val="0026302E"/>
    <w:rsid w:val="00263745"/>
    <w:rsid w:val="002649E6"/>
    <w:rsid w:val="00265098"/>
    <w:rsid w:val="002655D9"/>
    <w:rsid w:val="0026570D"/>
    <w:rsid w:val="00266216"/>
    <w:rsid w:val="0026672A"/>
    <w:rsid w:val="00266EEF"/>
    <w:rsid w:val="00266FBE"/>
    <w:rsid w:val="00270003"/>
    <w:rsid w:val="002701FE"/>
    <w:rsid w:val="00270416"/>
    <w:rsid w:val="00270490"/>
    <w:rsid w:val="00270834"/>
    <w:rsid w:val="002708E9"/>
    <w:rsid w:val="00270BDB"/>
    <w:rsid w:val="00270BFE"/>
    <w:rsid w:val="00270F73"/>
    <w:rsid w:val="00271173"/>
    <w:rsid w:val="00271768"/>
    <w:rsid w:val="00271A3A"/>
    <w:rsid w:val="00271BFC"/>
    <w:rsid w:val="00271D1E"/>
    <w:rsid w:val="00271D83"/>
    <w:rsid w:val="002723B0"/>
    <w:rsid w:val="0027252D"/>
    <w:rsid w:val="00272AA4"/>
    <w:rsid w:val="00273193"/>
    <w:rsid w:val="00273CEA"/>
    <w:rsid w:val="00274309"/>
    <w:rsid w:val="00274A48"/>
    <w:rsid w:val="00274A9C"/>
    <w:rsid w:val="00274D2D"/>
    <w:rsid w:val="002755F6"/>
    <w:rsid w:val="00275E6F"/>
    <w:rsid w:val="00276003"/>
    <w:rsid w:val="00276B63"/>
    <w:rsid w:val="00276E80"/>
    <w:rsid w:val="00277573"/>
    <w:rsid w:val="0028080F"/>
    <w:rsid w:val="00280969"/>
    <w:rsid w:val="00280CFA"/>
    <w:rsid w:val="002811F6"/>
    <w:rsid w:val="00281AFF"/>
    <w:rsid w:val="00281E03"/>
    <w:rsid w:val="00281F57"/>
    <w:rsid w:val="00281FF5"/>
    <w:rsid w:val="00282443"/>
    <w:rsid w:val="00282B70"/>
    <w:rsid w:val="00283467"/>
    <w:rsid w:val="00283FA7"/>
    <w:rsid w:val="0028420C"/>
    <w:rsid w:val="0028484E"/>
    <w:rsid w:val="00284A66"/>
    <w:rsid w:val="0028550C"/>
    <w:rsid w:val="0028598F"/>
    <w:rsid w:val="00286084"/>
    <w:rsid w:val="002878C6"/>
    <w:rsid w:val="0029022A"/>
    <w:rsid w:val="0029034F"/>
    <w:rsid w:val="00291AF3"/>
    <w:rsid w:val="00292163"/>
    <w:rsid w:val="0029258D"/>
    <w:rsid w:val="0029258E"/>
    <w:rsid w:val="0029276E"/>
    <w:rsid w:val="00292B7D"/>
    <w:rsid w:val="00292D56"/>
    <w:rsid w:val="00293265"/>
    <w:rsid w:val="00294774"/>
    <w:rsid w:val="00294EF5"/>
    <w:rsid w:val="002958DE"/>
    <w:rsid w:val="00295C29"/>
    <w:rsid w:val="00295C5E"/>
    <w:rsid w:val="00295E4F"/>
    <w:rsid w:val="0029623B"/>
    <w:rsid w:val="00296AD0"/>
    <w:rsid w:val="00296D75"/>
    <w:rsid w:val="00297D9B"/>
    <w:rsid w:val="00297F36"/>
    <w:rsid w:val="002A103C"/>
    <w:rsid w:val="002A127B"/>
    <w:rsid w:val="002A1790"/>
    <w:rsid w:val="002A296D"/>
    <w:rsid w:val="002A2FB8"/>
    <w:rsid w:val="002A2FCD"/>
    <w:rsid w:val="002A38E6"/>
    <w:rsid w:val="002A41BA"/>
    <w:rsid w:val="002A48B8"/>
    <w:rsid w:val="002A4B30"/>
    <w:rsid w:val="002A4B87"/>
    <w:rsid w:val="002A5358"/>
    <w:rsid w:val="002A60C8"/>
    <w:rsid w:val="002A643C"/>
    <w:rsid w:val="002A6D6E"/>
    <w:rsid w:val="002A7696"/>
    <w:rsid w:val="002B0476"/>
    <w:rsid w:val="002B0560"/>
    <w:rsid w:val="002B0BC1"/>
    <w:rsid w:val="002B0E9D"/>
    <w:rsid w:val="002B12FD"/>
    <w:rsid w:val="002B17C6"/>
    <w:rsid w:val="002B1DE9"/>
    <w:rsid w:val="002B1EB9"/>
    <w:rsid w:val="002B221D"/>
    <w:rsid w:val="002B2523"/>
    <w:rsid w:val="002B2860"/>
    <w:rsid w:val="002B2929"/>
    <w:rsid w:val="002B2DD3"/>
    <w:rsid w:val="002B2F3C"/>
    <w:rsid w:val="002B380D"/>
    <w:rsid w:val="002B3E5A"/>
    <w:rsid w:val="002B4772"/>
    <w:rsid w:val="002B4D7A"/>
    <w:rsid w:val="002B55EE"/>
    <w:rsid w:val="002B576B"/>
    <w:rsid w:val="002B5B83"/>
    <w:rsid w:val="002B5DF6"/>
    <w:rsid w:val="002B72C6"/>
    <w:rsid w:val="002B7639"/>
    <w:rsid w:val="002B7AB1"/>
    <w:rsid w:val="002B7B3D"/>
    <w:rsid w:val="002B7DD7"/>
    <w:rsid w:val="002B7F8B"/>
    <w:rsid w:val="002B7FE1"/>
    <w:rsid w:val="002C10C8"/>
    <w:rsid w:val="002C1333"/>
    <w:rsid w:val="002C1572"/>
    <w:rsid w:val="002C16C6"/>
    <w:rsid w:val="002C1A48"/>
    <w:rsid w:val="002C1B0D"/>
    <w:rsid w:val="002C1B4B"/>
    <w:rsid w:val="002C1DFF"/>
    <w:rsid w:val="002C21C0"/>
    <w:rsid w:val="002C21FD"/>
    <w:rsid w:val="002C2A04"/>
    <w:rsid w:val="002C2B14"/>
    <w:rsid w:val="002C2EA1"/>
    <w:rsid w:val="002C3BAE"/>
    <w:rsid w:val="002C3DBA"/>
    <w:rsid w:val="002C3F8D"/>
    <w:rsid w:val="002C4C97"/>
    <w:rsid w:val="002C5553"/>
    <w:rsid w:val="002C5AE2"/>
    <w:rsid w:val="002C5B84"/>
    <w:rsid w:val="002C6203"/>
    <w:rsid w:val="002C6729"/>
    <w:rsid w:val="002C67E8"/>
    <w:rsid w:val="002C6BA4"/>
    <w:rsid w:val="002C6D72"/>
    <w:rsid w:val="002C73F7"/>
    <w:rsid w:val="002C7952"/>
    <w:rsid w:val="002C7B2E"/>
    <w:rsid w:val="002D0446"/>
    <w:rsid w:val="002D122E"/>
    <w:rsid w:val="002D1391"/>
    <w:rsid w:val="002D155D"/>
    <w:rsid w:val="002D17EE"/>
    <w:rsid w:val="002D1E23"/>
    <w:rsid w:val="002D1EBC"/>
    <w:rsid w:val="002D25F9"/>
    <w:rsid w:val="002D2651"/>
    <w:rsid w:val="002D269C"/>
    <w:rsid w:val="002D2CF1"/>
    <w:rsid w:val="002D326B"/>
    <w:rsid w:val="002D337E"/>
    <w:rsid w:val="002D3980"/>
    <w:rsid w:val="002D3A63"/>
    <w:rsid w:val="002D3E32"/>
    <w:rsid w:val="002D4798"/>
    <w:rsid w:val="002D50A6"/>
    <w:rsid w:val="002D54F3"/>
    <w:rsid w:val="002D5C1B"/>
    <w:rsid w:val="002D5E60"/>
    <w:rsid w:val="002D6A4B"/>
    <w:rsid w:val="002D6E8D"/>
    <w:rsid w:val="002D7060"/>
    <w:rsid w:val="002D72C6"/>
    <w:rsid w:val="002D75BF"/>
    <w:rsid w:val="002D7779"/>
    <w:rsid w:val="002D7ACF"/>
    <w:rsid w:val="002E0A90"/>
    <w:rsid w:val="002E1384"/>
    <w:rsid w:val="002E282E"/>
    <w:rsid w:val="002E349C"/>
    <w:rsid w:val="002E4179"/>
    <w:rsid w:val="002E44A6"/>
    <w:rsid w:val="002E4541"/>
    <w:rsid w:val="002E47F2"/>
    <w:rsid w:val="002E5448"/>
    <w:rsid w:val="002E5C5C"/>
    <w:rsid w:val="002E5E9C"/>
    <w:rsid w:val="002E6866"/>
    <w:rsid w:val="002E6F70"/>
    <w:rsid w:val="002E714D"/>
    <w:rsid w:val="002E77BC"/>
    <w:rsid w:val="002F13F8"/>
    <w:rsid w:val="002F1751"/>
    <w:rsid w:val="002F1E6F"/>
    <w:rsid w:val="002F1F29"/>
    <w:rsid w:val="002F22C7"/>
    <w:rsid w:val="002F2618"/>
    <w:rsid w:val="002F2ABB"/>
    <w:rsid w:val="002F2F6D"/>
    <w:rsid w:val="002F36C2"/>
    <w:rsid w:val="002F38C0"/>
    <w:rsid w:val="002F425F"/>
    <w:rsid w:val="002F4CED"/>
    <w:rsid w:val="002F5E20"/>
    <w:rsid w:val="002F668E"/>
    <w:rsid w:val="002F6C20"/>
    <w:rsid w:val="002F71C9"/>
    <w:rsid w:val="002F7CF0"/>
    <w:rsid w:val="0030016F"/>
    <w:rsid w:val="0030049B"/>
    <w:rsid w:val="003010B7"/>
    <w:rsid w:val="0030325F"/>
    <w:rsid w:val="003034A5"/>
    <w:rsid w:val="00303A11"/>
    <w:rsid w:val="00303B04"/>
    <w:rsid w:val="003040D2"/>
    <w:rsid w:val="00304326"/>
    <w:rsid w:val="0030432D"/>
    <w:rsid w:val="00304525"/>
    <w:rsid w:val="003048A7"/>
    <w:rsid w:val="0030496F"/>
    <w:rsid w:val="003053BB"/>
    <w:rsid w:val="00305857"/>
    <w:rsid w:val="00305DC8"/>
    <w:rsid w:val="00305FCA"/>
    <w:rsid w:val="0030631E"/>
    <w:rsid w:val="00306677"/>
    <w:rsid w:val="00306C0A"/>
    <w:rsid w:val="00306F1E"/>
    <w:rsid w:val="00307157"/>
    <w:rsid w:val="00307587"/>
    <w:rsid w:val="003078A9"/>
    <w:rsid w:val="003078F0"/>
    <w:rsid w:val="00310331"/>
    <w:rsid w:val="00310522"/>
    <w:rsid w:val="00310930"/>
    <w:rsid w:val="00310C64"/>
    <w:rsid w:val="0031161E"/>
    <w:rsid w:val="00311B33"/>
    <w:rsid w:val="00311F91"/>
    <w:rsid w:val="0031235A"/>
    <w:rsid w:val="0031237F"/>
    <w:rsid w:val="003126A5"/>
    <w:rsid w:val="00313222"/>
    <w:rsid w:val="003135DE"/>
    <w:rsid w:val="00313D69"/>
    <w:rsid w:val="003141C3"/>
    <w:rsid w:val="00314281"/>
    <w:rsid w:val="0031442C"/>
    <w:rsid w:val="00314BE9"/>
    <w:rsid w:val="00314C62"/>
    <w:rsid w:val="00315220"/>
    <w:rsid w:val="003152E5"/>
    <w:rsid w:val="00315CD7"/>
    <w:rsid w:val="00315EB5"/>
    <w:rsid w:val="0031639F"/>
    <w:rsid w:val="00316B30"/>
    <w:rsid w:val="003174EF"/>
    <w:rsid w:val="00317817"/>
    <w:rsid w:val="00317C7E"/>
    <w:rsid w:val="00320088"/>
    <w:rsid w:val="00320275"/>
    <w:rsid w:val="0032188A"/>
    <w:rsid w:val="00321C59"/>
    <w:rsid w:val="0032244B"/>
    <w:rsid w:val="00322759"/>
    <w:rsid w:val="00322809"/>
    <w:rsid w:val="00322C96"/>
    <w:rsid w:val="00322CBC"/>
    <w:rsid w:val="003234D0"/>
    <w:rsid w:val="00323762"/>
    <w:rsid w:val="00323B92"/>
    <w:rsid w:val="00323FC8"/>
    <w:rsid w:val="003246D2"/>
    <w:rsid w:val="003251D7"/>
    <w:rsid w:val="003253AB"/>
    <w:rsid w:val="003253B8"/>
    <w:rsid w:val="00325793"/>
    <w:rsid w:val="00325854"/>
    <w:rsid w:val="00325D15"/>
    <w:rsid w:val="003260F9"/>
    <w:rsid w:val="00326192"/>
    <w:rsid w:val="00326834"/>
    <w:rsid w:val="00326E47"/>
    <w:rsid w:val="003277DD"/>
    <w:rsid w:val="003279B4"/>
    <w:rsid w:val="00327A35"/>
    <w:rsid w:val="00327A3D"/>
    <w:rsid w:val="00327BAC"/>
    <w:rsid w:val="00327EC9"/>
    <w:rsid w:val="00327F01"/>
    <w:rsid w:val="00330236"/>
    <w:rsid w:val="003304EA"/>
    <w:rsid w:val="0033116B"/>
    <w:rsid w:val="0033152C"/>
    <w:rsid w:val="00331DCA"/>
    <w:rsid w:val="00331DF7"/>
    <w:rsid w:val="00331E62"/>
    <w:rsid w:val="003320E6"/>
    <w:rsid w:val="003326A9"/>
    <w:rsid w:val="00332A32"/>
    <w:rsid w:val="00333B22"/>
    <w:rsid w:val="00334AFB"/>
    <w:rsid w:val="00334F8E"/>
    <w:rsid w:val="0033512D"/>
    <w:rsid w:val="00335157"/>
    <w:rsid w:val="00335189"/>
    <w:rsid w:val="003353AF"/>
    <w:rsid w:val="00337049"/>
    <w:rsid w:val="00337775"/>
    <w:rsid w:val="003405BD"/>
    <w:rsid w:val="00340870"/>
    <w:rsid w:val="003409D7"/>
    <w:rsid w:val="00340F0F"/>
    <w:rsid w:val="0034148F"/>
    <w:rsid w:val="003416B4"/>
    <w:rsid w:val="003418D8"/>
    <w:rsid w:val="00341A93"/>
    <w:rsid w:val="00341AFF"/>
    <w:rsid w:val="00341B63"/>
    <w:rsid w:val="00341EF7"/>
    <w:rsid w:val="00342885"/>
    <w:rsid w:val="00342ABD"/>
    <w:rsid w:val="00343133"/>
    <w:rsid w:val="00343525"/>
    <w:rsid w:val="00344323"/>
    <w:rsid w:val="00344AD3"/>
    <w:rsid w:val="00344CB2"/>
    <w:rsid w:val="003453E9"/>
    <w:rsid w:val="0034668B"/>
    <w:rsid w:val="00346B37"/>
    <w:rsid w:val="003470C7"/>
    <w:rsid w:val="003472C1"/>
    <w:rsid w:val="003478FD"/>
    <w:rsid w:val="00347CF2"/>
    <w:rsid w:val="00347D50"/>
    <w:rsid w:val="00347E1F"/>
    <w:rsid w:val="003504D2"/>
    <w:rsid w:val="0035050E"/>
    <w:rsid w:val="00351394"/>
    <w:rsid w:val="003515E3"/>
    <w:rsid w:val="00352532"/>
    <w:rsid w:val="00352696"/>
    <w:rsid w:val="003526B6"/>
    <w:rsid w:val="003526D4"/>
    <w:rsid w:val="003528E6"/>
    <w:rsid w:val="00353B90"/>
    <w:rsid w:val="00354278"/>
    <w:rsid w:val="00354C48"/>
    <w:rsid w:val="00355660"/>
    <w:rsid w:val="003559D8"/>
    <w:rsid w:val="00355A0D"/>
    <w:rsid w:val="00355A88"/>
    <w:rsid w:val="00356429"/>
    <w:rsid w:val="00356A92"/>
    <w:rsid w:val="00356EAB"/>
    <w:rsid w:val="00356FC1"/>
    <w:rsid w:val="00357370"/>
    <w:rsid w:val="00357775"/>
    <w:rsid w:val="00357995"/>
    <w:rsid w:val="00357A29"/>
    <w:rsid w:val="00357C64"/>
    <w:rsid w:val="00360A04"/>
    <w:rsid w:val="00360A70"/>
    <w:rsid w:val="00360D56"/>
    <w:rsid w:val="00361C1C"/>
    <w:rsid w:val="00361FD3"/>
    <w:rsid w:val="003622C3"/>
    <w:rsid w:val="00362F96"/>
    <w:rsid w:val="0036345D"/>
    <w:rsid w:val="003634F3"/>
    <w:rsid w:val="00363C4D"/>
    <w:rsid w:val="0036434C"/>
    <w:rsid w:val="00364CB1"/>
    <w:rsid w:val="003652FF"/>
    <w:rsid w:val="003655C0"/>
    <w:rsid w:val="00365839"/>
    <w:rsid w:val="00366275"/>
    <w:rsid w:val="003662A2"/>
    <w:rsid w:val="00366ED9"/>
    <w:rsid w:val="00366F88"/>
    <w:rsid w:val="00367158"/>
    <w:rsid w:val="00367B56"/>
    <w:rsid w:val="00367B9D"/>
    <w:rsid w:val="00367C63"/>
    <w:rsid w:val="00367C6D"/>
    <w:rsid w:val="00370CD9"/>
    <w:rsid w:val="00370DF2"/>
    <w:rsid w:val="00371967"/>
    <w:rsid w:val="00371B08"/>
    <w:rsid w:val="00372591"/>
    <w:rsid w:val="00372B52"/>
    <w:rsid w:val="00373410"/>
    <w:rsid w:val="00374103"/>
    <w:rsid w:val="0037478F"/>
    <w:rsid w:val="0037485A"/>
    <w:rsid w:val="00374A5E"/>
    <w:rsid w:val="003750B5"/>
    <w:rsid w:val="003751F5"/>
    <w:rsid w:val="00375567"/>
    <w:rsid w:val="00375D0A"/>
    <w:rsid w:val="00376359"/>
    <w:rsid w:val="00376A0C"/>
    <w:rsid w:val="00376D18"/>
    <w:rsid w:val="0037710F"/>
    <w:rsid w:val="00377554"/>
    <w:rsid w:val="00377B07"/>
    <w:rsid w:val="00377B5E"/>
    <w:rsid w:val="00380009"/>
    <w:rsid w:val="0038001C"/>
    <w:rsid w:val="00380634"/>
    <w:rsid w:val="00380A83"/>
    <w:rsid w:val="00380BAE"/>
    <w:rsid w:val="00380C63"/>
    <w:rsid w:val="00380FC8"/>
    <w:rsid w:val="00381221"/>
    <w:rsid w:val="00381315"/>
    <w:rsid w:val="00381AEA"/>
    <w:rsid w:val="00382AA6"/>
    <w:rsid w:val="00382BF4"/>
    <w:rsid w:val="00383F87"/>
    <w:rsid w:val="00384820"/>
    <w:rsid w:val="00384BCB"/>
    <w:rsid w:val="00384E33"/>
    <w:rsid w:val="003855E9"/>
    <w:rsid w:val="00385E8D"/>
    <w:rsid w:val="00386378"/>
    <w:rsid w:val="003864CE"/>
    <w:rsid w:val="00387733"/>
    <w:rsid w:val="00387F2B"/>
    <w:rsid w:val="0039053A"/>
    <w:rsid w:val="003905A6"/>
    <w:rsid w:val="003906B0"/>
    <w:rsid w:val="00391359"/>
    <w:rsid w:val="0039160E"/>
    <w:rsid w:val="00391E0A"/>
    <w:rsid w:val="003929CF"/>
    <w:rsid w:val="00392A92"/>
    <w:rsid w:val="00393329"/>
    <w:rsid w:val="00393708"/>
    <w:rsid w:val="00393C1E"/>
    <w:rsid w:val="003949FF"/>
    <w:rsid w:val="003968FF"/>
    <w:rsid w:val="00396AEC"/>
    <w:rsid w:val="00396D05"/>
    <w:rsid w:val="00397820"/>
    <w:rsid w:val="00397B91"/>
    <w:rsid w:val="003A07E2"/>
    <w:rsid w:val="003A0BD7"/>
    <w:rsid w:val="003A0CA8"/>
    <w:rsid w:val="003A0DEF"/>
    <w:rsid w:val="003A1616"/>
    <w:rsid w:val="003A1F6A"/>
    <w:rsid w:val="003A2102"/>
    <w:rsid w:val="003A2557"/>
    <w:rsid w:val="003A2617"/>
    <w:rsid w:val="003A2F32"/>
    <w:rsid w:val="003A31F6"/>
    <w:rsid w:val="003A31FD"/>
    <w:rsid w:val="003A320F"/>
    <w:rsid w:val="003A4835"/>
    <w:rsid w:val="003A5613"/>
    <w:rsid w:val="003A5781"/>
    <w:rsid w:val="003A63D2"/>
    <w:rsid w:val="003A6730"/>
    <w:rsid w:val="003A691B"/>
    <w:rsid w:val="003A6D8E"/>
    <w:rsid w:val="003A6EAE"/>
    <w:rsid w:val="003A723B"/>
    <w:rsid w:val="003A7DCE"/>
    <w:rsid w:val="003B063B"/>
    <w:rsid w:val="003B121F"/>
    <w:rsid w:val="003B147E"/>
    <w:rsid w:val="003B17F2"/>
    <w:rsid w:val="003B1F3C"/>
    <w:rsid w:val="003B1FBC"/>
    <w:rsid w:val="003B2715"/>
    <w:rsid w:val="003B278E"/>
    <w:rsid w:val="003B2A44"/>
    <w:rsid w:val="003B2A6B"/>
    <w:rsid w:val="003B2A75"/>
    <w:rsid w:val="003B2C9B"/>
    <w:rsid w:val="003B2D40"/>
    <w:rsid w:val="003B39FB"/>
    <w:rsid w:val="003B3CA9"/>
    <w:rsid w:val="003B443B"/>
    <w:rsid w:val="003B446D"/>
    <w:rsid w:val="003B4ABD"/>
    <w:rsid w:val="003B4E3B"/>
    <w:rsid w:val="003B510F"/>
    <w:rsid w:val="003B51F2"/>
    <w:rsid w:val="003B67EC"/>
    <w:rsid w:val="003B687F"/>
    <w:rsid w:val="003B75DA"/>
    <w:rsid w:val="003B7CF5"/>
    <w:rsid w:val="003C03D4"/>
    <w:rsid w:val="003C051E"/>
    <w:rsid w:val="003C06B6"/>
    <w:rsid w:val="003C096D"/>
    <w:rsid w:val="003C103F"/>
    <w:rsid w:val="003C10F2"/>
    <w:rsid w:val="003C18B5"/>
    <w:rsid w:val="003C1A55"/>
    <w:rsid w:val="003C1B90"/>
    <w:rsid w:val="003C200B"/>
    <w:rsid w:val="003C2A69"/>
    <w:rsid w:val="003C3276"/>
    <w:rsid w:val="003C34F6"/>
    <w:rsid w:val="003C358F"/>
    <w:rsid w:val="003C3775"/>
    <w:rsid w:val="003C3DC2"/>
    <w:rsid w:val="003C4165"/>
    <w:rsid w:val="003C4583"/>
    <w:rsid w:val="003C47FA"/>
    <w:rsid w:val="003C4968"/>
    <w:rsid w:val="003C4A34"/>
    <w:rsid w:val="003C4AB1"/>
    <w:rsid w:val="003C4AB8"/>
    <w:rsid w:val="003C4ABE"/>
    <w:rsid w:val="003C51F1"/>
    <w:rsid w:val="003C5385"/>
    <w:rsid w:val="003C5E0B"/>
    <w:rsid w:val="003C5E0E"/>
    <w:rsid w:val="003C6419"/>
    <w:rsid w:val="003C6934"/>
    <w:rsid w:val="003C6BAE"/>
    <w:rsid w:val="003C7240"/>
    <w:rsid w:val="003C7A0D"/>
    <w:rsid w:val="003C7A2D"/>
    <w:rsid w:val="003D0927"/>
    <w:rsid w:val="003D101B"/>
    <w:rsid w:val="003D152E"/>
    <w:rsid w:val="003D2CA4"/>
    <w:rsid w:val="003D3AB8"/>
    <w:rsid w:val="003D3D59"/>
    <w:rsid w:val="003D422D"/>
    <w:rsid w:val="003D4C4A"/>
    <w:rsid w:val="003D4E8F"/>
    <w:rsid w:val="003D523F"/>
    <w:rsid w:val="003D5BF8"/>
    <w:rsid w:val="003D6099"/>
    <w:rsid w:val="003D6E87"/>
    <w:rsid w:val="003D7261"/>
    <w:rsid w:val="003D7586"/>
    <w:rsid w:val="003D7903"/>
    <w:rsid w:val="003D7CB7"/>
    <w:rsid w:val="003E0D48"/>
    <w:rsid w:val="003E13CB"/>
    <w:rsid w:val="003E1717"/>
    <w:rsid w:val="003E18B7"/>
    <w:rsid w:val="003E2587"/>
    <w:rsid w:val="003E2A7A"/>
    <w:rsid w:val="003E2E48"/>
    <w:rsid w:val="003E3064"/>
    <w:rsid w:val="003E313B"/>
    <w:rsid w:val="003E3470"/>
    <w:rsid w:val="003E378D"/>
    <w:rsid w:val="003E4D0F"/>
    <w:rsid w:val="003E4E54"/>
    <w:rsid w:val="003E5498"/>
    <w:rsid w:val="003E57F7"/>
    <w:rsid w:val="003E5BFD"/>
    <w:rsid w:val="003E6F72"/>
    <w:rsid w:val="003E7137"/>
    <w:rsid w:val="003E7740"/>
    <w:rsid w:val="003E7AC8"/>
    <w:rsid w:val="003E7C74"/>
    <w:rsid w:val="003E7FDE"/>
    <w:rsid w:val="003F027E"/>
    <w:rsid w:val="003F05A4"/>
    <w:rsid w:val="003F0852"/>
    <w:rsid w:val="003F0A45"/>
    <w:rsid w:val="003F0F08"/>
    <w:rsid w:val="003F15D6"/>
    <w:rsid w:val="003F17BB"/>
    <w:rsid w:val="003F1D43"/>
    <w:rsid w:val="003F257F"/>
    <w:rsid w:val="003F2B52"/>
    <w:rsid w:val="003F2E1E"/>
    <w:rsid w:val="003F339B"/>
    <w:rsid w:val="003F3A67"/>
    <w:rsid w:val="003F3F21"/>
    <w:rsid w:val="003F401F"/>
    <w:rsid w:val="003F442F"/>
    <w:rsid w:val="003F591F"/>
    <w:rsid w:val="003F6C17"/>
    <w:rsid w:val="003F6E8E"/>
    <w:rsid w:val="003F717A"/>
    <w:rsid w:val="003F73E3"/>
    <w:rsid w:val="003F7B99"/>
    <w:rsid w:val="003F7FB8"/>
    <w:rsid w:val="00400CC0"/>
    <w:rsid w:val="00400E2C"/>
    <w:rsid w:val="00401B66"/>
    <w:rsid w:val="00401D7D"/>
    <w:rsid w:val="00401EB3"/>
    <w:rsid w:val="004023C6"/>
    <w:rsid w:val="00403579"/>
    <w:rsid w:val="0040396C"/>
    <w:rsid w:val="00403CAD"/>
    <w:rsid w:val="00403CDA"/>
    <w:rsid w:val="00403F97"/>
    <w:rsid w:val="00404A9C"/>
    <w:rsid w:val="00404AAB"/>
    <w:rsid w:val="00404FCC"/>
    <w:rsid w:val="00405D8B"/>
    <w:rsid w:val="00406116"/>
    <w:rsid w:val="004061E4"/>
    <w:rsid w:val="00406257"/>
    <w:rsid w:val="004069BF"/>
    <w:rsid w:val="0040712A"/>
    <w:rsid w:val="00407226"/>
    <w:rsid w:val="004079BB"/>
    <w:rsid w:val="00407A13"/>
    <w:rsid w:val="00407D4D"/>
    <w:rsid w:val="00407DD1"/>
    <w:rsid w:val="00407EEB"/>
    <w:rsid w:val="00410444"/>
    <w:rsid w:val="004105DB"/>
    <w:rsid w:val="0041090C"/>
    <w:rsid w:val="00410BD4"/>
    <w:rsid w:val="00411235"/>
    <w:rsid w:val="00411511"/>
    <w:rsid w:val="004116DD"/>
    <w:rsid w:val="004118A0"/>
    <w:rsid w:val="00412CBA"/>
    <w:rsid w:val="00412DAE"/>
    <w:rsid w:val="0041353B"/>
    <w:rsid w:val="00413C66"/>
    <w:rsid w:val="004142AF"/>
    <w:rsid w:val="0041437F"/>
    <w:rsid w:val="004144A7"/>
    <w:rsid w:val="00415078"/>
    <w:rsid w:val="00415BC1"/>
    <w:rsid w:val="00415C9C"/>
    <w:rsid w:val="0041610C"/>
    <w:rsid w:val="004165E5"/>
    <w:rsid w:val="004174C5"/>
    <w:rsid w:val="0042064C"/>
    <w:rsid w:val="0042096D"/>
    <w:rsid w:val="00420F38"/>
    <w:rsid w:val="004210F3"/>
    <w:rsid w:val="00421331"/>
    <w:rsid w:val="004216AD"/>
    <w:rsid w:val="004219B3"/>
    <w:rsid w:val="00421D55"/>
    <w:rsid w:val="00422B51"/>
    <w:rsid w:val="00423004"/>
    <w:rsid w:val="004232BA"/>
    <w:rsid w:val="00424712"/>
    <w:rsid w:val="00424EB7"/>
    <w:rsid w:val="00424F70"/>
    <w:rsid w:val="00425260"/>
    <w:rsid w:val="0042528B"/>
    <w:rsid w:val="00425701"/>
    <w:rsid w:val="00425979"/>
    <w:rsid w:val="0042606F"/>
    <w:rsid w:val="00426900"/>
    <w:rsid w:val="00426C37"/>
    <w:rsid w:val="00426E83"/>
    <w:rsid w:val="00426EF9"/>
    <w:rsid w:val="004274CA"/>
    <w:rsid w:val="0042763B"/>
    <w:rsid w:val="0042790B"/>
    <w:rsid w:val="00427E36"/>
    <w:rsid w:val="00430BAE"/>
    <w:rsid w:val="00430D5C"/>
    <w:rsid w:val="00430F82"/>
    <w:rsid w:val="004310DE"/>
    <w:rsid w:val="00431394"/>
    <w:rsid w:val="004315C9"/>
    <w:rsid w:val="004320DA"/>
    <w:rsid w:val="00432109"/>
    <w:rsid w:val="0043225F"/>
    <w:rsid w:val="00432831"/>
    <w:rsid w:val="004331E1"/>
    <w:rsid w:val="004334EA"/>
    <w:rsid w:val="004336A3"/>
    <w:rsid w:val="0043393F"/>
    <w:rsid w:val="0043485F"/>
    <w:rsid w:val="004355AE"/>
    <w:rsid w:val="0043694B"/>
    <w:rsid w:val="00436B8B"/>
    <w:rsid w:val="0043799B"/>
    <w:rsid w:val="004405DF"/>
    <w:rsid w:val="00441467"/>
    <w:rsid w:val="0044194A"/>
    <w:rsid w:val="00441C7E"/>
    <w:rsid w:val="00441F5C"/>
    <w:rsid w:val="0044236A"/>
    <w:rsid w:val="00442A17"/>
    <w:rsid w:val="004430F1"/>
    <w:rsid w:val="00443BDB"/>
    <w:rsid w:val="00444045"/>
    <w:rsid w:val="004441F1"/>
    <w:rsid w:val="0044420D"/>
    <w:rsid w:val="00444A3D"/>
    <w:rsid w:val="00444C76"/>
    <w:rsid w:val="00444E35"/>
    <w:rsid w:val="00445D91"/>
    <w:rsid w:val="00446276"/>
    <w:rsid w:val="004463A5"/>
    <w:rsid w:val="00446658"/>
    <w:rsid w:val="00446D02"/>
    <w:rsid w:val="00447FFE"/>
    <w:rsid w:val="004501F9"/>
    <w:rsid w:val="0045186F"/>
    <w:rsid w:val="00451FBE"/>
    <w:rsid w:val="00453D5D"/>
    <w:rsid w:val="00453DAB"/>
    <w:rsid w:val="00454288"/>
    <w:rsid w:val="00454846"/>
    <w:rsid w:val="0045492C"/>
    <w:rsid w:val="00454BB6"/>
    <w:rsid w:val="00454C5F"/>
    <w:rsid w:val="004554CF"/>
    <w:rsid w:val="00455647"/>
    <w:rsid w:val="00456EE0"/>
    <w:rsid w:val="00457039"/>
    <w:rsid w:val="004571FA"/>
    <w:rsid w:val="00457319"/>
    <w:rsid w:val="004576D0"/>
    <w:rsid w:val="004579A7"/>
    <w:rsid w:val="0046041B"/>
    <w:rsid w:val="004604E6"/>
    <w:rsid w:val="00460B8D"/>
    <w:rsid w:val="00460EC7"/>
    <w:rsid w:val="00461142"/>
    <w:rsid w:val="00461455"/>
    <w:rsid w:val="004614FA"/>
    <w:rsid w:val="00461905"/>
    <w:rsid w:val="004619DB"/>
    <w:rsid w:val="00461E9D"/>
    <w:rsid w:val="00461F02"/>
    <w:rsid w:val="00461FE2"/>
    <w:rsid w:val="004626D9"/>
    <w:rsid w:val="00462717"/>
    <w:rsid w:val="00462AFF"/>
    <w:rsid w:val="00462CED"/>
    <w:rsid w:val="004635E3"/>
    <w:rsid w:val="004636E1"/>
    <w:rsid w:val="00463751"/>
    <w:rsid w:val="004637EC"/>
    <w:rsid w:val="00465A9A"/>
    <w:rsid w:val="00465B62"/>
    <w:rsid w:val="00465E22"/>
    <w:rsid w:val="00466175"/>
    <w:rsid w:val="00466A85"/>
    <w:rsid w:val="00466AA3"/>
    <w:rsid w:val="00466CF9"/>
    <w:rsid w:val="0046772B"/>
    <w:rsid w:val="00470B5F"/>
    <w:rsid w:val="004710C4"/>
    <w:rsid w:val="00471991"/>
    <w:rsid w:val="00471ADA"/>
    <w:rsid w:val="00471D0C"/>
    <w:rsid w:val="004725DE"/>
    <w:rsid w:val="00472FFB"/>
    <w:rsid w:val="0047345C"/>
    <w:rsid w:val="00473806"/>
    <w:rsid w:val="00473A23"/>
    <w:rsid w:val="00473AA3"/>
    <w:rsid w:val="00475345"/>
    <w:rsid w:val="00475CAB"/>
    <w:rsid w:val="00475D65"/>
    <w:rsid w:val="00475EF3"/>
    <w:rsid w:val="0047621C"/>
    <w:rsid w:val="0047639D"/>
    <w:rsid w:val="00476734"/>
    <w:rsid w:val="00476E8D"/>
    <w:rsid w:val="00477AA9"/>
    <w:rsid w:val="00480207"/>
    <w:rsid w:val="0048047D"/>
    <w:rsid w:val="00480C35"/>
    <w:rsid w:val="00480F2E"/>
    <w:rsid w:val="00482268"/>
    <w:rsid w:val="00482390"/>
    <w:rsid w:val="004825C9"/>
    <w:rsid w:val="00483390"/>
    <w:rsid w:val="0048351A"/>
    <w:rsid w:val="004837CF"/>
    <w:rsid w:val="00483B84"/>
    <w:rsid w:val="00484AAD"/>
    <w:rsid w:val="0048571A"/>
    <w:rsid w:val="004858CE"/>
    <w:rsid w:val="00486236"/>
    <w:rsid w:val="004863FB"/>
    <w:rsid w:val="00486B7D"/>
    <w:rsid w:val="0048743E"/>
    <w:rsid w:val="00487FB8"/>
    <w:rsid w:val="00487FD7"/>
    <w:rsid w:val="00490958"/>
    <w:rsid w:val="00491456"/>
    <w:rsid w:val="00491677"/>
    <w:rsid w:val="00491BFC"/>
    <w:rsid w:val="00492071"/>
    <w:rsid w:val="004920D8"/>
    <w:rsid w:val="00492341"/>
    <w:rsid w:val="00492583"/>
    <w:rsid w:val="00492957"/>
    <w:rsid w:val="00492BFC"/>
    <w:rsid w:val="004936E6"/>
    <w:rsid w:val="00493A01"/>
    <w:rsid w:val="004942A4"/>
    <w:rsid w:val="00494DE9"/>
    <w:rsid w:val="00494FA8"/>
    <w:rsid w:val="00495012"/>
    <w:rsid w:val="0049511A"/>
    <w:rsid w:val="00495D69"/>
    <w:rsid w:val="004966AB"/>
    <w:rsid w:val="00496AED"/>
    <w:rsid w:val="00496CFE"/>
    <w:rsid w:val="00497750"/>
    <w:rsid w:val="00497A43"/>
    <w:rsid w:val="004A0578"/>
    <w:rsid w:val="004A0882"/>
    <w:rsid w:val="004A0A04"/>
    <w:rsid w:val="004A0C23"/>
    <w:rsid w:val="004A1CFF"/>
    <w:rsid w:val="004A1D6B"/>
    <w:rsid w:val="004A24D7"/>
    <w:rsid w:val="004A27AA"/>
    <w:rsid w:val="004A2935"/>
    <w:rsid w:val="004A2D4F"/>
    <w:rsid w:val="004A3302"/>
    <w:rsid w:val="004A359A"/>
    <w:rsid w:val="004A3BDD"/>
    <w:rsid w:val="004A412D"/>
    <w:rsid w:val="004A4199"/>
    <w:rsid w:val="004A4651"/>
    <w:rsid w:val="004A4919"/>
    <w:rsid w:val="004A4A7E"/>
    <w:rsid w:val="004A4A9C"/>
    <w:rsid w:val="004A5497"/>
    <w:rsid w:val="004A5D74"/>
    <w:rsid w:val="004A5F50"/>
    <w:rsid w:val="004A61A7"/>
    <w:rsid w:val="004A68D3"/>
    <w:rsid w:val="004A71D3"/>
    <w:rsid w:val="004A74FF"/>
    <w:rsid w:val="004B0079"/>
    <w:rsid w:val="004B00F6"/>
    <w:rsid w:val="004B04E9"/>
    <w:rsid w:val="004B0507"/>
    <w:rsid w:val="004B06A7"/>
    <w:rsid w:val="004B10D3"/>
    <w:rsid w:val="004B1888"/>
    <w:rsid w:val="004B1C05"/>
    <w:rsid w:val="004B1C97"/>
    <w:rsid w:val="004B1DB2"/>
    <w:rsid w:val="004B1DC7"/>
    <w:rsid w:val="004B21B8"/>
    <w:rsid w:val="004B2240"/>
    <w:rsid w:val="004B2C71"/>
    <w:rsid w:val="004B2D07"/>
    <w:rsid w:val="004B2E42"/>
    <w:rsid w:val="004B30A0"/>
    <w:rsid w:val="004B3667"/>
    <w:rsid w:val="004B38B8"/>
    <w:rsid w:val="004B3B3E"/>
    <w:rsid w:val="004B3D71"/>
    <w:rsid w:val="004B45EC"/>
    <w:rsid w:val="004B47C3"/>
    <w:rsid w:val="004B555F"/>
    <w:rsid w:val="004B5E19"/>
    <w:rsid w:val="004B63A0"/>
    <w:rsid w:val="004B66F2"/>
    <w:rsid w:val="004B6C9D"/>
    <w:rsid w:val="004B7B33"/>
    <w:rsid w:val="004C00D3"/>
    <w:rsid w:val="004C0CBB"/>
    <w:rsid w:val="004C150B"/>
    <w:rsid w:val="004C1545"/>
    <w:rsid w:val="004C1B8F"/>
    <w:rsid w:val="004C2318"/>
    <w:rsid w:val="004C23C8"/>
    <w:rsid w:val="004C27A6"/>
    <w:rsid w:val="004C2DA7"/>
    <w:rsid w:val="004C31C2"/>
    <w:rsid w:val="004C3297"/>
    <w:rsid w:val="004C32B2"/>
    <w:rsid w:val="004C3D71"/>
    <w:rsid w:val="004C4772"/>
    <w:rsid w:val="004C4C49"/>
    <w:rsid w:val="004C4E30"/>
    <w:rsid w:val="004C4E50"/>
    <w:rsid w:val="004C5FAC"/>
    <w:rsid w:val="004D0BE8"/>
    <w:rsid w:val="004D12EE"/>
    <w:rsid w:val="004D22E3"/>
    <w:rsid w:val="004D259C"/>
    <w:rsid w:val="004D3932"/>
    <w:rsid w:val="004D3A6A"/>
    <w:rsid w:val="004D3C87"/>
    <w:rsid w:val="004D424C"/>
    <w:rsid w:val="004D4272"/>
    <w:rsid w:val="004D4307"/>
    <w:rsid w:val="004D4AD8"/>
    <w:rsid w:val="004D52B5"/>
    <w:rsid w:val="004D67CF"/>
    <w:rsid w:val="004D68DD"/>
    <w:rsid w:val="004D6C6D"/>
    <w:rsid w:val="004D6F50"/>
    <w:rsid w:val="004D6FC8"/>
    <w:rsid w:val="004D79B8"/>
    <w:rsid w:val="004D7FA4"/>
    <w:rsid w:val="004E0A69"/>
    <w:rsid w:val="004E19B7"/>
    <w:rsid w:val="004E1AE2"/>
    <w:rsid w:val="004E24B0"/>
    <w:rsid w:val="004E25FF"/>
    <w:rsid w:val="004E3360"/>
    <w:rsid w:val="004E352E"/>
    <w:rsid w:val="004E35A6"/>
    <w:rsid w:val="004E35C6"/>
    <w:rsid w:val="004E3923"/>
    <w:rsid w:val="004E3E84"/>
    <w:rsid w:val="004E4D47"/>
    <w:rsid w:val="004E4FD3"/>
    <w:rsid w:val="004E5387"/>
    <w:rsid w:val="004E5A68"/>
    <w:rsid w:val="004E632F"/>
    <w:rsid w:val="004E6D2A"/>
    <w:rsid w:val="004E6EB3"/>
    <w:rsid w:val="004E71D0"/>
    <w:rsid w:val="004E7DD6"/>
    <w:rsid w:val="004E7FA6"/>
    <w:rsid w:val="004F04C5"/>
    <w:rsid w:val="004F10B1"/>
    <w:rsid w:val="004F1659"/>
    <w:rsid w:val="004F1977"/>
    <w:rsid w:val="004F1C2C"/>
    <w:rsid w:val="004F2F70"/>
    <w:rsid w:val="004F2FA3"/>
    <w:rsid w:val="004F3B6E"/>
    <w:rsid w:val="004F3D63"/>
    <w:rsid w:val="004F4122"/>
    <w:rsid w:val="004F42C7"/>
    <w:rsid w:val="004F4D23"/>
    <w:rsid w:val="004F5185"/>
    <w:rsid w:val="004F522E"/>
    <w:rsid w:val="004F5236"/>
    <w:rsid w:val="004F546D"/>
    <w:rsid w:val="004F7074"/>
    <w:rsid w:val="004F70EF"/>
    <w:rsid w:val="004F7150"/>
    <w:rsid w:val="004F71DD"/>
    <w:rsid w:val="004F73C2"/>
    <w:rsid w:val="004F7DFF"/>
    <w:rsid w:val="00500299"/>
    <w:rsid w:val="00500488"/>
    <w:rsid w:val="005005E0"/>
    <w:rsid w:val="005009AD"/>
    <w:rsid w:val="00500C42"/>
    <w:rsid w:val="00500D0E"/>
    <w:rsid w:val="00500EA6"/>
    <w:rsid w:val="0050108A"/>
    <w:rsid w:val="00501AD8"/>
    <w:rsid w:val="005025E0"/>
    <w:rsid w:val="0050326A"/>
    <w:rsid w:val="0050399F"/>
    <w:rsid w:val="0050410D"/>
    <w:rsid w:val="005042B2"/>
    <w:rsid w:val="005042F9"/>
    <w:rsid w:val="00504685"/>
    <w:rsid w:val="00504F3E"/>
    <w:rsid w:val="00505000"/>
    <w:rsid w:val="00505885"/>
    <w:rsid w:val="00505AA9"/>
    <w:rsid w:val="0050622A"/>
    <w:rsid w:val="005063B4"/>
    <w:rsid w:val="00506414"/>
    <w:rsid w:val="005064CC"/>
    <w:rsid w:val="00507097"/>
    <w:rsid w:val="005071E4"/>
    <w:rsid w:val="00507D84"/>
    <w:rsid w:val="00510427"/>
    <w:rsid w:val="00510FE8"/>
    <w:rsid w:val="0051164B"/>
    <w:rsid w:val="00511EF8"/>
    <w:rsid w:val="00512059"/>
    <w:rsid w:val="0051218F"/>
    <w:rsid w:val="005121C4"/>
    <w:rsid w:val="0051260C"/>
    <w:rsid w:val="00512ABE"/>
    <w:rsid w:val="00512B74"/>
    <w:rsid w:val="00512BB9"/>
    <w:rsid w:val="00512FF1"/>
    <w:rsid w:val="0051300A"/>
    <w:rsid w:val="00513591"/>
    <w:rsid w:val="005136ED"/>
    <w:rsid w:val="00513DC2"/>
    <w:rsid w:val="00515430"/>
    <w:rsid w:val="0051568C"/>
    <w:rsid w:val="00515A1C"/>
    <w:rsid w:val="00515D69"/>
    <w:rsid w:val="0051603E"/>
    <w:rsid w:val="00516C3D"/>
    <w:rsid w:val="005172D3"/>
    <w:rsid w:val="005206A6"/>
    <w:rsid w:val="005207FF"/>
    <w:rsid w:val="00520B8E"/>
    <w:rsid w:val="00520F54"/>
    <w:rsid w:val="00521CE5"/>
    <w:rsid w:val="00521F63"/>
    <w:rsid w:val="00522347"/>
    <w:rsid w:val="0052312C"/>
    <w:rsid w:val="0052325A"/>
    <w:rsid w:val="0052373F"/>
    <w:rsid w:val="00523E6C"/>
    <w:rsid w:val="00524A48"/>
    <w:rsid w:val="00524E44"/>
    <w:rsid w:val="00525087"/>
    <w:rsid w:val="00525B41"/>
    <w:rsid w:val="00525BB2"/>
    <w:rsid w:val="00526620"/>
    <w:rsid w:val="00526684"/>
    <w:rsid w:val="005267F5"/>
    <w:rsid w:val="00527111"/>
    <w:rsid w:val="00527263"/>
    <w:rsid w:val="00527871"/>
    <w:rsid w:val="00527B86"/>
    <w:rsid w:val="00527E06"/>
    <w:rsid w:val="0053047B"/>
    <w:rsid w:val="00530EBD"/>
    <w:rsid w:val="0053206F"/>
    <w:rsid w:val="00532787"/>
    <w:rsid w:val="00532C6A"/>
    <w:rsid w:val="00533017"/>
    <w:rsid w:val="005332DF"/>
    <w:rsid w:val="00533823"/>
    <w:rsid w:val="00533C02"/>
    <w:rsid w:val="00533C06"/>
    <w:rsid w:val="00533FA6"/>
    <w:rsid w:val="00534127"/>
    <w:rsid w:val="0053421A"/>
    <w:rsid w:val="005342EE"/>
    <w:rsid w:val="00534817"/>
    <w:rsid w:val="00534F54"/>
    <w:rsid w:val="00535063"/>
    <w:rsid w:val="00535E07"/>
    <w:rsid w:val="00535FDC"/>
    <w:rsid w:val="00536710"/>
    <w:rsid w:val="0053712F"/>
    <w:rsid w:val="00537F66"/>
    <w:rsid w:val="0054072C"/>
    <w:rsid w:val="00540D24"/>
    <w:rsid w:val="00540E1B"/>
    <w:rsid w:val="00540F68"/>
    <w:rsid w:val="0054108C"/>
    <w:rsid w:val="00541191"/>
    <w:rsid w:val="00541523"/>
    <w:rsid w:val="00542191"/>
    <w:rsid w:val="00542618"/>
    <w:rsid w:val="005426D2"/>
    <w:rsid w:val="00542DFE"/>
    <w:rsid w:val="005431B9"/>
    <w:rsid w:val="00543A40"/>
    <w:rsid w:val="005440D0"/>
    <w:rsid w:val="005443CC"/>
    <w:rsid w:val="00544C83"/>
    <w:rsid w:val="00544E5C"/>
    <w:rsid w:val="00545979"/>
    <w:rsid w:val="00545A52"/>
    <w:rsid w:val="00546208"/>
    <w:rsid w:val="00546856"/>
    <w:rsid w:val="00546F45"/>
    <w:rsid w:val="00546F52"/>
    <w:rsid w:val="00547A8D"/>
    <w:rsid w:val="005504D7"/>
    <w:rsid w:val="00550E2B"/>
    <w:rsid w:val="00550E39"/>
    <w:rsid w:val="00551578"/>
    <w:rsid w:val="0055179C"/>
    <w:rsid w:val="0055211C"/>
    <w:rsid w:val="00553952"/>
    <w:rsid w:val="00553D19"/>
    <w:rsid w:val="00553F34"/>
    <w:rsid w:val="005545AA"/>
    <w:rsid w:val="005559AC"/>
    <w:rsid w:val="005559EF"/>
    <w:rsid w:val="00555A49"/>
    <w:rsid w:val="005563CE"/>
    <w:rsid w:val="00556A7F"/>
    <w:rsid w:val="00557388"/>
    <w:rsid w:val="005579A8"/>
    <w:rsid w:val="00557E94"/>
    <w:rsid w:val="00561661"/>
    <w:rsid w:val="0056170D"/>
    <w:rsid w:val="00561763"/>
    <w:rsid w:val="00561CCA"/>
    <w:rsid w:val="00561E7E"/>
    <w:rsid w:val="00562057"/>
    <w:rsid w:val="005628C4"/>
    <w:rsid w:val="00563123"/>
    <w:rsid w:val="00563606"/>
    <w:rsid w:val="00563CFE"/>
    <w:rsid w:val="00563E74"/>
    <w:rsid w:val="00563F44"/>
    <w:rsid w:val="0056430D"/>
    <w:rsid w:val="00564727"/>
    <w:rsid w:val="00564D98"/>
    <w:rsid w:val="005651F9"/>
    <w:rsid w:val="00565D9C"/>
    <w:rsid w:val="005671B5"/>
    <w:rsid w:val="00567245"/>
    <w:rsid w:val="005672CB"/>
    <w:rsid w:val="0056785D"/>
    <w:rsid w:val="00567B70"/>
    <w:rsid w:val="00567CBD"/>
    <w:rsid w:val="00567F79"/>
    <w:rsid w:val="00570451"/>
    <w:rsid w:val="005715E7"/>
    <w:rsid w:val="00571741"/>
    <w:rsid w:val="0057195C"/>
    <w:rsid w:val="0057198F"/>
    <w:rsid w:val="00572693"/>
    <w:rsid w:val="005729DE"/>
    <w:rsid w:val="0057332E"/>
    <w:rsid w:val="0057355A"/>
    <w:rsid w:val="00573667"/>
    <w:rsid w:val="005736FB"/>
    <w:rsid w:val="005738CD"/>
    <w:rsid w:val="00573DE0"/>
    <w:rsid w:val="00573EF6"/>
    <w:rsid w:val="00574D0A"/>
    <w:rsid w:val="00574D6F"/>
    <w:rsid w:val="005753D2"/>
    <w:rsid w:val="00575859"/>
    <w:rsid w:val="00575AC1"/>
    <w:rsid w:val="00575C15"/>
    <w:rsid w:val="00575CFA"/>
    <w:rsid w:val="0057639D"/>
    <w:rsid w:val="005764C4"/>
    <w:rsid w:val="0057686B"/>
    <w:rsid w:val="0057724A"/>
    <w:rsid w:val="0057760F"/>
    <w:rsid w:val="005807B2"/>
    <w:rsid w:val="00580E11"/>
    <w:rsid w:val="00580E39"/>
    <w:rsid w:val="00580E49"/>
    <w:rsid w:val="005818BD"/>
    <w:rsid w:val="00582C45"/>
    <w:rsid w:val="00583161"/>
    <w:rsid w:val="00584C8C"/>
    <w:rsid w:val="00584E22"/>
    <w:rsid w:val="00585939"/>
    <w:rsid w:val="00585C76"/>
    <w:rsid w:val="005867B5"/>
    <w:rsid w:val="00586BD7"/>
    <w:rsid w:val="005875F7"/>
    <w:rsid w:val="005879F6"/>
    <w:rsid w:val="005903A3"/>
    <w:rsid w:val="00590855"/>
    <w:rsid w:val="00590945"/>
    <w:rsid w:val="00590A21"/>
    <w:rsid w:val="00590C4E"/>
    <w:rsid w:val="00590E1D"/>
    <w:rsid w:val="0059104B"/>
    <w:rsid w:val="00591ECB"/>
    <w:rsid w:val="0059207E"/>
    <w:rsid w:val="005920F0"/>
    <w:rsid w:val="00593672"/>
    <w:rsid w:val="00594527"/>
    <w:rsid w:val="00594648"/>
    <w:rsid w:val="0059479E"/>
    <w:rsid w:val="00594E80"/>
    <w:rsid w:val="00594EA7"/>
    <w:rsid w:val="00594FB4"/>
    <w:rsid w:val="0059515D"/>
    <w:rsid w:val="0059558E"/>
    <w:rsid w:val="00595CD4"/>
    <w:rsid w:val="00595F4B"/>
    <w:rsid w:val="005963AB"/>
    <w:rsid w:val="0059753A"/>
    <w:rsid w:val="00597DB3"/>
    <w:rsid w:val="005A01B1"/>
    <w:rsid w:val="005A0394"/>
    <w:rsid w:val="005A0A52"/>
    <w:rsid w:val="005A0A74"/>
    <w:rsid w:val="005A0D43"/>
    <w:rsid w:val="005A109A"/>
    <w:rsid w:val="005A1261"/>
    <w:rsid w:val="005A1CB1"/>
    <w:rsid w:val="005A1F5A"/>
    <w:rsid w:val="005A27BE"/>
    <w:rsid w:val="005A3405"/>
    <w:rsid w:val="005A3640"/>
    <w:rsid w:val="005A4175"/>
    <w:rsid w:val="005A43D8"/>
    <w:rsid w:val="005A475E"/>
    <w:rsid w:val="005A4A2A"/>
    <w:rsid w:val="005A60E7"/>
    <w:rsid w:val="005A67AE"/>
    <w:rsid w:val="005A77CF"/>
    <w:rsid w:val="005A7FFE"/>
    <w:rsid w:val="005B0CE1"/>
    <w:rsid w:val="005B1899"/>
    <w:rsid w:val="005B21C1"/>
    <w:rsid w:val="005B220F"/>
    <w:rsid w:val="005B2570"/>
    <w:rsid w:val="005B2797"/>
    <w:rsid w:val="005B3115"/>
    <w:rsid w:val="005B32C9"/>
    <w:rsid w:val="005B369E"/>
    <w:rsid w:val="005B421D"/>
    <w:rsid w:val="005B4593"/>
    <w:rsid w:val="005B502E"/>
    <w:rsid w:val="005B5E97"/>
    <w:rsid w:val="005B5EA7"/>
    <w:rsid w:val="005B6360"/>
    <w:rsid w:val="005B656C"/>
    <w:rsid w:val="005B7761"/>
    <w:rsid w:val="005C04E6"/>
    <w:rsid w:val="005C053F"/>
    <w:rsid w:val="005C12B1"/>
    <w:rsid w:val="005C13CF"/>
    <w:rsid w:val="005C1FBE"/>
    <w:rsid w:val="005C230B"/>
    <w:rsid w:val="005C2637"/>
    <w:rsid w:val="005C2EBA"/>
    <w:rsid w:val="005C316A"/>
    <w:rsid w:val="005C39E8"/>
    <w:rsid w:val="005C3E34"/>
    <w:rsid w:val="005C3E40"/>
    <w:rsid w:val="005C48EC"/>
    <w:rsid w:val="005C4EA4"/>
    <w:rsid w:val="005C5DC3"/>
    <w:rsid w:val="005C5E16"/>
    <w:rsid w:val="005C6147"/>
    <w:rsid w:val="005C638B"/>
    <w:rsid w:val="005C63E6"/>
    <w:rsid w:val="005C684D"/>
    <w:rsid w:val="005C6F9A"/>
    <w:rsid w:val="005C7013"/>
    <w:rsid w:val="005C7273"/>
    <w:rsid w:val="005C73B0"/>
    <w:rsid w:val="005C7409"/>
    <w:rsid w:val="005C7C90"/>
    <w:rsid w:val="005D08F5"/>
    <w:rsid w:val="005D13CF"/>
    <w:rsid w:val="005D2667"/>
    <w:rsid w:val="005D3214"/>
    <w:rsid w:val="005D43A2"/>
    <w:rsid w:val="005D4CE1"/>
    <w:rsid w:val="005D51DC"/>
    <w:rsid w:val="005D59CC"/>
    <w:rsid w:val="005D6103"/>
    <w:rsid w:val="005D726E"/>
    <w:rsid w:val="005D797B"/>
    <w:rsid w:val="005D7FD4"/>
    <w:rsid w:val="005E02E6"/>
    <w:rsid w:val="005E047B"/>
    <w:rsid w:val="005E0AD1"/>
    <w:rsid w:val="005E0C5E"/>
    <w:rsid w:val="005E1CF8"/>
    <w:rsid w:val="005E1D1B"/>
    <w:rsid w:val="005E1E80"/>
    <w:rsid w:val="005E1F95"/>
    <w:rsid w:val="005E212E"/>
    <w:rsid w:val="005E2840"/>
    <w:rsid w:val="005E2C94"/>
    <w:rsid w:val="005E2EBA"/>
    <w:rsid w:val="005E36F2"/>
    <w:rsid w:val="005E3C46"/>
    <w:rsid w:val="005E3EBF"/>
    <w:rsid w:val="005E4002"/>
    <w:rsid w:val="005E44DF"/>
    <w:rsid w:val="005E46C6"/>
    <w:rsid w:val="005E47E2"/>
    <w:rsid w:val="005E4CBB"/>
    <w:rsid w:val="005E4E29"/>
    <w:rsid w:val="005E5D27"/>
    <w:rsid w:val="005E60D3"/>
    <w:rsid w:val="005E6EC7"/>
    <w:rsid w:val="005E6F27"/>
    <w:rsid w:val="005E7000"/>
    <w:rsid w:val="005E774C"/>
    <w:rsid w:val="005F05D0"/>
    <w:rsid w:val="005F07F3"/>
    <w:rsid w:val="005F1241"/>
    <w:rsid w:val="005F1913"/>
    <w:rsid w:val="005F205D"/>
    <w:rsid w:val="005F2DFD"/>
    <w:rsid w:val="005F317F"/>
    <w:rsid w:val="005F3BFC"/>
    <w:rsid w:val="005F4446"/>
    <w:rsid w:val="005F4667"/>
    <w:rsid w:val="005F4801"/>
    <w:rsid w:val="005F4B8F"/>
    <w:rsid w:val="005F4C70"/>
    <w:rsid w:val="005F53BE"/>
    <w:rsid w:val="005F592D"/>
    <w:rsid w:val="005F59C3"/>
    <w:rsid w:val="005F5A23"/>
    <w:rsid w:val="005F5B2D"/>
    <w:rsid w:val="005F5EE0"/>
    <w:rsid w:val="005F60C8"/>
    <w:rsid w:val="005F61EF"/>
    <w:rsid w:val="005F621C"/>
    <w:rsid w:val="005F6FC2"/>
    <w:rsid w:val="005F7363"/>
    <w:rsid w:val="005F7B7F"/>
    <w:rsid w:val="0060048C"/>
    <w:rsid w:val="00600867"/>
    <w:rsid w:val="00600E2E"/>
    <w:rsid w:val="0060131F"/>
    <w:rsid w:val="00602FFB"/>
    <w:rsid w:val="00603691"/>
    <w:rsid w:val="00604024"/>
    <w:rsid w:val="00604624"/>
    <w:rsid w:val="006047E7"/>
    <w:rsid w:val="006050B4"/>
    <w:rsid w:val="00605497"/>
    <w:rsid w:val="00605A68"/>
    <w:rsid w:val="00605B2C"/>
    <w:rsid w:val="00606245"/>
    <w:rsid w:val="00606A23"/>
    <w:rsid w:val="00607DEF"/>
    <w:rsid w:val="00610CD4"/>
    <w:rsid w:val="00611277"/>
    <w:rsid w:val="006113A6"/>
    <w:rsid w:val="006118E9"/>
    <w:rsid w:val="00612244"/>
    <w:rsid w:val="00612406"/>
    <w:rsid w:val="006124FB"/>
    <w:rsid w:val="00612739"/>
    <w:rsid w:val="006128D9"/>
    <w:rsid w:val="00612BD8"/>
    <w:rsid w:val="00612CAF"/>
    <w:rsid w:val="0061306B"/>
    <w:rsid w:val="00613833"/>
    <w:rsid w:val="00613EC6"/>
    <w:rsid w:val="006141DE"/>
    <w:rsid w:val="00614412"/>
    <w:rsid w:val="00614843"/>
    <w:rsid w:val="00614A8F"/>
    <w:rsid w:val="00614AA9"/>
    <w:rsid w:val="00614CE2"/>
    <w:rsid w:val="00615143"/>
    <w:rsid w:val="0061555A"/>
    <w:rsid w:val="0061622E"/>
    <w:rsid w:val="006168CA"/>
    <w:rsid w:val="00616B32"/>
    <w:rsid w:val="0061774B"/>
    <w:rsid w:val="006178C4"/>
    <w:rsid w:val="006200B8"/>
    <w:rsid w:val="006203DA"/>
    <w:rsid w:val="00621084"/>
    <w:rsid w:val="00621361"/>
    <w:rsid w:val="00621870"/>
    <w:rsid w:val="00621A2A"/>
    <w:rsid w:val="006224DA"/>
    <w:rsid w:val="00622590"/>
    <w:rsid w:val="00623031"/>
    <w:rsid w:val="00623626"/>
    <w:rsid w:val="00623738"/>
    <w:rsid w:val="006239AE"/>
    <w:rsid w:val="00623B5B"/>
    <w:rsid w:val="00623B99"/>
    <w:rsid w:val="00623DCE"/>
    <w:rsid w:val="006241F1"/>
    <w:rsid w:val="006241F9"/>
    <w:rsid w:val="00624477"/>
    <w:rsid w:val="00624764"/>
    <w:rsid w:val="00624831"/>
    <w:rsid w:val="006273EF"/>
    <w:rsid w:val="00627DED"/>
    <w:rsid w:val="0063028F"/>
    <w:rsid w:val="006302D4"/>
    <w:rsid w:val="006304EF"/>
    <w:rsid w:val="00630600"/>
    <w:rsid w:val="006306FB"/>
    <w:rsid w:val="0063138F"/>
    <w:rsid w:val="00631523"/>
    <w:rsid w:val="00631762"/>
    <w:rsid w:val="00631E19"/>
    <w:rsid w:val="00631F10"/>
    <w:rsid w:val="00632320"/>
    <w:rsid w:val="00632571"/>
    <w:rsid w:val="006328A8"/>
    <w:rsid w:val="00632A20"/>
    <w:rsid w:val="00632A4D"/>
    <w:rsid w:val="00633B05"/>
    <w:rsid w:val="00633B89"/>
    <w:rsid w:val="00634585"/>
    <w:rsid w:val="00635134"/>
    <w:rsid w:val="00635758"/>
    <w:rsid w:val="006358B7"/>
    <w:rsid w:val="006363C6"/>
    <w:rsid w:val="006364A3"/>
    <w:rsid w:val="00637052"/>
    <w:rsid w:val="00637137"/>
    <w:rsid w:val="00641033"/>
    <w:rsid w:val="0064105A"/>
    <w:rsid w:val="0064197D"/>
    <w:rsid w:val="00641D01"/>
    <w:rsid w:val="0064219A"/>
    <w:rsid w:val="00642523"/>
    <w:rsid w:val="00642743"/>
    <w:rsid w:val="0064299C"/>
    <w:rsid w:val="00643288"/>
    <w:rsid w:val="00643AD8"/>
    <w:rsid w:val="00643E4A"/>
    <w:rsid w:val="0064421F"/>
    <w:rsid w:val="00644739"/>
    <w:rsid w:val="00644EBC"/>
    <w:rsid w:val="0064524F"/>
    <w:rsid w:val="0064530E"/>
    <w:rsid w:val="0064536E"/>
    <w:rsid w:val="0064580D"/>
    <w:rsid w:val="00646C6B"/>
    <w:rsid w:val="00646D42"/>
    <w:rsid w:val="00646ED7"/>
    <w:rsid w:val="00647346"/>
    <w:rsid w:val="00647646"/>
    <w:rsid w:val="0064784D"/>
    <w:rsid w:val="00647DC1"/>
    <w:rsid w:val="00647E4B"/>
    <w:rsid w:val="00650C47"/>
    <w:rsid w:val="00651A37"/>
    <w:rsid w:val="00652033"/>
    <w:rsid w:val="0065256F"/>
    <w:rsid w:val="00652637"/>
    <w:rsid w:val="00652742"/>
    <w:rsid w:val="0065358C"/>
    <w:rsid w:val="00653C64"/>
    <w:rsid w:val="00653EB0"/>
    <w:rsid w:val="00653EE3"/>
    <w:rsid w:val="00654251"/>
    <w:rsid w:val="0065504E"/>
    <w:rsid w:val="00655C0A"/>
    <w:rsid w:val="00655F22"/>
    <w:rsid w:val="00656742"/>
    <w:rsid w:val="00656F58"/>
    <w:rsid w:val="00657196"/>
    <w:rsid w:val="00657FF7"/>
    <w:rsid w:val="00660195"/>
    <w:rsid w:val="006601A1"/>
    <w:rsid w:val="006601C4"/>
    <w:rsid w:val="00661740"/>
    <w:rsid w:val="00661B55"/>
    <w:rsid w:val="006626A5"/>
    <w:rsid w:val="006626F9"/>
    <w:rsid w:val="00662FD8"/>
    <w:rsid w:val="006631DF"/>
    <w:rsid w:val="00663CDC"/>
    <w:rsid w:val="0066403B"/>
    <w:rsid w:val="006641B2"/>
    <w:rsid w:val="0066434A"/>
    <w:rsid w:val="00664446"/>
    <w:rsid w:val="00664864"/>
    <w:rsid w:val="00664F06"/>
    <w:rsid w:val="0066533E"/>
    <w:rsid w:val="00665ECC"/>
    <w:rsid w:val="006663A5"/>
    <w:rsid w:val="006664FF"/>
    <w:rsid w:val="00666C21"/>
    <w:rsid w:val="00667241"/>
    <w:rsid w:val="00667D77"/>
    <w:rsid w:val="006705B0"/>
    <w:rsid w:val="00670C05"/>
    <w:rsid w:val="00670CFC"/>
    <w:rsid w:val="00670EBB"/>
    <w:rsid w:val="0067133D"/>
    <w:rsid w:val="00671574"/>
    <w:rsid w:val="00671880"/>
    <w:rsid w:val="00671AD8"/>
    <w:rsid w:val="00672165"/>
    <w:rsid w:val="00672FF3"/>
    <w:rsid w:val="006731C9"/>
    <w:rsid w:val="00673534"/>
    <w:rsid w:val="00673D3D"/>
    <w:rsid w:val="00674211"/>
    <w:rsid w:val="0067447B"/>
    <w:rsid w:val="00675416"/>
    <w:rsid w:val="00675BF5"/>
    <w:rsid w:val="00675CBC"/>
    <w:rsid w:val="00675CF4"/>
    <w:rsid w:val="00675E6B"/>
    <w:rsid w:val="00676C5E"/>
    <w:rsid w:val="00676CFE"/>
    <w:rsid w:val="00676D44"/>
    <w:rsid w:val="00676F83"/>
    <w:rsid w:val="0067782B"/>
    <w:rsid w:val="00677F13"/>
    <w:rsid w:val="00680E09"/>
    <w:rsid w:val="006810DE"/>
    <w:rsid w:val="00681377"/>
    <w:rsid w:val="006816DE"/>
    <w:rsid w:val="006821E2"/>
    <w:rsid w:val="00682E37"/>
    <w:rsid w:val="0068317C"/>
    <w:rsid w:val="0068319B"/>
    <w:rsid w:val="0068359F"/>
    <w:rsid w:val="00683E0D"/>
    <w:rsid w:val="00683FAE"/>
    <w:rsid w:val="00684302"/>
    <w:rsid w:val="00684395"/>
    <w:rsid w:val="00684977"/>
    <w:rsid w:val="00684C76"/>
    <w:rsid w:val="00684D5A"/>
    <w:rsid w:val="00685000"/>
    <w:rsid w:val="00685058"/>
    <w:rsid w:val="00685DB3"/>
    <w:rsid w:val="006862E9"/>
    <w:rsid w:val="00686A5F"/>
    <w:rsid w:val="006871FA"/>
    <w:rsid w:val="006874CD"/>
    <w:rsid w:val="00687771"/>
    <w:rsid w:val="0069013C"/>
    <w:rsid w:val="0069083E"/>
    <w:rsid w:val="0069087D"/>
    <w:rsid w:val="0069094D"/>
    <w:rsid w:val="00690C34"/>
    <w:rsid w:val="00691C92"/>
    <w:rsid w:val="00691DE7"/>
    <w:rsid w:val="006932CB"/>
    <w:rsid w:val="00693D3A"/>
    <w:rsid w:val="00693F23"/>
    <w:rsid w:val="006941F0"/>
    <w:rsid w:val="006944BB"/>
    <w:rsid w:val="00694B81"/>
    <w:rsid w:val="006951A7"/>
    <w:rsid w:val="00695320"/>
    <w:rsid w:val="00695423"/>
    <w:rsid w:val="0069577B"/>
    <w:rsid w:val="00695A81"/>
    <w:rsid w:val="00695D17"/>
    <w:rsid w:val="00695EC7"/>
    <w:rsid w:val="0069602F"/>
    <w:rsid w:val="0069614B"/>
    <w:rsid w:val="00696376"/>
    <w:rsid w:val="0069687A"/>
    <w:rsid w:val="00696A6D"/>
    <w:rsid w:val="00696E0C"/>
    <w:rsid w:val="006971CC"/>
    <w:rsid w:val="006975EC"/>
    <w:rsid w:val="0069773A"/>
    <w:rsid w:val="00697CAF"/>
    <w:rsid w:val="00697F6C"/>
    <w:rsid w:val="006A0652"/>
    <w:rsid w:val="006A07AA"/>
    <w:rsid w:val="006A08A5"/>
    <w:rsid w:val="006A0F3A"/>
    <w:rsid w:val="006A1171"/>
    <w:rsid w:val="006A1406"/>
    <w:rsid w:val="006A1617"/>
    <w:rsid w:val="006A175A"/>
    <w:rsid w:val="006A2612"/>
    <w:rsid w:val="006A2799"/>
    <w:rsid w:val="006A287D"/>
    <w:rsid w:val="006A2BFC"/>
    <w:rsid w:val="006A2C97"/>
    <w:rsid w:val="006A2F18"/>
    <w:rsid w:val="006A2FC3"/>
    <w:rsid w:val="006A3F7B"/>
    <w:rsid w:val="006A4196"/>
    <w:rsid w:val="006A458B"/>
    <w:rsid w:val="006A4AA5"/>
    <w:rsid w:val="006A5F1C"/>
    <w:rsid w:val="006A68C1"/>
    <w:rsid w:val="006A73DC"/>
    <w:rsid w:val="006B0A1E"/>
    <w:rsid w:val="006B0B68"/>
    <w:rsid w:val="006B0F3E"/>
    <w:rsid w:val="006B123C"/>
    <w:rsid w:val="006B1478"/>
    <w:rsid w:val="006B184C"/>
    <w:rsid w:val="006B1BD2"/>
    <w:rsid w:val="006B1F0E"/>
    <w:rsid w:val="006B206C"/>
    <w:rsid w:val="006B230A"/>
    <w:rsid w:val="006B3149"/>
    <w:rsid w:val="006B38AF"/>
    <w:rsid w:val="006B3917"/>
    <w:rsid w:val="006B3F9B"/>
    <w:rsid w:val="006B4120"/>
    <w:rsid w:val="006B46A5"/>
    <w:rsid w:val="006B48E8"/>
    <w:rsid w:val="006B4C48"/>
    <w:rsid w:val="006B4ECD"/>
    <w:rsid w:val="006B5942"/>
    <w:rsid w:val="006B59AF"/>
    <w:rsid w:val="006B5CCC"/>
    <w:rsid w:val="006B5F10"/>
    <w:rsid w:val="006B694F"/>
    <w:rsid w:val="006B6ADF"/>
    <w:rsid w:val="006B7602"/>
    <w:rsid w:val="006B76EC"/>
    <w:rsid w:val="006C004D"/>
    <w:rsid w:val="006C06AF"/>
    <w:rsid w:val="006C0896"/>
    <w:rsid w:val="006C0996"/>
    <w:rsid w:val="006C14C0"/>
    <w:rsid w:val="006C1B6E"/>
    <w:rsid w:val="006C2565"/>
    <w:rsid w:val="006C2760"/>
    <w:rsid w:val="006C2C23"/>
    <w:rsid w:val="006C3A49"/>
    <w:rsid w:val="006C40E6"/>
    <w:rsid w:val="006C41A3"/>
    <w:rsid w:val="006C43B6"/>
    <w:rsid w:val="006C47AE"/>
    <w:rsid w:val="006C4C9E"/>
    <w:rsid w:val="006C4F72"/>
    <w:rsid w:val="006C532F"/>
    <w:rsid w:val="006C586C"/>
    <w:rsid w:val="006C5A05"/>
    <w:rsid w:val="006C5BDE"/>
    <w:rsid w:val="006C5BFA"/>
    <w:rsid w:val="006C5E20"/>
    <w:rsid w:val="006C5E83"/>
    <w:rsid w:val="006C6A19"/>
    <w:rsid w:val="006C6E8A"/>
    <w:rsid w:val="006C71F2"/>
    <w:rsid w:val="006C77D9"/>
    <w:rsid w:val="006C7D04"/>
    <w:rsid w:val="006D026D"/>
    <w:rsid w:val="006D0BE8"/>
    <w:rsid w:val="006D0C19"/>
    <w:rsid w:val="006D0FB0"/>
    <w:rsid w:val="006D0FDC"/>
    <w:rsid w:val="006D11E4"/>
    <w:rsid w:val="006D14C5"/>
    <w:rsid w:val="006D15F7"/>
    <w:rsid w:val="006D1DFF"/>
    <w:rsid w:val="006D203A"/>
    <w:rsid w:val="006D2080"/>
    <w:rsid w:val="006D2EA2"/>
    <w:rsid w:val="006D36B6"/>
    <w:rsid w:val="006D38E3"/>
    <w:rsid w:val="006D3AC8"/>
    <w:rsid w:val="006D3E87"/>
    <w:rsid w:val="006D3EEB"/>
    <w:rsid w:val="006D47F2"/>
    <w:rsid w:val="006D4C94"/>
    <w:rsid w:val="006D4EC2"/>
    <w:rsid w:val="006D500E"/>
    <w:rsid w:val="006D5230"/>
    <w:rsid w:val="006D5CFD"/>
    <w:rsid w:val="006D6123"/>
    <w:rsid w:val="006D65A7"/>
    <w:rsid w:val="006D68E9"/>
    <w:rsid w:val="006D739F"/>
    <w:rsid w:val="006D75CC"/>
    <w:rsid w:val="006E0DB5"/>
    <w:rsid w:val="006E1069"/>
    <w:rsid w:val="006E11DD"/>
    <w:rsid w:val="006E1620"/>
    <w:rsid w:val="006E168F"/>
    <w:rsid w:val="006E1734"/>
    <w:rsid w:val="006E2E10"/>
    <w:rsid w:val="006E2F46"/>
    <w:rsid w:val="006E3011"/>
    <w:rsid w:val="006E3067"/>
    <w:rsid w:val="006E3127"/>
    <w:rsid w:val="006E3F33"/>
    <w:rsid w:val="006E450A"/>
    <w:rsid w:val="006E65D6"/>
    <w:rsid w:val="006E66A7"/>
    <w:rsid w:val="006E6D85"/>
    <w:rsid w:val="006E7E53"/>
    <w:rsid w:val="006E7E5B"/>
    <w:rsid w:val="006F0053"/>
    <w:rsid w:val="006F034E"/>
    <w:rsid w:val="006F0639"/>
    <w:rsid w:val="006F065C"/>
    <w:rsid w:val="006F0C0C"/>
    <w:rsid w:val="006F1F15"/>
    <w:rsid w:val="006F2128"/>
    <w:rsid w:val="006F27C8"/>
    <w:rsid w:val="006F2A8B"/>
    <w:rsid w:val="006F2B82"/>
    <w:rsid w:val="006F2C52"/>
    <w:rsid w:val="006F307F"/>
    <w:rsid w:val="006F30E6"/>
    <w:rsid w:val="006F30FF"/>
    <w:rsid w:val="006F3144"/>
    <w:rsid w:val="006F356C"/>
    <w:rsid w:val="006F46C9"/>
    <w:rsid w:val="006F4823"/>
    <w:rsid w:val="006F4AF8"/>
    <w:rsid w:val="006F4F86"/>
    <w:rsid w:val="006F54B2"/>
    <w:rsid w:val="006F5C63"/>
    <w:rsid w:val="006F5DA6"/>
    <w:rsid w:val="006F62BE"/>
    <w:rsid w:val="006F6408"/>
    <w:rsid w:val="006F64E4"/>
    <w:rsid w:val="006F6F43"/>
    <w:rsid w:val="006F7187"/>
    <w:rsid w:val="006F7433"/>
    <w:rsid w:val="007003E1"/>
    <w:rsid w:val="0070056B"/>
    <w:rsid w:val="00700ADC"/>
    <w:rsid w:val="00700E51"/>
    <w:rsid w:val="007011D7"/>
    <w:rsid w:val="00701646"/>
    <w:rsid w:val="007016EA"/>
    <w:rsid w:val="00701A9B"/>
    <w:rsid w:val="00701AAD"/>
    <w:rsid w:val="00701B7F"/>
    <w:rsid w:val="00701C8C"/>
    <w:rsid w:val="00701F19"/>
    <w:rsid w:val="007021FB"/>
    <w:rsid w:val="007026E5"/>
    <w:rsid w:val="00702E22"/>
    <w:rsid w:val="00702FEC"/>
    <w:rsid w:val="007031CE"/>
    <w:rsid w:val="0070405B"/>
    <w:rsid w:val="007044FB"/>
    <w:rsid w:val="007046AE"/>
    <w:rsid w:val="00704AF4"/>
    <w:rsid w:val="007055C8"/>
    <w:rsid w:val="00705731"/>
    <w:rsid w:val="007064B2"/>
    <w:rsid w:val="00706FF5"/>
    <w:rsid w:val="007074AD"/>
    <w:rsid w:val="00707D92"/>
    <w:rsid w:val="00707FBE"/>
    <w:rsid w:val="00710303"/>
    <w:rsid w:val="0071035D"/>
    <w:rsid w:val="007107AB"/>
    <w:rsid w:val="00710AD3"/>
    <w:rsid w:val="0071195A"/>
    <w:rsid w:val="007121AB"/>
    <w:rsid w:val="0071275D"/>
    <w:rsid w:val="00712C1F"/>
    <w:rsid w:val="00713044"/>
    <w:rsid w:val="00713E34"/>
    <w:rsid w:val="00714984"/>
    <w:rsid w:val="00714BE6"/>
    <w:rsid w:val="00715032"/>
    <w:rsid w:val="007156F6"/>
    <w:rsid w:val="0071635E"/>
    <w:rsid w:val="007165C4"/>
    <w:rsid w:val="00716770"/>
    <w:rsid w:val="0071691D"/>
    <w:rsid w:val="00716A3C"/>
    <w:rsid w:val="00717313"/>
    <w:rsid w:val="0072027F"/>
    <w:rsid w:val="00720492"/>
    <w:rsid w:val="007205B4"/>
    <w:rsid w:val="0072074A"/>
    <w:rsid w:val="00722AFC"/>
    <w:rsid w:val="00722EDA"/>
    <w:rsid w:val="00722F87"/>
    <w:rsid w:val="00723B71"/>
    <w:rsid w:val="00724040"/>
    <w:rsid w:val="00724270"/>
    <w:rsid w:val="0072443C"/>
    <w:rsid w:val="0072450D"/>
    <w:rsid w:val="00724560"/>
    <w:rsid w:val="007246AA"/>
    <w:rsid w:val="00724930"/>
    <w:rsid w:val="007253DC"/>
    <w:rsid w:val="007266D3"/>
    <w:rsid w:val="00726935"/>
    <w:rsid w:val="00727152"/>
    <w:rsid w:val="007277B6"/>
    <w:rsid w:val="00727B19"/>
    <w:rsid w:val="00730047"/>
    <w:rsid w:val="00730063"/>
    <w:rsid w:val="00730C91"/>
    <w:rsid w:val="00730EBC"/>
    <w:rsid w:val="0073193C"/>
    <w:rsid w:val="00732301"/>
    <w:rsid w:val="007329BA"/>
    <w:rsid w:val="00733653"/>
    <w:rsid w:val="0073368D"/>
    <w:rsid w:val="007338A1"/>
    <w:rsid w:val="00733F55"/>
    <w:rsid w:val="00734669"/>
    <w:rsid w:val="00735640"/>
    <w:rsid w:val="00735786"/>
    <w:rsid w:val="007359D9"/>
    <w:rsid w:val="00735AD1"/>
    <w:rsid w:val="007361F7"/>
    <w:rsid w:val="007365D6"/>
    <w:rsid w:val="00736A39"/>
    <w:rsid w:val="007370AF"/>
    <w:rsid w:val="00737424"/>
    <w:rsid w:val="00737CD3"/>
    <w:rsid w:val="007401AC"/>
    <w:rsid w:val="00742E9D"/>
    <w:rsid w:val="00743607"/>
    <w:rsid w:val="00744021"/>
    <w:rsid w:val="007443B4"/>
    <w:rsid w:val="007444C7"/>
    <w:rsid w:val="007448AA"/>
    <w:rsid w:val="007455ED"/>
    <w:rsid w:val="007457D5"/>
    <w:rsid w:val="00745BFC"/>
    <w:rsid w:val="00746E6B"/>
    <w:rsid w:val="00747AE7"/>
    <w:rsid w:val="00747EAE"/>
    <w:rsid w:val="007504CF"/>
    <w:rsid w:val="00750A7D"/>
    <w:rsid w:val="00750FAA"/>
    <w:rsid w:val="007516D1"/>
    <w:rsid w:val="0075268A"/>
    <w:rsid w:val="00752CDE"/>
    <w:rsid w:val="0075372A"/>
    <w:rsid w:val="00754509"/>
    <w:rsid w:val="00754CC6"/>
    <w:rsid w:val="00754ED7"/>
    <w:rsid w:val="00756B36"/>
    <w:rsid w:val="00757829"/>
    <w:rsid w:val="00757AF5"/>
    <w:rsid w:val="0076035B"/>
    <w:rsid w:val="007603D3"/>
    <w:rsid w:val="00760F4C"/>
    <w:rsid w:val="00762117"/>
    <w:rsid w:val="0076245F"/>
    <w:rsid w:val="00762E23"/>
    <w:rsid w:val="007632BC"/>
    <w:rsid w:val="007653C1"/>
    <w:rsid w:val="0076561E"/>
    <w:rsid w:val="00765862"/>
    <w:rsid w:val="00765B8C"/>
    <w:rsid w:val="00765F58"/>
    <w:rsid w:val="00765F7E"/>
    <w:rsid w:val="00767CE9"/>
    <w:rsid w:val="00770031"/>
    <w:rsid w:val="0077140A"/>
    <w:rsid w:val="007714E5"/>
    <w:rsid w:val="007715E7"/>
    <w:rsid w:val="007716A5"/>
    <w:rsid w:val="00772C65"/>
    <w:rsid w:val="00773BC0"/>
    <w:rsid w:val="00773F8F"/>
    <w:rsid w:val="0077420F"/>
    <w:rsid w:val="0077469E"/>
    <w:rsid w:val="00774882"/>
    <w:rsid w:val="00774DD9"/>
    <w:rsid w:val="00775177"/>
    <w:rsid w:val="00775923"/>
    <w:rsid w:val="00775B2E"/>
    <w:rsid w:val="00775CD1"/>
    <w:rsid w:val="00776267"/>
    <w:rsid w:val="0077628D"/>
    <w:rsid w:val="007767C8"/>
    <w:rsid w:val="00776A70"/>
    <w:rsid w:val="00776E45"/>
    <w:rsid w:val="007775F3"/>
    <w:rsid w:val="00777890"/>
    <w:rsid w:val="007802D2"/>
    <w:rsid w:val="00780741"/>
    <w:rsid w:val="00780F99"/>
    <w:rsid w:val="0078178B"/>
    <w:rsid w:val="007818EE"/>
    <w:rsid w:val="00781D73"/>
    <w:rsid w:val="00781EE4"/>
    <w:rsid w:val="00781F9D"/>
    <w:rsid w:val="00782575"/>
    <w:rsid w:val="00782C81"/>
    <w:rsid w:val="00782F9E"/>
    <w:rsid w:val="00783BA0"/>
    <w:rsid w:val="00784C3B"/>
    <w:rsid w:val="00785538"/>
    <w:rsid w:val="007857E2"/>
    <w:rsid w:val="0078590E"/>
    <w:rsid w:val="00786DCA"/>
    <w:rsid w:val="00786F35"/>
    <w:rsid w:val="007870A3"/>
    <w:rsid w:val="0078728A"/>
    <w:rsid w:val="00787700"/>
    <w:rsid w:val="007878A4"/>
    <w:rsid w:val="007878D0"/>
    <w:rsid w:val="00787967"/>
    <w:rsid w:val="00787983"/>
    <w:rsid w:val="00787A2D"/>
    <w:rsid w:val="00787CB1"/>
    <w:rsid w:val="00787D15"/>
    <w:rsid w:val="007905EB"/>
    <w:rsid w:val="00790607"/>
    <w:rsid w:val="0079067C"/>
    <w:rsid w:val="00790AE6"/>
    <w:rsid w:val="00790FA2"/>
    <w:rsid w:val="00791125"/>
    <w:rsid w:val="007915A9"/>
    <w:rsid w:val="0079206B"/>
    <w:rsid w:val="00792692"/>
    <w:rsid w:val="00792E51"/>
    <w:rsid w:val="00793484"/>
    <w:rsid w:val="00793626"/>
    <w:rsid w:val="00793E7F"/>
    <w:rsid w:val="00793FB5"/>
    <w:rsid w:val="00794090"/>
    <w:rsid w:val="007943C5"/>
    <w:rsid w:val="0079456A"/>
    <w:rsid w:val="00794615"/>
    <w:rsid w:val="007949CF"/>
    <w:rsid w:val="007949F1"/>
    <w:rsid w:val="00794B35"/>
    <w:rsid w:val="00794FDB"/>
    <w:rsid w:val="007954DD"/>
    <w:rsid w:val="00795EFE"/>
    <w:rsid w:val="00796386"/>
    <w:rsid w:val="0079663F"/>
    <w:rsid w:val="007967C3"/>
    <w:rsid w:val="00796C15"/>
    <w:rsid w:val="00796FF9"/>
    <w:rsid w:val="007970B9"/>
    <w:rsid w:val="00797588"/>
    <w:rsid w:val="007976C2"/>
    <w:rsid w:val="00797F14"/>
    <w:rsid w:val="007A0B39"/>
    <w:rsid w:val="007A1382"/>
    <w:rsid w:val="007A1566"/>
    <w:rsid w:val="007A1E33"/>
    <w:rsid w:val="007A1F08"/>
    <w:rsid w:val="007A219C"/>
    <w:rsid w:val="007A21C6"/>
    <w:rsid w:val="007A22AF"/>
    <w:rsid w:val="007A23A6"/>
    <w:rsid w:val="007A2AE7"/>
    <w:rsid w:val="007A2CCE"/>
    <w:rsid w:val="007A317E"/>
    <w:rsid w:val="007A338A"/>
    <w:rsid w:val="007A33DE"/>
    <w:rsid w:val="007A37F9"/>
    <w:rsid w:val="007A390D"/>
    <w:rsid w:val="007A3A93"/>
    <w:rsid w:val="007A416C"/>
    <w:rsid w:val="007A41BD"/>
    <w:rsid w:val="007A43E7"/>
    <w:rsid w:val="007A4889"/>
    <w:rsid w:val="007A4928"/>
    <w:rsid w:val="007A51D9"/>
    <w:rsid w:val="007A51FE"/>
    <w:rsid w:val="007A5273"/>
    <w:rsid w:val="007A52B9"/>
    <w:rsid w:val="007A533C"/>
    <w:rsid w:val="007A53E4"/>
    <w:rsid w:val="007A5933"/>
    <w:rsid w:val="007A603B"/>
    <w:rsid w:val="007A60D0"/>
    <w:rsid w:val="007A6CBD"/>
    <w:rsid w:val="007A76CA"/>
    <w:rsid w:val="007B063F"/>
    <w:rsid w:val="007B0C1D"/>
    <w:rsid w:val="007B115B"/>
    <w:rsid w:val="007B15FD"/>
    <w:rsid w:val="007B18EC"/>
    <w:rsid w:val="007B1957"/>
    <w:rsid w:val="007B1AA0"/>
    <w:rsid w:val="007B1B15"/>
    <w:rsid w:val="007B2E00"/>
    <w:rsid w:val="007B3ABE"/>
    <w:rsid w:val="007B3E3A"/>
    <w:rsid w:val="007B3F19"/>
    <w:rsid w:val="007B458D"/>
    <w:rsid w:val="007B5272"/>
    <w:rsid w:val="007B5586"/>
    <w:rsid w:val="007B581D"/>
    <w:rsid w:val="007B6159"/>
    <w:rsid w:val="007B72C3"/>
    <w:rsid w:val="007C005E"/>
    <w:rsid w:val="007C0423"/>
    <w:rsid w:val="007C06C7"/>
    <w:rsid w:val="007C0A94"/>
    <w:rsid w:val="007C11F8"/>
    <w:rsid w:val="007C14A3"/>
    <w:rsid w:val="007C1C35"/>
    <w:rsid w:val="007C1DFC"/>
    <w:rsid w:val="007C1E00"/>
    <w:rsid w:val="007C21C7"/>
    <w:rsid w:val="007C2D9D"/>
    <w:rsid w:val="007C41AF"/>
    <w:rsid w:val="007C47DB"/>
    <w:rsid w:val="007C4AE5"/>
    <w:rsid w:val="007C4F23"/>
    <w:rsid w:val="007C505C"/>
    <w:rsid w:val="007C515F"/>
    <w:rsid w:val="007C5451"/>
    <w:rsid w:val="007C56D6"/>
    <w:rsid w:val="007C5768"/>
    <w:rsid w:val="007C59F3"/>
    <w:rsid w:val="007C624C"/>
    <w:rsid w:val="007C761B"/>
    <w:rsid w:val="007C7A80"/>
    <w:rsid w:val="007D0D18"/>
    <w:rsid w:val="007D121E"/>
    <w:rsid w:val="007D2331"/>
    <w:rsid w:val="007D2617"/>
    <w:rsid w:val="007D2674"/>
    <w:rsid w:val="007D33BA"/>
    <w:rsid w:val="007D34A7"/>
    <w:rsid w:val="007D37BE"/>
    <w:rsid w:val="007D3842"/>
    <w:rsid w:val="007D3AF0"/>
    <w:rsid w:val="007D42D3"/>
    <w:rsid w:val="007D46C4"/>
    <w:rsid w:val="007D476E"/>
    <w:rsid w:val="007D488A"/>
    <w:rsid w:val="007D4E0A"/>
    <w:rsid w:val="007D4F50"/>
    <w:rsid w:val="007D5B06"/>
    <w:rsid w:val="007D6B4A"/>
    <w:rsid w:val="007D6C77"/>
    <w:rsid w:val="007D7337"/>
    <w:rsid w:val="007D74F1"/>
    <w:rsid w:val="007D7A5B"/>
    <w:rsid w:val="007D7B55"/>
    <w:rsid w:val="007D7FA6"/>
    <w:rsid w:val="007E0200"/>
    <w:rsid w:val="007E02D5"/>
    <w:rsid w:val="007E0E48"/>
    <w:rsid w:val="007E1ADA"/>
    <w:rsid w:val="007E1D8C"/>
    <w:rsid w:val="007E1FC4"/>
    <w:rsid w:val="007E2277"/>
    <w:rsid w:val="007E29F8"/>
    <w:rsid w:val="007E2E26"/>
    <w:rsid w:val="007E2ECE"/>
    <w:rsid w:val="007E31B9"/>
    <w:rsid w:val="007E3308"/>
    <w:rsid w:val="007E3615"/>
    <w:rsid w:val="007E39BA"/>
    <w:rsid w:val="007E39CC"/>
    <w:rsid w:val="007E3EA5"/>
    <w:rsid w:val="007E3F2B"/>
    <w:rsid w:val="007E47B6"/>
    <w:rsid w:val="007E4A6C"/>
    <w:rsid w:val="007E4E28"/>
    <w:rsid w:val="007E5ACF"/>
    <w:rsid w:val="007E6424"/>
    <w:rsid w:val="007E65F5"/>
    <w:rsid w:val="007E72CA"/>
    <w:rsid w:val="007F0ABA"/>
    <w:rsid w:val="007F1060"/>
    <w:rsid w:val="007F1427"/>
    <w:rsid w:val="007F2438"/>
    <w:rsid w:val="007F2561"/>
    <w:rsid w:val="007F313C"/>
    <w:rsid w:val="007F3F77"/>
    <w:rsid w:val="007F4107"/>
    <w:rsid w:val="007F4294"/>
    <w:rsid w:val="007F4304"/>
    <w:rsid w:val="007F48B8"/>
    <w:rsid w:val="007F4C74"/>
    <w:rsid w:val="007F4CFF"/>
    <w:rsid w:val="007F5C8D"/>
    <w:rsid w:val="007F5E6B"/>
    <w:rsid w:val="007F7773"/>
    <w:rsid w:val="007F7AE2"/>
    <w:rsid w:val="007F7D1C"/>
    <w:rsid w:val="0080017C"/>
    <w:rsid w:val="008002E1"/>
    <w:rsid w:val="00800E8D"/>
    <w:rsid w:val="00800FAB"/>
    <w:rsid w:val="00800FBE"/>
    <w:rsid w:val="00801032"/>
    <w:rsid w:val="0080197C"/>
    <w:rsid w:val="008028F2"/>
    <w:rsid w:val="00802B99"/>
    <w:rsid w:val="00803C3C"/>
    <w:rsid w:val="008042BF"/>
    <w:rsid w:val="008044A9"/>
    <w:rsid w:val="00804598"/>
    <w:rsid w:val="008045CC"/>
    <w:rsid w:val="00804BAE"/>
    <w:rsid w:val="00805980"/>
    <w:rsid w:val="00805EB2"/>
    <w:rsid w:val="008068F3"/>
    <w:rsid w:val="00806C5D"/>
    <w:rsid w:val="0080713E"/>
    <w:rsid w:val="008100EF"/>
    <w:rsid w:val="00810101"/>
    <w:rsid w:val="00810356"/>
    <w:rsid w:val="0081062D"/>
    <w:rsid w:val="00810992"/>
    <w:rsid w:val="00810D7E"/>
    <w:rsid w:val="00811BDC"/>
    <w:rsid w:val="0081214A"/>
    <w:rsid w:val="008121A8"/>
    <w:rsid w:val="00812B84"/>
    <w:rsid w:val="00812C7C"/>
    <w:rsid w:val="00813188"/>
    <w:rsid w:val="0081386C"/>
    <w:rsid w:val="00813EE6"/>
    <w:rsid w:val="0081411B"/>
    <w:rsid w:val="008143B9"/>
    <w:rsid w:val="008143C5"/>
    <w:rsid w:val="00814612"/>
    <w:rsid w:val="00814AA3"/>
    <w:rsid w:val="00814E60"/>
    <w:rsid w:val="008150DC"/>
    <w:rsid w:val="0081516E"/>
    <w:rsid w:val="0081525F"/>
    <w:rsid w:val="00815296"/>
    <w:rsid w:val="008154AC"/>
    <w:rsid w:val="0081563B"/>
    <w:rsid w:val="00815827"/>
    <w:rsid w:val="00815AD5"/>
    <w:rsid w:val="00816A41"/>
    <w:rsid w:val="00816BB9"/>
    <w:rsid w:val="00817364"/>
    <w:rsid w:val="0081771A"/>
    <w:rsid w:val="008200ED"/>
    <w:rsid w:val="008202DE"/>
    <w:rsid w:val="00820A09"/>
    <w:rsid w:val="00820CA3"/>
    <w:rsid w:val="00821432"/>
    <w:rsid w:val="00821B6C"/>
    <w:rsid w:val="00821C48"/>
    <w:rsid w:val="00821E6F"/>
    <w:rsid w:val="008227E6"/>
    <w:rsid w:val="00822D4A"/>
    <w:rsid w:val="008238D0"/>
    <w:rsid w:val="008239B1"/>
    <w:rsid w:val="00823C52"/>
    <w:rsid w:val="008249F7"/>
    <w:rsid w:val="00825DAA"/>
    <w:rsid w:val="00825E69"/>
    <w:rsid w:val="00826A28"/>
    <w:rsid w:val="00827062"/>
    <w:rsid w:val="00827521"/>
    <w:rsid w:val="0082796B"/>
    <w:rsid w:val="00827CD7"/>
    <w:rsid w:val="00827D33"/>
    <w:rsid w:val="00827D41"/>
    <w:rsid w:val="008301EF"/>
    <w:rsid w:val="00830386"/>
    <w:rsid w:val="008310DD"/>
    <w:rsid w:val="008313DB"/>
    <w:rsid w:val="00832427"/>
    <w:rsid w:val="008325CB"/>
    <w:rsid w:val="008328BB"/>
    <w:rsid w:val="008331BE"/>
    <w:rsid w:val="0083335B"/>
    <w:rsid w:val="00833792"/>
    <w:rsid w:val="00833DB8"/>
    <w:rsid w:val="008354E9"/>
    <w:rsid w:val="00835886"/>
    <w:rsid w:val="00835A8A"/>
    <w:rsid w:val="00835E03"/>
    <w:rsid w:val="008373B7"/>
    <w:rsid w:val="00840053"/>
    <w:rsid w:val="00840B16"/>
    <w:rsid w:val="00840DA8"/>
    <w:rsid w:val="008411DB"/>
    <w:rsid w:val="00841490"/>
    <w:rsid w:val="00841D0E"/>
    <w:rsid w:val="008423F0"/>
    <w:rsid w:val="00843410"/>
    <w:rsid w:val="00844480"/>
    <w:rsid w:val="0084456D"/>
    <w:rsid w:val="00844894"/>
    <w:rsid w:val="00844AEC"/>
    <w:rsid w:val="00844B41"/>
    <w:rsid w:val="00844CEA"/>
    <w:rsid w:val="00844FA9"/>
    <w:rsid w:val="0084542D"/>
    <w:rsid w:val="00846012"/>
    <w:rsid w:val="008463C0"/>
    <w:rsid w:val="008466A1"/>
    <w:rsid w:val="008466C6"/>
    <w:rsid w:val="00846734"/>
    <w:rsid w:val="008476FB"/>
    <w:rsid w:val="008500D1"/>
    <w:rsid w:val="00850465"/>
    <w:rsid w:val="00851426"/>
    <w:rsid w:val="00851576"/>
    <w:rsid w:val="008519D3"/>
    <w:rsid w:val="00852C2F"/>
    <w:rsid w:val="00853519"/>
    <w:rsid w:val="00853636"/>
    <w:rsid w:val="00854561"/>
    <w:rsid w:val="008545C4"/>
    <w:rsid w:val="00854776"/>
    <w:rsid w:val="0085479B"/>
    <w:rsid w:val="00854BF7"/>
    <w:rsid w:val="00855255"/>
    <w:rsid w:val="008554E5"/>
    <w:rsid w:val="0085565F"/>
    <w:rsid w:val="0085605B"/>
    <w:rsid w:val="008560DF"/>
    <w:rsid w:val="008561C1"/>
    <w:rsid w:val="0085620D"/>
    <w:rsid w:val="0085689A"/>
    <w:rsid w:val="00856ACB"/>
    <w:rsid w:val="00856D51"/>
    <w:rsid w:val="00857704"/>
    <w:rsid w:val="008577A0"/>
    <w:rsid w:val="00857EE7"/>
    <w:rsid w:val="00860564"/>
    <w:rsid w:val="00860ED9"/>
    <w:rsid w:val="008610B9"/>
    <w:rsid w:val="00861FD8"/>
    <w:rsid w:val="008626A7"/>
    <w:rsid w:val="00862B7E"/>
    <w:rsid w:val="00863730"/>
    <w:rsid w:val="00863D75"/>
    <w:rsid w:val="00863E4E"/>
    <w:rsid w:val="00863F47"/>
    <w:rsid w:val="008646B0"/>
    <w:rsid w:val="0086473E"/>
    <w:rsid w:val="00864A65"/>
    <w:rsid w:val="00864D67"/>
    <w:rsid w:val="00864EC6"/>
    <w:rsid w:val="00865475"/>
    <w:rsid w:val="00865492"/>
    <w:rsid w:val="008661BA"/>
    <w:rsid w:val="008667DA"/>
    <w:rsid w:val="008669E1"/>
    <w:rsid w:val="00866F86"/>
    <w:rsid w:val="008675B0"/>
    <w:rsid w:val="00867961"/>
    <w:rsid w:val="00870069"/>
    <w:rsid w:val="00870A4C"/>
    <w:rsid w:val="00871546"/>
    <w:rsid w:val="00871A7C"/>
    <w:rsid w:val="00871EC4"/>
    <w:rsid w:val="008723DE"/>
    <w:rsid w:val="00872847"/>
    <w:rsid w:val="008729C2"/>
    <w:rsid w:val="00872E80"/>
    <w:rsid w:val="00872FA1"/>
    <w:rsid w:val="00873871"/>
    <w:rsid w:val="008746E7"/>
    <w:rsid w:val="0087475D"/>
    <w:rsid w:val="00875982"/>
    <w:rsid w:val="00875C57"/>
    <w:rsid w:val="0087643A"/>
    <w:rsid w:val="00876B5A"/>
    <w:rsid w:val="00876BB4"/>
    <w:rsid w:val="00876DB3"/>
    <w:rsid w:val="00876F53"/>
    <w:rsid w:val="00877FBD"/>
    <w:rsid w:val="008805BA"/>
    <w:rsid w:val="008806BA"/>
    <w:rsid w:val="00880752"/>
    <w:rsid w:val="00880C1B"/>
    <w:rsid w:val="0088261F"/>
    <w:rsid w:val="008835B8"/>
    <w:rsid w:val="008839F0"/>
    <w:rsid w:val="00884B02"/>
    <w:rsid w:val="00885073"/>
    <w:rsid w:val="008854CF"/>
    <w:rsid w:val="00886662"/>
    <w:rsid w:val="00886856"/>
    <w:rsid w:val="00886C15"/>
    <w:rsid w:val="00886EDD"/>
    <w:rsid w:val="008870A3"/>
    <w:rsid w:val="00887233"/>
    <w:rsid w:val="00887353"/>
    <w:rsid w:val="00887652"/>
    <w:rsid w:val="008908FF"/>
    <w:rsid w:val="00890964"/>
    <w:rsid w:val="00890C2C"/>
    <w:rsid w:val="0089156B"/>
    <w:rsid w:val="00891A16"/>
    <w:rsid w:val="00891AAD"/>
    <w:rsid w:val="00891F3F"/>
    <w:rsid w:val="00892196"/>
    <w:rsid w:val="00892685"/>
    <w:rsid w:val="0089297F"/>
    <w:rsid w:val="00892B64"/>
    <w:rsid w:val="00892C1B"/>
    <w:rsid w:val="0089439D"/>
    <w:rsid w:val="008945E1"/>
    <w:rsid w:val="008947E9"/>
    <w:rsid w:val="00894BCA"/>
    <w:rsid w:val="00895396"/>
    <w:rsid w:val="0089551A"/>
    <w:rsid w:val="00895B7C"/>
    <w:rsid w:val="00895CE0"/>
    <w:rsid w:val="00896485"/>
    <w:rsid w:val="00896E4B"/>
    <w:rsid w:val="00896F5A"/>
    <w:rsid w:val="008973D0"/>
    <w:rsid w:val="00897FE4"/>
    <w:rsid w:val="008A0B1E"/>
    <w:rsid w:val="008A12CF"/>
    <w:rsid w:val="008A156A"/>
    <w:rsid w:val="008A1AE0"/>
    <w:rsid w:val="008A1C47"/>
    <w:rsid w:val="008A1E29"/>
    <w:rsid w:val="008A2782"/>
    <w:rsid w:val="008A2A2F"/>
    <w:rsid w:val="008A2A4D"/>
    <w:rsid w:val="008A31D9"/>
    <w:rsid w:val="008A42B0"/>
    <w:rsid w:val="008A4C33"/>
    <w:rsid w:val="008A4F40"/>
    <w:rsid w:val="008A533E"/>
    <w:rsid w:val="008A5D32"/>
    <w:rsid w:val="008A6799"/>
    <w:rsid w:val="008A6C02"/>
    <w:rsid w:val="008A6E46"/>
    <w:rsid w:val="008A7171"/>
    <w:rsid w:val="008A7345"/>
    <w:rsid w:val="008A7416"/>
    <w:rsid w:val="008A7485"/>
    <w:rsid w:val="008A7521"/>
    <w:rsid w:val="008A79B7"/>
    <w:rsid w:val="008A7A7B"/>
    <w:rsid w:val="008A7AF7"/>
    <w:rsid w:val="008A7B35"/>
    <w:rsid w:val="008B0061"/>
    <w:rsid w:val="008B01F6"/>
    <w:rsid w:val="008B0D3A"/>
    <w:rsid w:val="008B11E8"/>
    <w:rsid w:val="008B14C0"/>
    <w:rsid w:val="008B1BF3"/>
    <w:rsid w:val="008B1DD3"/>
    <w:rsid w:val="008B2110"/>
    <w:rsid w:val="008B2472"/>
    <w:rsid w:val="008B26ED"/>
    <w:rsid w:val="008B27AF"/>
    <w:rsid w:val="008B3029"/>
    <w:rsid w:val="008B3622"/>
    <w:rsid w:val="008B45D4"/>
    <w:rsid w:val="008B600E"/>
    <w:rsid w:val="008B6203"/>
    <w:rsid w:val="008B6237"/>
    <w:rsid w:val="008B62C7"/>
    <w:rsid w:val="008B664A"/>
    <w:rsid w:val="008B6C93"/>
    <w:rsid w:val="008B6DB5"/>
    <w:rsid w:val="008B6E39"/>
    <w:rsid w:val="008B6FEB"/>
    <w:rsid w:val="008B7840"/>
    <w:rsid w:val="008B7C26"/>
    <w:rsid w:val="008B7CEA"/>
    <w:rsid w:val="008C1140"/>
    <w:rsid w:val="008C1289"/>
    <w:rsid w:val="008C139A"/>
    <w:rsid w:val="008C24A6"/>
    <w:rsid w:val="008C2774"/>
    <w:rsid w:val="008C3A9B"/>
    <w:rsid w:val="008C3CD3"/>
    <w:rsid w:val="008C47E7"/>
    <w:rsid w:val="008C4AF3"/>
    <w:rsid w:val="008C4D6C"/>
    <w:rsid w:val="008C5425"/>
    <w:rsid w:val="008C57CE"/>
    <w:rsid w:val="008C5E9C"/>
    <w:rsid w:val="008C5EDB"/>
    <w:rsid w:val="008C5FAD"/>
    <w:rsid w:val="008C6712"/>
    <w:rsid w:val="008C672F"/>
    <w:rsid w:val="008C6796"/>
    <w:rsid w:val="008C6D68"/>
    <w:rsid w:val="008C73F1"/>
    <w:rsid w:val="008C7665"/>
    <w:rsid w:val="008C7CA8"/>
    <w:rsid w:val="008D0260"/>
    <w:rsid w:val="008D10F8"/>
    <w:rsid w:val="008D1732"/>
    <w:rsid w:val="008D181C"/>
    <w:rsid w:val="008D19F3"/>
    <w:rsid w:val="008D1D93"/>
    <w:rsid w:val="008D2296"/>
    <w:rsid w:val="008D22EA"/>
    <w:rsid w:val="008D2C99"/>
    <w:rsid w:val="008D2DAC"/>
    <w:rsid w:val="008D3052"/>
    <w:rsid w:val="008D3124"/>
    <w:rsid w:val="008D320B"/>
    <w:rsid w:val="008D32A2"/>
    <w:rsid w:val="008D3920"/>
    <w:rsid w:val="008D44D8"/>
    <w:rsid w:val="008D4929"/>
    <w:rsid w:val="008D4F0C"/>
    <w:rsid w:val="008D51C0"/>
    <w:rsid w:val="008D5A0E"/>
    <w:rsid w:val="008D5ABC"/>
    <w:rsid w:val="008D5C76"/>
    <w:rsid w:val="008D5DC4"/>
    <w:rsid w:val="008D7585"/>
    <w:rsid w:val="008E0174"/>
    <w:rsid w:val="008E027C"/>
    <w:rsid w:val="008E0AA0"/>
    <w:rsid w:val="008E0F21"/>
    <w:rsid w:val="008E11A0"/>
    <w:rsid w:val="008E1295"/>
    <w:rsid w:val="008E12EC"/>
    <w:rsid w:val="008E1483"/>
    <w:rsid w:val="008E1A82"/>
    <w:rsid w:val="008E22CD"/>
    <w:rsid w:val="008E23BA"/>
    <w:rsid w:val="008E269E"/>
    <w:rsid w:val="008E26AD"/>
    <w:rsid w:val="008E2AC9"/>
    <w:rsid w:val="008E2BFB"/>
    <w:rsid w:val="008E2C30"/>
    <w:rsid w:val="008E3DCC"/>
    <w:rsid w:val="008E4055"/>
    <w:rsid w:val="008E40C6"/>
    <w:rsid w:val="008E40CB"/>
    <w:rsid w:val="008E489E"/>
    <w:rsid w:val="008E4B25"/>
    <w:rsid w:val="008E50E7"/>
    <w:rsid w:val="008E50EF"/>
    <w:rsid w:val="008E527A"/>
    <w:rsid w:val="008E532D"/>
    <w:rsid w:val="008E553B"/>
    <w:rsid w:val="008E58D2"/>
    <w:rsid w:val="008E5A2A"/>
    <w:rsid w:val="008E5E91"/>
    <w:rsid w:val="008E6030"/>
    <w:rsid w:val="008E6EDC"/>
    <w:rsid w:val="008E7166"/>
    <w:rsid w:val="008E7653"/>
    <w:rsid w:val="008E768F"/>
    <w:rsid w:val="008E7AA1"/>
    <w:rsid w:val="008F09C1"/>
    <w:rsid w:val="008F12BB"/>
    <w:rsid w:val="008F176C"/>
    <w:rsid w:val="008F2270"/>
    <w:rsid w:val="008F2313"/>
    <w:rsid w:val="008F282E"/>
    <w:rsid w:val="008F28BA"/>
    <w:rsid w:val="008F2A51"/>
    <w:rsid w:val="008F35AF"/>
    <w:rsid w:val="008F3E10"/>
    <w:rsid w:val="008F4361"/>
    <w:rsid w:val="008F4982"/>
    <w:rsid w:val="008F5E6B"/>
    <w:rsid w:val="008F62DE"/>
    <w:rsid w:val="008F6454"/>
    <w:rsid w:val="008F6727"/>
    <w:rsid w:val="008F70B3"/>
    <w:rsid w:val="008F7359"/>
    <w:rsid w:val="008F75FF"/>
    <w:rsid w:val="008F760A"/>
    <w:rsid w:val="0090021A"/>
    <w:rsid w:val="00900BF7"/>
    <w:rsid w:val="0090106C"/>
    <w:rsid w:val="00901261"/>
    <w:rsid w:val="00901435"/>
    <w:rsid w:val="00901462"/>
    <w:rsid w:val="0090209B"/>
    <w:rsid w:val="00902BDE"/>
    <w:rsid w:val="00902F10"/>
    <w:rsid w:val="0090382F"/>
    <w:rsid w:val="009038B1"/>
    <w:rsid w:val="00903F36"/>
    <w:rsid w:val="00904B2C"/>
    <w:rsid w:val="00904CB0"/>
    <w:rsid w:val="00905A07"/>
    <w:rsid w:val="00905D65"/>
    <w:rsid w:val="00905F5D"/>
    <w:rsid w:val="00906326"/>
    <w:rsid w:val="00906615"/>
    <w:rsid w:val="0090676B"/>
    <w:rsid w:val="00906F7C"/>
    <w:rsid w:val="0090764D"/>
    <w:rsid w:val="0090774F"/>
    <w:rsid w:val="00907839"/>
    <w:rsid w:val="0090785E"/>
    <w:rsid w:val="009078A2"/>
    <w:rsid w:val="009109EB"/>
    <w:rsid w:val="00910C03"/>
    <w:rsid w:val="00910FAC"/>
    <w:rsid w:val="009117D4"/>
    <w:rsid w:val="00911931"/>
    <w:rsid w:val="00911C36"/>
    <w:rsid w:val="00911D77"/>
    <w:rsid w:val="00912F30"/>
    <w:rsid w:val="0091397A"/>
    <w:rsid w:val="00914283"/>
    <w:rsid w:val="009155A5"/>
    <w:rsid w:val="009162F0"/>
    <w:rsid w:val="0091648D"/>
    <w:rsid w:val="009168BD"/>
    <w:rsid w:val="00916C47"/>
    <w:rsid w:val="009177A5"/>
    <w:rsid w:val="0091797F"/>
    <w:rsid w:val="00920FB9"/>
    <w:rsid w:val="009215C5"/>
    <w:rsid w:val="009219A3"/>
    <w:rsid w:val="00921D00"/>
    <w:rsid w:val="0092228C"/>
    <w:rsid w:val="009225CA"/>
    <w:rsid w:val="0092301B"/>
    <w:rsid w:val="009231D6"/>
    <w:rsid w:val="00923945"/>
    <w:rsid w:val="00923DB6"/>
    <w:rsid w:val="00923FCE"/>
    <w:rsid w:val="009242DD"/>
    <w:rsid w:val="009247F5"/>
    <w:rsid w:val="00924A8A"/>
    <w:rsid w:val="00924AE8"/>
    <w:rsid w:val="00924D66"/>
    <w:rsid w:val="00924DB2"/>
    <w:rsid w:val="00924DCC"/>
    <w:rsid w:val="009256A2"/>
    <w:rsid w:val="00926126"/>
    <w:rsid w:val="00926735"/>
    <w:rsid w:val="0092687D"/>
    <w:rsid w:val="0092708D"/>
    <w:rsid w:val="00927269"/>
    <w:rsid w:val="009272A7"/>
    <w:rsid w:val="009273EF"/>
    <w:rsid w:val="0092756D"/>
    <w:rsid w:val="009275E6"/>
    <w:rsid w:val="00930113"/>
    <w:rsid w:val="00930FAC"/>
    <w:rsid w:val="0093127F"/>
    <w:rsid w:val="00931698"/>
    <w:rsid w:val="00931A71"/>
    <w:rsid w:val="00931ECB"/>
    <w:rsid w:val="0093217B"/>
    <w:rsid w:val="00932BF9"/>
    <w:rsid w:val="00932CCA"/>
    <w:rsid w:val="009330DB"/>
    <w:rsid w:val="00933770"/>
    <w:rsid w:val="00933850"/>
    <w:rsid w:val="00933F5F"/>
    <w:rsid w:val="00934FB1"/>
    <w:rsid w:val="009357A2"/>
    <w:rsid w:val="009358DC"/>
    <w:rsid w:val="00935DBC"/>
    <w:rsid w:val="0093608E"/>
    <w:rsid w:val="0093647C"/>
    <w:rsid w:val="00936748"/>
    <w:rsid w:val="00936EDA"/>
    <w:rsid w:val="009371D3"/>
    <w:rsid w:val="0093782C"/>
    <w:rsid w:val="00937A8B"/>
    <w:rsid w:val="00937F93"/>
    <w:rsid w:val="00940EE7"/>
    <w:rsid w:val="00941FFA"/>
    <w:rsid w:val="009423C3"/>
    <w:rsid w:val="00942484"/>
    <w:rsid w:val="009426F3"/>
    <w:rsid w:val="00942FA2"/>
    <w:rsid w:val="00943BFF"/>
    <w:rsid w:val="00943D81"/>
    <w:rsid w:val="00943E1A"/>
    <w:rsid w:val="00943EDB"/>
    <w:rsid w:val="00943F2F"/>
    <w:rsid w:val="0094423D"/>
    <w:rsid w:val="00944787"/>
    <w:rsid w:val="00944826"/>
    <w:rsid w:val="009448A7"/>
    <w:rsid w:val="00944E81"/>
    <w:rsid w:val="0094532F"/>
    <w:rsid w:val="00945D6F"/>
    <w:rsid w:val="00945EAE"/>
    <w:rsid w:val="00946755"/>
    <w:rsid w:val="0094677D"/>
    <w:rsid w:val="00946A3F"/>
    <w:rsid w:val="00947CA6"/>
    <w:rsid w:val="00947CEF"/>
    <w:rsid w:val="009504B1"/>
    <w:rsid w:val="0095149B"/>
    <w:rsid w:val="009517D8"/>
    <w:rsid w:val="0095248A"/>
    <w:rsid w:val="0095263F"/>
    <w:rsid w:val="00952913"/>
    <w:rsid w:val="00952D88"/>
    <w:rsid w:val="00952FBD"/>
    <w:rsid w:val="009534CF"/>
    <w:rsid w:val="00953616"/>
    <w:rsid w:val="009545E2"/>
    <w:rsid w:val="00954C42"/>
    <w:rsid w:val="009553E4"/>
    <w:rsid w:val="009557B9"/>
    <w:rsid w:val="00955831"/>
    <w:rsid w:val="00955C53"/>
    <w:rsid w:val="00955D33"/>
    <w:rsid w:val="009564FD"/>
    <w:rsid w:val="00956B3B"/>
    <w:rsid w:val="00957733"/>
    <w:rsid w:val="00957DF3"/>
    <w:rsid w:val="00957FF7"/>
    <w:rsid w:val="0096019A"/>
    <w:rsid w:val="0096029D"/>
    <w:rsid w:val="009606AE"/>
    <w:rsid w:val="00961859"/>
    <w:rsid w:val="00961AFC"/>
    <w:rsid w:val="00962FFB"/>
    <w:rsid w:val="00963715"/>
    <w:rsid w:val="00963832"/>
    <w:rsid w:val="00963ACF"/>
    <w:rsid w:val="009640A1"/>
    <w:rsid w:val="00964A2E"/>
    <w:rsid w:val="00964A93"/>
    <w:rsid w:val="00964B1D"/>
    <w:rsid w:val="009651D3"/>
    <w:rsid w:val="00965B7A"/>
    <w:rsid w:val="009666C5"/>
    <w:rsid w:val="00966974"/>
    <w:rsid w:val="00966F97"/>
    <w:rsid w:val="00967CCD"/>
    <w:rsid w:val="009700B7"/>
    <w:rsid w:val="0097033C"/>
    <w:rsid w:val="0097094E"/>
    <w:rsid w:val="009710D8"/>
    <w:rsid w:val="009713E4"/>
    <w:rsid w:val="009716D1"/>
    <w:rsid w:val="00971B06"/>
    <w:rsid w:val="00972134"/>
    <w:rsid w:val="009726AB"/>
    <w:rsid w:val="00973065"/>
    <w:rsid w:val="00973099"/>
    <w:rsid w:val="0097322F"/>
    <w:rsid w:val="009732E6"/>
    <w:rsid w:val="00973462"/>
    <w:rsid w:val="009734D6"/>
    <w:rsid w:val="009735B5"/>
    <w:rsid w:val="0097390C"/>
    <w:rsid w:val="00973DC8"/>
    <w:rsid w:val="00974018"/>
    <w:rsid w:val="009753AA"/>
    <w:rsid w:val="009758D4"/>
    <w:rsid w:val="00975AD4"/>
    <w:rsid w:val="00976237"/>
    <w:rsid w:val="00976E67"/>
    <w:rsid w:val="009774D4"/>
    <w:rsid w:val="00977723"/>
    <w:rsid w:val="00977E3F"/>
    <w:rsid w:val="00977FF8"/>
    <w:rsid w:val="009803D9"/>
    <w:rsid w:val="0098093F"/>
    <w:rsid w:val="00980BEB"/>
    <w:rsid w:val="009814B8"/>
    <w:rsid w:val="009817CE"/>
    <w:rsid w:val="00981A2F"/>
    <w:rsid w:val="009823EE"/>
    <w:rsid w:val="00982415"/>
    <w:rsid w:val="009825A3"/>
    <w:rsid w:val="00982AD0"/>
    <w:rsid w:val="00982BC9"/>
    <w:rsid w:val="0098303D"/>
    <w:rsid w:val="00983B05"/>
    <w:rsid w:val="00984547"/>
    <w:rsid w:val="009848AA"/>
    <w:rsid w:val="009848C6"/>
    <w:rsid w:val="00984A1D"/>
    <w:rsid w:val="00985088"/>
    <w:rsid w:val="009850F7"/>
    <w:rsid w:val="00985907"/>
    <w:rsid w:val="009869D6"/>
    <w:rsid w:val="00987096"/>
    <w:rsid w:val="0098719D"/>
    <w:rsid w:val="009875C0"/>
    <w:rsid w:val="009877F2"/>
    <w:rsid w:val="00987935"/>
    <w:rsid w:val="00987F24"/>
    <w:rsid w:val="0099087B"/>
    <w:rsid w:val="00990EEB"/>
    <w:rsid w:val="00991D6C"/>
    <w:rsid w:val="00991E90"/>
    <w:rsid w:val="00991F3C"/>
    <w:rsid w:val="009920D7"/>
    <w:rsid w:val="009928BE"/>
    <w:rsid w:val="00992C5C"/>
    <w:rsid w:val="00992E02"/>
    <w:rsid w:val="00993299"/>
    <w:rsid w:val="009932D3"/>
    <w:rsid w:val="00993766"/>
    <w:rsid w:val="00993ECB"/>
    <w:rsid w:val="009941D0"/>
    <w:rsid w:val="0099461F"/>
    <w:rsid w:val="009949E7"/>
    <w:rsid w:val="00995156"/>
    <w:rsid w:val="0099534C"/>
    <w:rsid w:val="0099565E"/>
    <w:rsid w:val="00995AB7"/>
    <w:rsid w:val="00996541"/>
    <w:rsid w:val="00996AF8"/>
    <w:rsid w:val="00996DF8"/>
    <w:rsid w:val="00996F0C"/>
    <w:rsid w:val="0099789E"/>
    <w:rsid w:val="00997AE3"/>
    <w:rsid w:val="009A0865"/>
    <w:rsid w:val="009A09A9"/>
    <w:rsid w:val="009A1208"/>
    <w:rsid w:val="009A14E3"/>
    <w:rsid w:val="009A1DA5"/>
    <w:rsid w:val="009A2328"/>
    <w:rsid w:val="009A2AD9"/>
    <w:rsid w:val="009A2B20"/>
    <w:rsid w:val="009A2E79"/>
    <w:rsid w:val="009A30D1"/>
    <w:rsid w:val="009A3159"/>
    <w:rsid w:val="009A32A9"/>
    <w:rsid w:val="009A340A"/>
    <w:rsid w:val="009A3CF0"/>
    <w:rsid w:val="009A3E1F"/>
    <w:rsid w:val="009A3F65"/>
    <w:rsid w:val="009A4195"/>
    <w:rsid w:val="009A494D"/>
    <w:rsid w:val="009A4B50"/>
    <w:rsid w:val="009A5217"/>
    <w:rsid w:val="009A5F90"/>
    <w:rsid w:val="009A6110"/>
    <w:rsid w:val="009A6B0D"/>
    <w:rsid w:val="009A6D2D"/>
    <w:rsid w:val="009A73DB"/>
    <w:rsid w:val="009A78A8"/>
    <w:rsid w:val="009B0510"/>
    <w:rsid w:val="009B0603"/>
    <w:rsid w:val="009B0951"/>
    <w:rsid w:val="009B0A62"/>
    <w:rsid w:val="009B0CE6"/>
    <w:rsid w:val="009B0DE0"/>
    <w:rsid w:val="009B0E54"/>
    <w:rsid w:val="009B1E8F"/>
    <w:rsid w:val="009B1FA4"/>
    <w:rsid w:val="009B2585"/>
    <w:rsid w:val="009B2D66"/>
    <w:rsid w:val="009B3842"/>
    <w:rsid w:val="009B3B49"/>
    <w:rsid w:val="009B3DBA"/>
    <w:rsid w:val="009B432E"/>
    <w:rsid w:val="009B450E"/>
    <w:rsid w:val="009B4846"/>
    <w:rsid w:val="009B4EBE"/>
    <w:rsid w:val="009B4FD6"/>
    <w:rsid w:val="009B5ED8"/>
    <w:rsid w:val="009B6591"/>
    <w:rsid w:val="009B7F11"/>
    <w:rsid w:val="009C05A0"/>
    <w:rsid w:val="009C06BB"/>
    <w:rsid w:val="009C0EF6"/>
    <w:rsid w:val="009C1070"/>
    <w:rsid w:val="009C1487"/>
    <w:rsid w:val="009C1EA6"/>
    <w:rsid w:val="009C3804"/>
    <w:rsid w:val="009C49BB"/>
    <w:rsid w:val="009C4B12"/>
    <w:rsid w:val="009C547E"/>
    <w:rsid w:val="009C5587"/>
    <w:rsid w:val="009C5A88"/>
    <w:rsid w:val="009C60BA"/>
    <w:rsid w:val="009C68B4"/>
    <w:rsid w:val="009C7276"/>
    <w:rsid w:val="009C73F3"/>
    <w:rsid w:val="009C778D"/>
    <w:rsid w:val="009D025F"/>
    <w:rsid w:val="009D0D67"/>
    <w:rsid w:val="009D1D76"/>
    <w:rsid w:val="009D1FF4"/>
    <w:rsid w:val="009D2597"/>
    <w:rsid w:val="009D288C"/>
    <w:rsid w:val="009D2DEE"/>
    <w:rsid w:val="009D2E03"/>
    <w:rsid w:val="009D3691"/>
    <w:rsid w:val="009D3E7E"/>
    <w:rsid w:val="009D401F"/>
    <w:rsid w:val="009D4499"/>
    <w:rsid w:val="009D4566"/>
    <w:rsid w:val="009D4C96"/>
    <w:rsid w:val="009D4EB8"/>
    <w:rsid w:val="009D534F"/>
    <w:rsid w:val="009D5A16"/>
    <w:rsid w:val="009D6310"/>
    <w:rsid w:val="009D700F"/>
    <w:rsid w:val="009D7908"/>
    <w:rsid w:val="009E0E41"/>
    <w:rsid w:val="009E0EB6"/>
    <w:rsid w:val="009E129C"/>
    <w:rsid w:val="009E17F7"/>
    <w:rsid w:val="009E1BF8"/>
    <w:rsid w:val="009E21A6"/>
    <w:rsid w:val="009E3999"/>
    <w:rsid w:val="009E3D35"/>
    <w:rsid w:val="009E407D"/>
    <w:rsid w:val="009E4564"/>
    <w:rsid w:val="009E4846"/>
    <w:rsid w:val="009E4AE7"/>
    <w:rsid w:val="009E4C38"/>
    <w:rsid w:val="009E54FB"/>
    <w:rsid w:val="009E58C1"/>
    <w:rsid w:val="009E5C45"/>
    <w:rsid w:val="009E6949"/>
    <w:rsid w:val="009E7008"/>
    <w:rsid w:val="009E7654"/>
    <w:rsid w:val="009F038D"/>
    <w:rsid w:val="009F0575"/>
    <w:rsid w:val="009F0EB6"/>
    <w:rsid w:val="009F0F41"/>
    <w:rsid w:val="009F11B4"/>
    <w:rsid w:val="009F1CB8"/>
    <w:rsid w:val="009F20A7"/>
    <w:rsid w:val="009F22A3"/>
    <w:rsid w:val="009F3410"/>
    <w:rsid w:val="009F3935"/>
    <w:rsid w:val="009F3B03"/>
    <w:rsid w:val="009F408D"/>
    <w:rsid w:val="009F40FB"/>
    <w:rsid w:val="009F502C"/>
    <w:rsid w:val="009F5C3F"/>
    <w:rsid w:val="009F65CF"/>
    <w:rsid w:val="009F68D0"/>
    <w:rsid w:val="009F69BA"/>
    <w:rsid w:val="009F7081"/>
    <w:rsid w:val="009F7750"/>
    <w:rsid w:val="009F7768"/>
    <w:rsid w:val="009F7F30"/>
    <w:rsid w:val="00A00013"/>
    <w:rsid w:val="00A0076B"/>
    <w:rsid w:val="00A00DAC"/>
    <w:rsid w:val="00A01D41"/>
    <w:rsid w:val="00A02F34"/>
    <w:rsid w:val="00A03148"/>
    <w:rsid w:val="00A03B67"/>
    <w:rsid w:val="00A0462B"/>
    <w:rsid w:val="00A05DCF"/>
    <w:rsid w:val="00A060C4"/>
    <w:rsid w:val="00A067D0"/>
    <w:rsid w:val="00A067F8"/>
    <w:rsid w:val="00A069F9"/>
    <w:rsid w:val="00A06DC2"/>
    <w:rsid w:val="00A0753E"/>
    <w:rsid w:val="00A1078F"/>
    <w:rsid w:val="00A113F9"/>
    <w:rsid w:val="00A119C3"/>
    <w:rsid w:val="00A11E64"/>
    <w:rsid w:val="00A124B5"/>
    <w:rsid w:val="00A127F7"/>
    <w:rsid w:val="00A130D9"/>
    <w:rsid w:val="00A134FE"/>
    <w:rsid w:val="00A13861"/>
    <w:rsid w:val="00A13D60"/>
    <w:rsid w:val="00A13F36"/>
    <w:rsid w:val="00A147F3"/>
    <w:rsid w:val="00A14BD7"/>
    <w:rsid w:val="00A154B4"/>
    <w:rsid w:val="00A155A2"/>
    <w:rsid w:val="00A15D70"/>
    <w:rsid w:val="00A161B5"/>
    <w:rsid w:val="00A16893"/>
    <w:rsid w:val="00A16BEE"/>
    <w:rsid w:val="00A16DC7"/>
    <w:rsid w:val="00A16EBE"/>
    <w:rsid w:val="00A175C6"/>
    <w:rsid w:val="00A17694"/>
    <w:rsid w:val="00A17C70"/>
    <w:rsid w:val="00A20327"/>
    <w:rsid w:val="00A20657"/>
    <w:rsid w:val="00A20FF7"/>
    <w:rsid w:val="00A211D1"/>
    <w:rsid w:val="00A2128C"/>
    <w:rsid w:val="00A21460"/>
    <w:rsid w:val="00A2148B"/>
    <w:rsid w:val="00A21BF3"/>
    <w:rsid w:val="00A226C4"/>
    <w:rsid w:val="00A22C5D"/>
    <w:rsid w:val="00A22F19"/>
    <w:rsid w:val="00A23091"/>
    <w:rsid w:val="00A231C0"/>
    <w:rsid w:val="00A232CE"/>
    <w:rsid w:val="00A23479"/>
    <w:rsid w:val="00A2348B"/>
    <w:rsid w:val="00A234F5"/>
    <w:rsid w:val="00A2357B"/>
    <w:rsid w:val="00A237EA"/>
    <w:rsid w:val="00A23926"/>
    <w:rsid w:val="00A23DC1"/>
    <w:rsid w:val="00A2443B"/>
    <w:rsid w:val="00A2444E"/>
    <w:rsid w:val="00A2455E"/>
    <w:rsid w:val="00A24762"/>
    <w:rsid w:val="00A2497F"/>
    <w:rsid w:val="00A24C28"/>
    <w:rsid w:val="00A25B20"/>
    <w:rsid w:val="00A25B28"/>
    <w:rsid w:val="00A25DD9"/>
    <w:rsid w:val="00A25E35"/>
    <w:rsid w:val="00A260FE"/>
    <w:rsid w:val="00A2665F"/>
    <w:rsid w:val="00A26A3E"/>
    <w:rsid w:val="00A26CA4"/>
    <w:rsid w:val="00A26E81"/>
    <w:rsid w:val="00A270CB"/>
    <w:rsid w:val="00A27526"/>
    <w:rsid w:val="00A275BE"/>
    <w:rsid w:val="00A275C0"/>
    <w:rsid w:val="00A279D2"/>
    <w:rsid w:val="00A27B08"/>
    <w:rsid w:val="00A27C33"/>
    <w:rsid w:val="00A30016"/>
    <w:rsid w:val="00A307FF"/>
    <w:rsid w:val="00A309A6"/>
    <w:rsid w:val="00A30B37"/>
    <w:rsid w:val="00A30E44"/>
    <w:rsid w:val="00A31306"/>
    <w:rsid w:val="00A314F1"/>
    <w:rsid w:val="00A3214E"/>
    <w:rsid w:val="00A32547"/>
    <w:rsid w:val="00A328B6"/>
    <w:rsid w:val="00A328F5"/>
    <w:rsid w:val="00A3303A"/>
    <w:rsid w:val="00A33722"/>
    <w:rsid w:val="00A34207"/>
    <w:rsid w:val="00A342DB"/>
    <w:rsid w:val="00A35EE8"/>
    <w:rsid w:val="00A3623B"/>
    <w:rsid w:val="00A368B2"/>
    <w:rsid w:val="00A368D8"/>
    <w:rsid w:val="00A36AD7"/>
    <w:rsid w:val="00A372B1"/>
    <w:rsid w:val="00A37437"/>
    <w:rsid w:val="00A3745C"/>
    <w:rsid w:val="00A375C0"/>
    <w:rsid w:val="00A37643"/>
    <w:rsid w:val="00A37ADB"/>
    <w:rsid w:val="00A37D13"/>
    <w:rsid w:val="00A401CA"/>
    <w:rsid w:val="00A4096B"/>
    <w:rsid w:val="00A40997"/>
    <w:rsid w:val="00A41010"/>
    <w:rsid w:val="00A428BC"/>
    <w:rsid w:val="00A42EC2"/>
    <w:rsid w:val="00A432A6"/>
    <w:rsid w:val="00A438A1"/>
    <w:rsid w:val="00A449D3"/>
    <w:rsid w:val="00A44C01"/>
    <w:rsid w:val="00A44DD2"/>
    <w:rsid w:val="00A45519"/>
    <w:rsid w:val="00A458E5"/>
    <w:rsid w:val="00A4625A"/>
    <w:rsid w:val="00A467A1"/>
    <w:rsid w:val="00A46CCD"/>
    <w:rsid w:val="00A46E98"/>
    <w:rsid w:val="00A47048"/>
    <w:rsid w:val="00A4716B"/>
    <w:rsid w:val="00A47831"/>
    <w:rsid w:val="00A50731"/>
    <w:rsid w:val="00A51151"/>
    <w:rsid w:val="00A5117A"/>
    <w:rsid w:val="00A5121D"/>
    <w:rsid w:val="00A51238"/>
    <w:rsid w:val="00A5162A"/>
    <w:rsid w:val="00A51F2B"/>
    <w:rsid w:val="00A52100"/>
    <w:rsid w:val="00A52587"/>
    <w:rsid w:val="00A52D9F"/>
    <w:rsid w:val="00A531AA"/>
    <w:rsid w:val="00A543A4"/>
    <w:rsid w:val="00A54428"/>
    <w:rsid w:val="00A54D92"/>
    <w:rsid w:val="00A55374"/>
    <w:rsid w:val="00A55D72"/>
    <w:rsid w:val="00A565AA"/>
    <w:rsid w:val="00A5687C"/>
    <w:rsid w:val="00A56C48"/>
    <w:rsid w:val="00A56D6E"/>
    <w:rsid w:val="00A56F3C"/>
    <w:rsid w:val="00A571A8"/>
    <w:rsid w:val="00A57901"/>
    <w:rsid w:val="00A57D19"/>
    <w:rsid w:val="00A6030B"/>
    <w:rsid w:val="00A6049C"/>
    <w:rsid w:val="00A60646"/>
    <w:rsid w:val="00A60A30"/>
    <w:rsid w:val="00A60B9D"/>
    <w:rsid w:val="00A6126E"/>
    <w:rsid w:val="00A61403"/>
    <w:rsid w:val="00A622E7"/>
    <w:rsid w:val="00A625E3"/>
    <w:rsid w:val="00A62789"/>
    <w:rsid w:val="00A6281C"/>
    <w:rsid w:val="00A62E1C"/>
    <w:rsid w:val="00A64317"/>
    <w:rsid w:val="00A646A7"/>
    <w:rsid w:val="00A64710"/>
    <w:rsid w:val="00A64DAC"/>
    <w:rsid w:val="00A65AE2"/>
    <w:rsid w:val="00A65B92"/>
    <w:rsid w:val="00A65C79"/>
    <w:rsid w:val="00A6615C"/>
    <w:rsid w:val="00A6630A"/>
    <w:rsid w:val="00A66488"/>
    <w:rsid w:val="00A67551"/>
    <w:rsid w:val="00A675A6"/>
    <w:rsid w:val="00A67A7A"/>
    <w:rsid w:val="00A67AEC"/>
    <w:rsid w:val="00A7025A"/>
    <w:rsid w:val="00A723BB"/>
    <w:rsid w:val="00A723F5"/>
    <w:rsid w:val="00A73192"/>
    <w:rsid w:val="00A734DB"/>
    <w:rsid w:val="00A73A50"/>
    <w:rsid w:val="00A73C0B"/>
    <w:rsid w:val="00A73F70"/>
    <w:rsid w:val="00A743F1"/>
    <w:rsid w:val="00A746B8"/>
    <w:rsid w:val="00A7486E"/>
    <w:rsid w:val="00A74FA3"/>
    <w:rsid w:val="00A75293"/>
    <w:rsid w:val="00A758FD"/>
    <w:rsid w:val="00A759F4"/>
    <w:rsid w:val="00A75E7D"/>
    <w:rsid w:val="00A76259"/>
    <w:rsid w:val="00A762DF"/>
    <w:rsid w:val="00A763B5"/>
    <w:rsid w:val="00A769F7"/>
    <w:rsid w:val="00A76A43"/>
    <w:rsid w:val="00A770EC"/>
    <w:rsid w:val="00A77423"/>
    <w:rsid w:val="00A77483"/>
    <w:rsid w:val="00A776B3"/>
    <w:rsid w:val="00A77F8B"/>
    <w:rsid w:val="00A80796"/>
    <w:rsid w:val="00A80B1F"/>
    <w:rsid w:val="00A80C67"/>
    <w:rsid w:val="00A810BD"/>
    <w:rsid w:val="00A815B0"/>
    <w:rsid w:val="00A81617"/>
    <w:rsid w:val="00A81BFE"/>
    <w:rsid w:val="00A81F20"/>
    <w:rsid w:val="00A81F8B"/>
    <w:rsid w:val="00A82173"/>
    <w:rsid w:val="00A8263C"/>
    <w:rsid w:val="00A82C13"/>
    <w:rsid w:val="00A82F41"/>
    <w:rsid w:val="00A8300B"/>
    <w:rsid w:val="00A83922"/>
    <w:rsid w:val="00A83BB7"/>
    <w:rsid w:val="00A83FEB"/>
    <w:rsid w:val="00A847DD"/>
    <w:rsid w:val="00A84B59"/>
    <w:rsid w:val="00A84F5F"/>
    <w:rsid w:val="00A85628"/>
    <w:rsid w:val="00A85974"/>
    <w:rsid w:val="00A85998"/>
    <w:rsid w:val="00A85AF6"/>
    <w:rsid w:val="00A85CD1"/>
    <w:rsid w:val="00A85E2C"/>
    <w:rsid w:val="00A85FFB"/>
    <w:rsid w:val="00A86003"/>
    <w:rsid w:val="00A8602B"/>
    <w:rsid w:val="00A866F5"/>
    <w:rsid w:val="00A86F51"/>
    <w:rsid w:val="00A87C69"/>
    <w:rsid w:val="00A87D34"/>
    <w:rsid w:val="00A87FEA"/>
    <w:rsid w:val="00A90609"/>
    <w:rsid w:val="00A9081A"/>
    <w:rsid w:val="00A90B29"/>
    <w:rsid w:val="00A90BAE"/>
    <w:rsid w:val="00A91528"/>
    <w:rsid w:val="00A91B99"/>
    <w:rsid w:val="00A91C49"/>
    <w:rsid w:val="00A91C74"/>
    <w:rsid w:val="00A91FE6"/>
    <w:rsid w:val="00A9251E"/>
    <w:rsid w:val="00A927AC"/>
    <w:rsid w:val="00A928F5"/>
    <w:rsid w:val="00A92C21"/>
    <w:rsid w:val="00A9302C"/>
    <w:rsid w:val="00A935AF"/>
    <w:rsid w:val="00A93735"/>
    <w:rsid w:val="00A939DB"/>
    <w:rsid w:val="00A93CF0"/>
    <w:rsid w:val="00A93FD7"/>
    <w:rsid w:val="00A940F8"/>
    <w:rsid w:val="00A94B9F"/>
    <w:rsid w:val="00A9559A"/>
    <w:rsid w:val="00A95F0E"/>
    <w:rsid w:val="00A96478"/>
    <w:rsid w:val="00A96493"/>
    <w:rsid w:val="00A96AF0"/>
    <w:rsid w:val="00A9717A"/>
    <w:rsid w:val="00A97643"/>
    <w:rsid w:val="00A97E09"/>
    <w:rsid w:val="00AA0B4C"/>
    <w:rsid w:val="00AA0C06"/>
    <w:rsid w:val="00AA0C21"/>
    <w:rsid w:val="00AA1542"/>
    <w:rsid w:val="00AA157F"/>
    <w:rsid w:val="00AA1722"/>
    <w:rsid w:val="00AA18F6"/>
    <w:rsid w:val="00AA1F29"/>
    <w:rsid w:val="00AA2C31"/>
    <w:rsid w:val="00AA2F4C"/>
    <w:rsid w:val="00AA32A7"/>
    <w:rsid w:val="00AA365F"/>
    <w:rsid w:val="00AA3FFC"/>
    <w:rsid w:val="00AA471E"/>
    <w:rsid w:val="00AA5D9E"/>
    <w:rsid w:val="00AA6278"/>
    <w:rsid w:val="00AA62CC"/>
    <w:rsid w:val="00AA6351"/>
    <w:rsid w:val="00AA64A1"/>
    <w:rsid w:val="00AA6648"/>
    <w:rsid w:val="00AA754C"/>
    <w:rsid w:val="00AB0736"/>
    <w:rsid w:val="00AB07A2"/>
    <w:rsid w:val="00AB0B74"/>
    <w:rsid w:val="00AB1202"/>
    <w:rsid w:val="00AB1B97"/>
    <w:rsid w:val="00AB1F33"/>
    <w:rsid w:val="00AB2044"/>
    <w:rsid w:val="00AB2C81"/>
    <w:rsid w:val="00AB2CD0"/>
    <w:rsid w:val="00AB2DDD"/>
    <w:rsid w:val="00AB2EBA"/>
    <w:rsid w:val="00AB3504"/>
    <w:rsid w:val="00AB3ECC"/>
    <w:rsid w:val="00AB3FFA"/>
    <w:rsid w:val="00AB4717"/>
    <w:rsid w:val="00AB4BC0"/>
    <w:rsid w:val="00AB4F12"/>
    <w:rsid w:val="00AB536B"/>
    <w:rsid w:val="00AB5608"/>
    <w:rsid w:val="00AB5695"/>
    <w:rsid w:val="00AB5C1E"/>
    <w:rsid w:val="00AB5D37"/>
    <w:rsid w:val="00AB639D"/>
    <w:rsid w:val="00AB6401"/>
    <w:rsid w:val="00AB69A0"/>
    <w:rsid w:val="00AB69E8"/>
    <w:rsid w:val="00AB6A04"/>
    <w:rsid w:val="00AB6B68"/>
    <w:rsid w:val="00AB6CC2"/>
    <w:rsid w:val="00AB75C6"/>
    <w:rsid w:val="00AB7CAE"/>
    <w:rsid w:val="00AC0637"/>
    <w:rsid w:val="00AC08E3"/>
    <w:rsid w:val="00AC0E0C"/>
    <w:rsid w:val="00AC0E8B"/>
    <w:rsid w:val="00AC1193"/>
    <w:rsid w:val="00AC255B"/>
    <w:rsid w:val="00AC2C72"/>
    <w:rsid w:val="00AC30B9"/>
    <w:rsid w:val="00AC3161"/>
    <w:rsid w:val="00AC3BFA"/>
    <w:rsid w:val="00AC3CE5"/>
    <w:rsid w:val="00AC3F70"/>
    <w:rsid w:val="00AC3FD8"/>
    <w:rsid w:val="00AC42C1"/>
    <w:rsid w:val="00AC43ED"/>
    <w:rsid w:val="00AC44EA"/>
    <w:rsid w:val="00AC45B9"/>
    <w:rsid w:val="00AC51AF"/>
    <w:rsid w:val="00AC51B3"/>
    <w:rsid w:val="00AC572E"/>
    <w:rsid w:val="00AC6177"/>
    <w:rsid w:val="00AC6888"/>
    <w:rsid w:val="00AC6A06"/>
    <w:rsid w:val="00AC7271"/>
    <w:rsid w:val="00AC72C9"/>
    <w:rsid w:val="00AC7C97"/>
    <w:rsid w:val="00AC7D0F"/>
    <w:rsid w:val="00AD0856"/>
    <w:rsid w:val="00AD088E"/>
    <w:rsid w:val="00AD159A"/>
    <w:rsid w:val="00AD1FDE"/>
    <w:rsid w:val="00AD2108"/>
    <w:rsid w:val="00AD247F"/>
    <w:rsid w:val="00AD253C"/>
    <w:rsid w:val="00AD2958"/>
    <w:rsid w:val="00AD295F"/>
    <w:rsid w:val="00AD2D61"/>
    <w:rsid w:val="00AD2D93"/>
    <w:rsid w:val="00AD32A8"/>
    <w:rsid w:val="00AD336B"/>
    <w:rsid w:val="00AD363D"/>
    <w:rsid w:val="00AD39E3"/>
    <w:rsid w:val="00AD3D6E"/>
    <w:rsid w:val="00AD428E"/>
    <w:rsid w:val="00AD53F5"/>
    <w:rsid w:val="00AD59AA"/>
    <w:rsid w:val="00AD5B5F"/>
    <w:rsid w:val="00AD6500"/>
    <w:rsid w:val="00AD65FF"/>
    <w:rsid w:val="00AD6858"/>
    <w:rsid w:val="00AD6A23"/>
    <w:rsid w:val="00AD6AEF"/>
    <w:rsid w:val="00AD6C99"/>
    <w:rsid w:val="00AD6DD7"/>
    <w:rsid w:val="00AD6F66"/>
    <w:rsid w:val="00AD6F8A"/>
    <w:rsid w:val="00AD721F"/>
    <w:rsid w:val="00AD7AD5"/>
    <w:rsid w:val="00AE00C1"/>
    <w:rsid w:val="00AE07D0"/>
    <w:rsid w:val="00AE0AC1"/>
    <w:rsid w:val="00AE0B46"/>
    <w:rsid w:val="00AE2540"/>
    <w:rsid w:val="00AE2BAB"/>
    <w:rsid w:val="00AE2F79"/>
    <w:rsid w:val="00AE400B"/>
    <w:rsid w:val="00AE4B93"/>
    <w:rsid w:val="00AE4E45"/>
    <w:rsid w:val="00AE59F7"/>
    <w:rsid w:val="00AE5B6A"/>
    <w:rsid w:val="00AE5E78"/>
    <w:rsid w:val="00AE5F7A"/>
    <w:rsid w:val="00AE78A4"/>
    <w:rsid w:val="00AE7E09"/>
    <w:rsid w:val="00AF00CC"/>
    <w:rsid w:val="00AF0A6A"/>
    <w:rsid w:val="00AF0D64"/>
    <w:rsid w:val="00AF0F43"/>
    <w:rsid w:val="00AF152C"/>
    <w:rsid w:val="00AF1966"/>
    <w:rsid w:val="00AF2212"/>
    <w:rsid w:val="00AF41AE"/>
    <w:rsid w:val="00AF4843"/>
    <w:rsid w:val="00AF4E3C"/>
    <w:rsid w:val="00AF570F"/>
    <w:rsid w:val="00AF59AE"/>
    <w:rsid w:val="00AF5BFB"/>
    <w:rsid w:val="00AF5F4A"/>
    <w:rsid w:val="00AF6621"/>
    <w:rsid w:val="00AF674B"/>
    <w:rsid w:val="00AF6ACC"/>
    <w:rsid w:val="00AF7AD2"/>
    <w:rsid w:val="00B00065"/>
    <w:rsid w:val="00B00105"/>
    <w:rsid w:val="00B00D1D"/>
    <w:rsid w:val="00B00D98"/>
    <w:rsid w:val="00B010CD"/>
    <w:rsid w:val="00B012E7"/>
    <w:rsid w:val="00B01424"/>
    <w:rsid w:val="00B01654"/>
    <w:rsid w:val="00B0172B"/>
    <w:rsid w:val="00B01794"/>
    <w:rsid w:val="00B01AC0"/>
    <w:rsid w:val="00B01EE2"/>
    <w:rsid w:val="00B0202B"/>
    <w:rsid w:val="00B021F9"/>
    <w:rsid w:val="00B02FA9"/>
    <w:rsid w:val="00B03358"/>
    <w:rsid w:val="00B03607"/>
    <w:rsid w:val="00B03724"/>
    <w:rsid w:val="00B03994"/>
    <w:rsid w:val="00B049FC"/>
    <w:rsid w:val="00B04C8D"/>
    <w:rsid w:val="00B0527A"/>
    <w:rsid w:val="00B0586B"/>
    <w:rsid w:val="00B05FA1"/>
    <w:rsid w:val="00B0657D"/>
    <w:rsid w:val="00B068A9"/>
    <w:rsid w:val="00B06B61"/>
    <w:rsid w:val="00B06C14"/>
    <w:rsid w:val="00B0707E"/>
    <w:rsid w:val="00B07A9D"/>
    <w:rsid w:val="00B07C86"/>
    <w:rsid w:val="00B07EDE"/>
    <w:rsid w:val="00B10364"/>
    <w:rsid w:val="00B10380"/>
    <w:rsid w:val="00B10407"/>
    <w:rsid w:val="00B104FF"/>
    <w:rsid w:val="00B11262"/>
    <w:rsid w:val="00B11373"/>
    <w:rsid w:val="00B11636"/>
    <w:rsid w:val="00B1171D"/>
    <w:rsid w:val="00B124A3"/>
    <w:rsid w:val="00B12DBB"/>
    <w:rsid w:val="00B12F6D"/>
    <w:rsid w:val="00B1342E"/>
    <w:rsid w:val="00B13666"/>
    <w:rsid w:val="00B136DA"/>
    <w:rsid w:val="00B13905"/>
    <w:rsid w:val="00B13CD2"/>
    <w:rsid w:val="00B143C3"/>
    <w:rsid w:val="00B14957"/>
    <w:rsid w:val="00B14B3C"/>
    <w:rsid w:val="00B14FC9"/>
    <w:rsid w:val="00B1518F"/>
    <w:rsid w:val="00B1557B"/>
    <w:rsid w:val="00B1583F"/>
    <w:rsid w:val="00B15B20"/>
    <w:rsid w:val="00B15C8C"/>
    <w:rsid w:val="00B161E2"/>
    <w:rsid w:val="00B16247"/>
    <w:rsid w:val="00B16780"/>
    <w:rsid w:val="00B16B23"/>
    <w:rsid w:val="00B16DD0"/>
    <w:rsid w:val="00B177D3"/>
    <w:rsid w:val="00B178E9"/>
    <w:rsid w:val="00B17D75"/>
    <w:rsid w:val="00B17EE6"/>
    <w:rsid w:val="00B2015A"/>
    <w:rsid w:val="00B20DB0"/>
    <w:rsid w:val="00B20EBF"/>
    <w:rsid w:val="00B20F46"/>
    <w:rsid w:val="00B212E2"/>
    <w:rsid w:val="00B2296F"/>
    <w:rsid w:val="00B232C7"/>
    <w:rsid w:val="00B233EA"/>
    <w:rsid w:val="00B238F3"/>
    <w:rsid w:val="00B23DCC"/>
    <w:rsid w:val="00B240E8"/>
    <w:rsid w:val="00B25123"/>
    <w:rsid w:val="00B2596A"/>
    <w:rsid w:val="00B25B84"/>
    <w:rsid w:val="00B25D22"/>
    <w:rsid w:val="00B262A0"/>
    <w:rsid w:val="00B26AC4"/>
    <w:rsid w:val="00B26AD7"/>
    <w:rsid w:val="00B271AC"/>
    <w:rsid w:val="00B27B28"/>
    <w:rsid w:val="00B27BA9"/>
    <w:rsid w:val="00B3091E"/>
    <w:rsid w:val="00B31126"/>
    <w:rsid w:val="00B31377"/>
    <w:rsid w:val="00B32177"/>
    <w:rsid w:val="00B321C2"/>
    <w:rsid w:val="00B32504"/>
    <w:rsid w:val="00B3270D"/>
    <w:rsid w:val="00B32B27"/>
    <w:rsid w:val="00B32B6B"/>
    <w:rsid w:val="00B32F21"/>
    <w:rsid w:val="00B338CA"/>
    <w:rsid w:val="00B33A94"/>
    <w:rsid w:val="00B33AF5"/>
    <w:rsid w:val="00B33C6C"/>
    <w:rsid w:val="00B340E8"/>
    <w:rsid w:val="00B34326"/>
    <w:rsid w:val="00B35ACB"/>
    <w:rsid w:val="00B35C15"/>
    <w:rsid w:val="00B35D8A"/>
    <w:rsid w:val="00B3661C"/>
    <w:rsid w:val="00B36908"/>
    <w:rsid w:val="00B36A72"/>
    <w:rsid w:val="00B36E10"/>
    <w:rsid w:val="00B37090"/>
    <w:rsid w:val="00B3752E"/>
    <w:rsid w:val="00B377F0"/>
    <w:rsid w:val="00B37C22"/>
    <w:rsid w:val="00B37D63"/>
    <w:rsid w:val="00B402B5"/>
    <w:rsid w:val="00B404F9"/>
    <w:rsid w:val="00B40DED"/>
    <w:rsid w:val="00B41D24"/>
    <w:rsid w:val="00B41F47"/>
    <w:rsid w:val="00B421DA"/>
    <w:rsid w:val="00B42FDB"/>
    <w:rsid w:val="00B432A2"/>
    <w:rsid w:val="00B43526"/>
    <w:rsid w:val="00B43565"/>
    <w:rsid w:val="00B436A0"/>
    <w:rsid w:val="00B43780"/>
    <w:rsid w:val="00B4381B"/>
    <w:rsid w:val="00B43F53"/>
    <w:rsid w:val="00B441A0"/>
    <w:rsid w:val="00B44676"/>
    <w:rsid w:val="00B446F3"/>
    <w:rsid w:val="00B44737"/>
    <w:rsid w:val="00B4495E"/>
    <w:rsid w:val="00B45338"/>
    <w:rsid w:val="00B45C25"/>
    <w:rsid w:val="00B45D18"/>
    <w:rsid w:val="00B46051"/>
    <w:rsid w:val="00B4649C"/>
    <w:rsid w:val="00B46F5D"/>
    <w:rsid w:val="00B473BE"/>
    <w:rsid w:val="00B47E15"/>
    <w:rsid w:val="00B50EBC"/>
    <w:rsid w:val="00B50F25"/>
    <w:rsid w:val="00B51438"/>
    <w:rsid w:val="00B51714"/>
    <w:rsid w:val="00B517E3"/>
    <w:rsid w:val="00B5197B"/>
    <w:rsid w:val="00B51994"/>
    <w:rsid w:val="00B51D67"/>
    <w:rsid w:val="00B526A9"/>
    <w:rsid w:val="00B53268"/>
    <w:rsid w:val="00B53D17"/>
    <w:rsid w:val="00B54304"/>
    <w:rsid w:val="00B54632"/>
    <w:rsid w:val="00B54E57"/>
    <w:rsid w:val="00B55028"/>
    <w:rsid w:val="00B559F3"/>
    <w:rsid w:val="00B57234"/>
    <w:rsid w:val="00B572BE"/>
    <w:rsid w:val="00B57420"/>
    <w:rsid w:val="00B57C00"/>
    <w:rsid w:val="00B57DDB"/>
    <w:rsid w:val="00B60289"/>
    <w:rsid w:val="00B60458"/>
    <w:rsid w:val="00B605E4"/>
    <w:rsid w:val="00B60CE1"/>
    <w:rsid w:val="00B6153C"/>
    <w:rsid w:val="00B61F04"/>
    <w:rsid w:val="00B6218B"/>
    <w:rsid w:val="00B6274B"/>
    <w:rsid w:val="00B62DD7"/>
    <w:rsid w:val="00B63702"/>
    <w:rsid w:val="00B6395A"/>
    <w:rsid w:val="00B64D15"/>
    <w:rsid w:val="00B65609"/>
    <w:rsid w:val="00B656DB"/>
    <w:rsid w:val="00B66053"/>
    <w:rsid w:val="00B66453"/>
    <w:rsid w:val="00B66544"/>
    <w:rsid w:val="00B66A6B"/>
    <w:rsid w:val="00B66AAE"/>
    <w:rsid w:val="00B67081"/>
    <w:rsid w:val="00B67296"/>
    <w:rsid w:val="00B673F8"/>
    <w:rsid w:val="00B677A6"/>
    <w:rsid w:val="00B67A6D"/>
    <w:rsid w:val="00B70083"/>
    <w:rsid w:val="00B7062C"/>
    <w:rsid w:val="00B70745"/>
    <w:rsid w:val="00B70B10"/>
    <w:rsid w:val="00B70B21"/>
    <w:rsid w:val="00B711E5"/>
    <w:rsid w:val="00B7120F"/>
    <w:rsid w:val="00B71BBC"/>
    <w:rsid w:val="00B7204D"/>
    <w:rsid w:val="00B7226A"/>
    <w:rsid w:val="00B724C9"/>
    <w:rsid w:val="00B72AC6"/>
    <w:rsid w:val="00B730FD"/>
    <w:rsid w:val="00B7324B"/>
    <w:rsid w:val="00B733DA"/>
    <w:rsid w:val="00B73813"/>
    <w:rsid w:val="00B73AD0"/>
    <w:rsid w:val="00B73E60"/>
    <w:rsid w:val="00B74613"/>
    <w:rsid w:val="00B7467F"/>
    <w:rsid w:val="00B74B4A"/>
    <w:rsid w:val="00B74EC0"/>
    <w:rsid w:val="00B75322"/>
    <w:rsid w:val="00B75514"/>
    <w:rsid w:val="00B757A8"/>
    <w:rsid w:val="00B75A6F"/>
    <w:rsid w:val="00B75BBD"/>
    <w:rsid w:val="00B75C9A"/>
    <w:rsid w:val="00B77908"/>
    <w:rsid w:val="00B8088D"/>
    <w:rsid w:val="00B80E5A"/>
    <w:rsid w:val="00B81137"/>
    <w:rsid w:val="00B81649"/>
    <w:rsid w:val="00B82420"/>
    <w:rsid w:val="00B826A8"/>
    <w:rsid w:val="00B82B1B"/>
    <w:rsid w:val="00B83198"/>
    <w:rsid w:val="00B83337"/>
    <w:rsid w:val="00B83D41"/>
    <w:rsid w:val="00B864CA"/>
    <w:rsid w:val="00B871E1"/>
    <w:rsid w:val="00B87543"/>
    <w:rsid w:val="00B87AC9"/>
    <w:rsid w:val="00B87BEB"/>
    <w:rsid w:val="00B901A5"/>
    <w:rsid w:val="00B90A4B"/>
    <w:rsid w:val="00B9117F"/>
    <w:rsid w:val="00B91274"/>
    <w:rsid w:val="00B9157F"/>
    <w:rsid w:val="00B919A0"/>
    <w:rsid w:val="00B920B3"/>
    <w:rsid w:val="00B92178"/>
    <w:rsid w:val="00B922DF"/>
    <w:rsid w:val="00B92300"/>
    <w:rsid w:val="00B9304C"/>
    <w:rsid w:val="00B93058"/>
    <w:rsid w:val="00B930F8"/>
    <w:rsid w:val="00B934B3"/>
    <w:rsid w:val="00B93999"/>
    <w:rsid w:val="00B93BB8"/>
    <w:rsid w:val="00B9472F"/>
    <w:rsid w:val="00B94DB4"/>
    <w:rsid w:val="00B9509D"/>
    <w:rsid w:val="00B96440"/>
    <w:rsid w:val="00B96DC1"/>
    <w:rsid w:val="00B971B2"/>
    <w:rsid w:val="00B9764D"/>
    <w:rsid w:val="00B976EE"/>
    <w:rsid w:val="00B97E6E"/>
    <w:rsid w:val="00BA0396"/>
    <w:rsid w:val="00BA080B"/>
    <w:rsid w:val="00BA0A96"/>
    <w:rsid w:val="00BA0DC8"/>
    <w:rsid w:val="00BA1136"/>
    <w:rsid w:val="00BA11B3"/>
    <w:rsid w:val="00BA2763"/>
    <w:rsid w:val="00BA2B87"/>
    <w:rsid w:val="00BA31D0"/>
    <w:rsid w:val="00BA31EF"/>
    <w:rsid w:val="00BA3346"/>
    <w:rsid w:val="00BA434D"/>
    <w:rsid w:val="00BA43EF"/>
    <w:rsid w:val="00BA466B"/>
    <w:rsid w:val="00BA47A4"/>
    <w:rsid w:val="00BA4EE5"/>
    <w:rsid w:val="00BA51A7"/>
    <w:rsid w:val="00BA5828"/>
    <w:rsid w:val="00BA59EC"/>
    <w:rsid w:val="00BA5B77"/>
    <w:rsid w:val="00BA5CFA"/>
    <w:rsid w:val="00BA6038"/>
    <w:rsid w:val="00BA6BF2"/>
    <w:rsid w:val="00BA6F3D"/>
    <w:rsid w:val="00BA7687"/>
    <w:rsid w:val="00BB0804"/>
    <w:rsid w:val="00BB0D16"/>
    <w:rsid w:val="00BB123F"/>
    <w:rsid w:val="00BB16C2"/>
    <w:rsid w:val="00BB1B1B"/>
    <w:rsid w:val="00BB1C23"/>
    <w:rsid w:val="00BB1E31"/>
    <w:rsid w:val="00BB2296"/>
    <w:rsid w:val="00BB245B"/>
    <w:rsid w:val="00BB3112"/>
    <w:rsid w:val="00BB3A24"/>
    <w:rsid w:val="00BB3E27"/>
    <w:rsid w:val="00BB42F2"/>
    <w:rsid w:val="00BB4403"/>
    <w:rsid w:val="00BB4852"/>
    <w:rsid w:val="00BB4A6A"/>
    <w:rsid w:val="00BB4EF2"/>
    <w:rsid w:val="00BB52EA"/>
    <w:rsid w:val="00BB55EC"/>
    <w:rsid w:val="00BB565E"/>
    <w:rsid w:val="00BB609A"/>
    <w:rsid w:val="00BB6D41"/>
    <w:rsid w:val="00BB6DFE"/>
    <w:rsid w:val="00BB6E82"/>
    <w:rsid w:val="00BB6F95"/>
    <w:rsid w:val="00BB73C8"/>
    <w:rsid w:val="00BB7C2B"/>
    <w:rsid w:val="00BB7DBC"/>
    <w:rsid w:val="00BB7F33"/>
    <w:rsid w:val="00BC076C"/>
    <w:rsid w:val="00BC0AB4"/>
    <w:rsid w:val="00BC0AF5"/>
    <w:rsid w:val="00BC0E7A"/>
    <w:rsid w:val="00BC0EBB"/>
    <w:rsid w:val="00BC11DC"/>
    <w:rsid w:val="00BC13C5"/>
    <w:rsid w:val="00BC14F0"/>
    <w:rsid w:val="00BC1581"/>
    <w:rsid w:val="00BC1602"/>
    <w:rsid w:val="00BC1641"/>
    <w:rsid w:val="00BC1BD8"/>
    <w:rsid w:val="00BC1C54"/>
    <w:rsid w:val="00BC1E4E"/>
    <w:rsid w:val="00BC1EE0"/>
    <w:rsid w:val="00BC20C8"/>
    <w:rsid w:val="00BC216C"/>
    <w:rsid w:val="00BC255B"/>
    <w:rsid w:val="00BC310A"/>
    <w:rsid w:val="00BC3A78"/>
    <w:rsid w:val="00BC44AD"/>
    <w:rsid w:val="00BC44B0"/>
    <w:rsid w:val="00BC4C7D"/>
    <w:rsid w:val="00BC4E0B"/>
    <w:rsid w:val="00BC4E8A"/>
    <w:rsid w:val="00BC505A"/>
    <w:rsid w:val="00BC568F"/>
    <w:rsid w:val="00BC5A0D"/>
    <w:rsid w:val="00BC5B1C"/>
    <w:rsid w:val="00BC6192"/>
    <w:rsid w:val="00BC629B"/>
    <w:rsid w:val="00BC635C"/>
    <w:rsid w:val="00BC6430"/>
    <w:rsid w:val="00BC6785"/>
    <w:rsid w:val="00BC679D"/>
    <w:rsid w:val="00BC7F6C"/>
    <w:rsid w:val="00BC7F76"/>
    <w:rsid w:val="00BD05E4"/>
    <w:rsid w:val="00BD0E8D"/>
    <w:rsid w:val="00BD1F44"/>
    <w:rsid w:val="00BD2006"/>
    <w:rsid w:val="00BD2082"/>
    <w:rsid w:val="00BD2139"/>
    <w:rsid w:val="00BD27D2"/>
    <w:rsid w:val="00BD2CF6"/>
    <w:rsid w:val="00BD3084"/>
    <w:rsid w:val="00BD3588"/>
    <w:rsid w:val="00BD36A5"/>
    <w:rsid w:val="00BD4440"/>
    <w:rsid w:val="00BD45EB"/>
    <w:rsid w:val="00BD4E94"/>
    <w:rsid w:val="00BD513E"/>
    <w:rsid w:val="00BD550A"/>
    <w:rsid w:val="00BD5A18"/>
    <w:rsid w:val="00BD5C89"/>
    <w:rsid w:val="00BD616E"/>
    <w:rsid w:val="00BD66C4"/>
    <w:rsid w:val="00BD6BC4"/>
    <w:rsid w:val="00BD6FA5"/>
    <w:rsid w:val="00BD7048"/>
    <w:rsid w:val="00BD780B"/>
    <w:rsid w:val="00BE00F1"/>
    <w:rsid w:val="00BE0866"/>
    <w:rsid w:val="00BE08F1"/>
    <w:rsid w:val="00BE0D03"/>
    <w:rsid w:val="00BE13FA"/>
    <w:rsid w:val="00BE28FA"/>
    <w:rsid w:val="00BE2D85"/>
    <w:rsid w:val="00BE318D"/>
    <w:rsid w:val="00BE3191"/>
    <w:rsid w:val="00BE368C"/>
    <w:rsid w:val="00BE3BD1"/>
    <w:rsid w:val="00BE3C70"/>
    <w:rsid w:val="00BE4854"/>
    <w:rsid w:val="00BE4B4F"/>
    <w:rsid w:val="00BE4FEE"/>
    <w:rsid w:val="00BE57D3"/>
    <w:rsid w:val="00BE5951"/>
    <w:rsid w:val="00BE5C4F"/>
    <w:rsid w:val="00BE65EC"/>
    <w:rsid w:val="00BE6A2F"/>
    <w:rsid w:val="00BE6ADA"/>
    <w:rsid w:val="00BE6D63"/>
    <w:rsid w:val="00BE6DF6"/>
    <w:rsid w:val="00BE70F4"/>
    <w:rsid w:val="00BE71CE"/>
    <w:rsid w:val="00BF0089"/>
    <w:rsid w:val="00BF0ADA"/>
    <w:rsid w:val="00BF0C53"/>
    <w:rsid w:val="00BF0D4A"/>
    <w:rsid w:val="00BF10C4"/>
    <w:rsid w:val="00BF1904"/>
    <w:rsid w:val="00BF1A54"/>
    <w:rsid w:val="00BF2314"/>
    <w:rsid w:val="00BF2416"/>
    <w:rsid w:val="00BF3532"/>
    <w:rsid w:val="00BF42F1"/>
    <w:rsid w:val="00BF46DD"/>
    <w:rsid w:val="00BF4A66"/>
    <w:rsid w:val="00BF4FEA"/>
    <w:rsid w:val="00BF50BE"/>
    <w:rsid w:val="00BF5146"/>
    <w:rsid w:val="00BF5642"/>
    <w:rsid w:val="00BF5CAE"/>
    <w:rsid w:val="00BF6D62"/>
    <w:rsid w:val="00BF7DB9"/>
    <w:rsid w:val="00C005E7"/>
    <w:rsid w:val="00C00E77"/>
    <w:rsid w:val="00C00ED0"/>
    <w:rsid w:val="00C017BB"/>
    <w:rsid w:val="00C0251A"/>
    <w:rsid w:val="00C026C4"/>
    <w:rsid w:val="00C02E30"/>
    <w:rsid w:val="00C0380B"/>
    <w:rsid w:val="00C04464"/>
    <w:rsid w:val="00C0447E"/>
    <w:rsid w:val="00C04780"/>
    <w:rsid w:val="00C047AE"/>
    <w:rsid w:val="00C047C1"/>
    <w:rsid w:val="00C04D9A"/>
    <w:rsid w:val="00C05370"/>
    <w:rsid w:val="00C0581D"/>
    <w:rsid w:val="00C05891"/>
    <w:rsid w:val="00C05E20"/>
    <w:rsid w:val="00C05F8A"/>
    <w:rsid w:val="00C063DA"/>
    <w:rsid w:val="00C06B69"/>
    <w:rsid w:val="00C06CE5"/>
    <w:rsid w:val="00C06D88"/>
    <w:rsid w:val="00C07071"/>
    <w:rsid w:val="00C07963"/>
    <w:rsid w:val="00C07A09"/>
    <w:rsid w:val="00C10FA3"/>
    <w:rsid w:val="00C1101E"/>
    <w:rsid w:val="00C11681"/>
    <w:rsid w:val="00C117F0"/>
    <w:rsid w:val="00C1190D"/>
    <w:rsid w:val="00C11B77"/>
    <w:rsid w:val="00C11D2A"/>
    <w:rsid w:val="00C12127"/>
    <w:rsid w:val="00C13AAD"/>
    <w:rsid w:val="00C14140"/>
    <w:rsid w:val="00C14430"/>
    <w:rsid w:val="00C14984"/>
    <w:rsid w:val="00C14BFC"/>
    <w:rsid w:val="00C14DF1"/>
    <w:rsid w:val="00C15472"/>
    <w:rsid w:val="00C15887"/>
    <w:rsid w:val="00C169B7"/>
    <w:rsid w:val="00C16A16"/>
    <w:rsid w:val="00C171C0"/>
    <w:rsid w:val="00C172BF"/>
    <w:rsid w:val="00C17888"/>
    <w:rsid w:val="00C17C57"/>
    <w:rsid w:val="00C2059C"/>
    <w:rsid w:val="00C20DA2"/>
    <w:rsid w:val="00C20EB3"/>
    <w:rsid w:val="00C213E9"/>
    <w:rsid w:val="00C21743"/>
    <w:rsid w:val="00C21C90"/>
    <w:rsid w:val="00C2286C"/>
    <w:rsid w:val="00C22AEF"/>
    <w:rsid w:val="00C22D76"/>
    <w:rsid w:val="00C238A9"/>
    <w:rsid w:val="00C23962"/>
    <w:rsid w:val="00C24A32"/>
    <w:rsid w:val="00C2512A"/>
    <w:rsid w:val="00C254D9"/>
    <w:rsid w:val="00C258F7"/>
    <w:rsid w:val="00C2590A"/>
    <w:rsid w:val="00C261F6"/>
    <w:rsid w:val="00C274E8"/>
    <w:rsid w:val="00C277F8"/>
    <w:rsid w:val="00C27D47"/>
    <w:rsid w:val="00C27DB7"/>
    <w:rsid w:val="00C3026C"/>
    <w:rsid w:val="00C3027D"/>
    <w:rsid w:val="00C30392"/>
    <w:rsid w:val="00C306FF"/>
    <w:rsid w:val="00C3091B"/>
    <w:rsid w:val="00C30927"/>
    <w:rsid w:val="00C30B90"/>
    <w:rsid w:val="00C3166F"/>
    <w:rsid w:val="00C3199A"/>
    <w:rsid w:val="00C3238E"/>
    <w:rsid w:val="00C32716"/>
    <w:rsid w:val="00C32A63"/>
    <w:rsid w:val="00C32EA6"/>
    <w:rsid w:val="00C32F73"/>
    <w:rsid w:val="00C33723"/>
    <w:rsid w:val="00C338F2"/>
    <w:rsid w:val="00C343A4"/>
    <w:rsid w:val="00C34543"/>
    <w:rsid w:val="00C35EE1"/>
    <w:rsid w:val="00C364E0"/>
    <w:rsid w:val="00C36A54"/>
    <w:rsid w:val="00C36C27"/>
    <w:rsid w:val="00C36E59"/>
    <w:rsid w:val="00C3733C"/>
    <w:rsid w:val="00C3735B"/>
    <w:rsid w:val="00C37880"/>
    <w:rsid w:val="00C37909"/>
    <w:rsid w:val="00C37BCD"/>
    <w:rsid w:val="00C37CF8"/>
    <w:rsid w:val="00C4021D"/>
    <w:rsid w:val="00C40C7B"/>
    <w:rsid w:val="00C40D6A"/>
    <w:rsid w:val="00C413ED"/>
    <w:rsid w:val="00C4143B"/>
    <w:rsid w:val="00C41866"/>
    <w:rsid w:val="00C41FB9"/>
    <w:rsid w:val="00C42A47"/>
    <w:rsid w:val="00C42E4C"/>
    <w:rsid w:val="00C43181"/>
    <w:rsid w:val="00C434F0"/>
    <w:rsid w:val="00C43691"/>
    <w:rsid w:val="00C436A7"/>
    <w:rsid w:val="00C43A77"/>
    <w:rsid w:val="00C43CA7"/>
    <w:rsid w:val="00C43F26"/>
    <w:rsid w:val="00C43FE1"/>
    <w:rsid w:val="00C4417C"/>
    <w:rsid w:val="00C44BCB"/>
    <w:rsid w:val="00C44D69"/>
    <w:rsid w:val="00C4603E"/>
    <w:rsid w:val="00C462EE"/>
    <w:rsid w:val="00C46724"/>
    <w:rsid w:val="00C47DD6"/>
    <w:rsid w:val="00C50B9D"/>
    <w:rsid w:val="00C50CC9"/>
    <w:rsid w:val="00C51062"/>
    <w:rsid w:val="00C512F8"/>
    <w:rsid w:val="00C5190F"/>
    <w:rsid w:val="00C519DE"/>
    <w:rsid w:val="00C5213F"/>
    <w:rsid w:val="00C522AC"/>
    <w:rsid w:val="00C52571"/>
    <w:rsid w:val="00C5278C"/>
    <w:rsid w:val="00C528DF"/>
    <w:rsid w:val="00C5302E"/>
    <w:rsid w:val="00C5348D"/>
    <w:rsid w:val="00C542CB"/>
    <w:rsid w:val="00C55435"/>
    <w:rsid w:val="00C5548B"/>
    <w:rsid w:val="00C55F26"/>
    <w:rsid w:val="00C5655A"/>
    <w:rsid w:val="00C57915"/>
    <w:rsid w:val="00C57C61"/>
    <w:rsid w:val="00C57C85"/>
    <w:rsid w:val="00C606A8"/>
    <w:rsid w:val="00C6078F"/>
    <w:rsid w:val="00C6188F"/>
    <w:rsid w:val="00C619AB"/>
    <w:rsid w:val="00C61BCF"/>
    <w:rsid w:val="00C61CA8"/>
    <w:rsid w:val="00C61E8B"/>
    <w:rsid w:val="00C620EE"/>
    <w:rsid w:val="00C62772"/>
    <w:rsid w:val="00C62B54"/>
    <w:rsid w:val="00C6439C"/>
    <w:rsid w:val="00C6487F"/>
    <w:rsid w:val="00C648E8"/>
    <w:rsid w:val="00C64A51"/>
    <w:rsid w:val="00C6549E"/>
    <w:rsid w:val="00C6584C"/>
    <w:rsid w:val="00C6608E"/>
    <w:rsid w:val="00C661F0"/>
    <w:rsid w:val="00C67E6A"/>
    <w:rsid w:val="00C702C4"/>
    <w:rsid w:val="00C70F3B"/>
    <w:rsid w:val="00C71C2D"/>
    <w:rsid w:val="00C71D80"/>
    <w:rsid w:val="00C72090"/>
    <w:rsid w:val="00C723F8"/>
    <w:rsid w:val="00C73197"/>
    <w:rsid w:val="00C73C99"/>
    <w:rsid w:val="00C7402B"/>
    <w:rsid w:val="00C74450"/>
    <w:rsid w:val="00C7524D"/>
    <w:rsid w:val="00C75B3A"/>
    <w:rsid w:val="00C75BD2"/>
    <w:rsid w:val="00C76655"/>
    <w:rsid w:val="00C767BD"/>
    <w:rsid w:val="00C769D1"/>
    <w:rsid w:val="00C76E2B"/>
    <w:rsid w:val="00C772E0"/>
    <w:rsid w:val="00C7743E"/>
    <w:rsid w:val="00C7766C"/>
    <w:rsid w:val="00C80504"/>
    <w:rsid w:val="00C80926"/>
    <w:rsid w:val="00C80F62"/>
    <w:rsid w:val="00C8108B"/>
    <w:rsid w:val="00C81442"/>
    <w:rsid w:val="00C81774"/>
    <w:rsid w:val="00C81C79"/>
    <w:rsid w:val="00C81CA3"/>
    <w:rsid w:val="00C8272C"/>
    <w:rsid w:val="00C8283F"/>
    <w:rsid w:val="00C82C71"/>
    <w:rsid w:val="00C82D70"/>
    <w:rsid w:val="00C83314"/>
    <w:rsid w:val="00C83BA7"/>
    <w:rsid w:val="00C8498A"/>
    <w:rsid w:val="00C84E3A"/>
    <w:rsid w:val="00C84F6A"/>
    <w:rsid w:val="00C8531D"/>
    <w:rsid w:val="00C85459"/>
    <w:rsid w:val="00C85782"/>
    <w:rsid w:val="00C85BB9"/>
    <w:rsid w:val="00C85D17"/>
    <w:rsid w:val="00C85DB6"/>
    <w:rsid w:val="00C862D5"/>
    <w:rsid w:val="00C86689"/>
    <w:rsid w:val="00C8783A"/>
    <w:rsid w:val="00C87A27"/>
    <w:rsid w:val="00C87C85"/>
    <w:rsid w:val="00C87E5E"/>
    <w:rsid w:val="00C900B8"/>
    <w:rsid w:val="00C90114"/>
    <w:rsid w:val="00C90A77"/>
    <w:rsid w:val="00C90BE9"/>
    <w:rsid w:val="00C91989"/>
    <w:rsid w:val="00C9252F"/>
    <w:rsid w:val="00C929AA"/>
    <w:rsid w:val="00C92CBD"/>
    <w:rsid w:val="00C92CD8"/>
    <w:rsid w:val="00C92DCD"/>
    <w:rsid w:val="00C932FA"/>
    <w:rsid w:val="00C93657"/>
    <w:rsid w:val="00C93B76"/>
    <w:rsid w:val="00C93F2D"/>
    <w:rsid w:val="00C93F8A"/>
    <w:rsid w:val="00C93FD6"/>
    <w:rsid w:val="00C940E5"/>
    <w:rsid w:val="00C944A4"/>
    <w:rsid w:val="00C9457A"/>
    <w:rsid w:val="00C94A86"/>
    <w:rsid w:val="00C94BB3"/>
    <w:rsid w:val="00C94F90"/>
    <w:rsid w:val="00C950BA"/>
    <w:rsid w:val="00C95160"/>
    <w:rsid w:val="00C956C4"/>
    <w:rsid w:val="00C96E16"/>
    <w:rsid w:val="00C971C7"/>
    <w:rsid w:val="00C97623"/>
    <w:rsid w:val="00C976B6"/>
    <w:rsid w:val="00C97DBA"/>
    <w:rsid w:val="00CA03A8"/>
    <w:rsid w:val="00CA049B"/>
    <w:rsid w:val="00CA11C1"/>
    <w:rsid w:val="00CA1F1A"/>
    <w:rsid w:val="00CA25AB"/>
    <w:rsid w:val="00CA3A4B"/>
    <w:rsid w:val="00CA4832"/>
    <w:rsid w:val="00CA496D"/>
    <w:rsid w:val="00CA4A3F"/>
    <w:rsid w:val="00CA4A67"/>
    <w:rsid w:val="00CA5489"/>
    <w:rsid w:val="00CA59F1"/>
    <w:rsid w:val="00CA5AF9"/>
    <w:rsid w:val="00CA6034"/>
    <w:rsid w:val="00CA6306"/>
    <w:rsid w:val="00CA6404"/>
    <w:rsid w:val="00CA73EC"/>
    <w:rsid w:val="00CA76DF"/>
    <w:rsid w:val="00CA78AD"/>
    <w:rsid w:val="00CA7AD1"/>
    <w:rsid w:val="00CA7E17"/>
    <w:rsid w:val="00CA7E87"/>
    <w:rsid w:val="00CA7FD8"/>
    <w:rsid w:val="00CB0710"/>
    <w:rsid w:val="00CB0A71"/>
    <w:rsid w:val="00CB0C18"/>
    <w:rsid w:val="00CB2303"/>
    <w:rsid w:val="00CB255D"/>
    <w:rsid w:val="00CB2AEC"/>
    <w:rsid w:val="00CB300F"/>
    <w:rsid w:val="00CB33C6"/>
    <w:rsid w:val="00CB3929"/>
    <w:rsid w:val="00CB3C3B"/>
    <w:rsid w:val="00CB3D2C"/>
    <w:rsid w:val="00CB3ED5"/>
    <w:rsid w:val="00CB408E"/>
    <w:rsid w:val="00CB40C5"/>
    <w:rsid w:val="00CB4785"/>
    <w:rsid w:val="00CB4DC2"/>
    <w:rsid w:val="00CB4F78"/>
    <w:rsid w:val="00CB4F95"/>
    <w:rsid w:val="00CB502C"/>
    <w:rsid w:val="00CB58A0"/>
    <w:rsid w:val="00CB5D1E"/>
    <w:rsid w:val="00CB6A4E"/>
    <w:rsid w:val="00CB6D5B"/>
    <w:rsid w:val="00CB6DF4"/>
    <w:rsid w:val="00CB74D9"/>
    <w:rsid w:val="00CB7F85"/>
    <w:rsid w:val="00CC12DB"/>
    <w:rsid w:val="00CC1E84"/>
    <w:rsid w:val="00CC1EA0"/>
    <w:rsid w:val="00CC1EA3"/>
    <w:rsid w:val="00CC2299"/>
    <w:rsid w:val="00CC26EF"/>
    <w:rsid w:val="00CC279C"/>
    <w:rsid w:val="00CC28CE"/>
    <w:rsid w:val="00CC2D76"/>
    <w:rsid w:val="00CC2DD7"/>
    <w:rsid w:val="00CC2FB2"/>
    <w:rsid w:val="00CC36F0"/>
    <w:rsid w:val="00CC444D"/>
    <w:rsid w:val="00CC49A5"/>
    <w:rsid w:val="00CC57F5"/>
    <w:rsid w:val="00CC5DC8"/>
    <w:rsid w:val="00CC62D6"/>
    <w:rsid w:val="00CC6367"/>
    <w:rsid w:val="00CC654B"/>
    <w:rsid w:val="00CC6A5C"/>
    <w:rsid w:val="00CC7346"/>
    <w:rsid w:val="00CC7823"/>
    <w:rsid w:val="00CC7E44"/>
    <w:rsid w:val="00CD0126"/>
    <w:rsid w:val="00CD0422"/>
    <w:rsid w:val="00CD1AA4"/>
    <w:rsid w:val="00CD1CA2"/>
    <w:rsid w:val="00CD22D1"/>
    <w:rsid w:val="00CD27E5"/>
    <w:rsid w:val="00CD395D"/>
    <w:rsid w:val="00CD3E25"/>
    <w:rsid w:val="00CD3F16"/>
    <w:rsid w:val="00CD4C5D"/>
    <w:rsid w:val="00CD4EB0"/>
    <w:rsid w:val="00CD50AA"/>
    <w:rsid w:val="00CD51E6"/>
    <w:rsid w:val="00CD5532"/>
    <w:rsid w:val="00CD5761"/>
    <w:rsid w:val="00CD5946"/>
    <w:rsid w:val="00CD5C4E"/>
    <w:rsid w:val="00CD5C6E"/>
    <w:rsid w:val="00CD5FB0"/>
    <w:rsid w:val="00CD61E7"/>
    <w:rsid w:val="00CD66D0"/>
    <w:rsid w:val="00CD74D9"/>
    <w:rsid w:val="00CD7C25"/>
    <w:rsid w:val="00CD7D22"/>
    <w:rsid w:val="00CE00E5"/>
    <w:rsid w:val="00CE08D8"/>
    <w:rsid w:val="00CE0F98"/>
    <w:rsid w:val="00CE131D"/>
    <w:rsid w:val="00CE1B37"/>
    <w:rsid w:val="00CE269A"/>
    <w:rsid w:val="00CE28BE"/>
    <w:rsid w:val="00CE2B00"/>
    <w:rsid w:val="00CE2BF0"/>
    <w:rsid w:val="00CE308E"/>
    <w:rsid w:val="00CE32A7"/>
    <w:rsid w:val="00CE3F38"/>
    <w:rsid w:val="00CE4BB4"/>
    <w:rsid w:val="00CE501C"/>
    <w:rsid w:val="00CE5232"/>
    <w:rsid w:val="00CE585E"/>
    <w:rsid w:val="00CE5863"/>
    <w:rsid w:val="00CE587F"/>
    <w:rsid w:val="00CE593E"/>
    <w:rsid w:val="00CE5A4E"/>
    <w:rsid w:val="00CE64D3"/>
    <w:rsid w:val="00CE67E5"/>
    <w:rsid w:val="00CE68DA"/>
    <w:rsid w:val="00CE6E41"/>
    <w:rsid w:val="00CE718E"/>
    <w:rsid w:val="00CE7390"/>
    <w:rsid w:val="00CE779B"/>
    <w:rsid w:val="00CE79F2"/>
    <w:rsid w:val="00CE7A12"/>
    <w:rsid w:val="00CF0327"/>
    <w:rsid w:val="00CF0840"/>
    <w:rsid w:val="00CF11CB"/>
    <w:rsid w:val="00CF1922"/>
    <w:rsid w:val="00CF2175"/>
    <w:rsid w:val="00CF299F"/>
    <w:rsid w:val="00CF2A8C"/>
    <w:rsid w:val="00CF32C3"/>
    <w:rsid w:val="00CF379C"/>
    <w:rsid w:val="00CF3A4C"/>
    <w:rsid w:val="00CF408C"/>
    <w:rsid w:val="00CF4227"/>
    <w:rsid w:val="00CF48F3"/>
    <w:rsid w:val="00CF5093"/>
    <w:rsid w:val="00CF5631"/>
    <w:rsid w:val="00CF5725"/>
    <w:rsid w:val="00CF59C3"/>
    <w:rsid w:val="00CF5A83"/>
    <w:rsid w:val="00CF5D86"/>
    <w:rsid w:val="00CF704D"/>
    <w:rsid w:val="00CF7BAA"/>
    <w:rsid w:val="00D0003F"/>
    <w:rsid w:val="00D00F75"/>
    <w:rsid w:val="00D014EF"/>
    <w:rsid w:val="00D01651"/>
    <w:rsid w:val="00D01713"/>
    <w:rsid w:val="00D017E1"/>
    <w:rsid w:val="00D0223A"/>
    <w:rsid w:val="00D023BF"/>
    <w:rsid w:val="00D024A9"/>
    <w:rsid w:val="00D025CB"/>
    <w:rsid w:val="00D0283D"/>
    <w:rsid w:val="00D02B1F"/>
    <w:rsid w:val="00D02BE8"/>
    <w:rsid w:val="00D02DE9"/>
    <w:rsid w:val="00D034D9"/>
    <w:rsid w:val="00D03BA0"/>
    <w:rsid w:val="00D04A54"/>
    <w:rsid w:val="00D04D73"/>
    <w:rsid w:val="00D052D3"/>
    <w:rsid w:val="00D05856"/>
    <w:rsid w:val="00D066F4"/>
    <w:rsid w:val="00D070E6"/>
    <w:rsid w:val="00D073CB"/>
    <w:rsid w:val="00D074E4"/>
    <w:rsid w:val="00D075DA"/>
    <w:rsid w:val="00D07EED"/>
    <w:rsid w:val="00D103FD"/>
    <w:rsid w:val="00D104EC"/>
    <w:rsid w:val="00D10CAA"/>
    <w:rsid w:val="00D10F8D"/>
    <w:rsid w:val="00D10F91"/>
    <w:rsid w:val="00D11E47"/>
    <w:rsid w:val="00D11EDC"/>
    <w:rsid w:val="00D1213A"/>
    <w:rsid w:val="00D125AB"/>
    <w:rsid w:val="00D1273F"/>
    <w:rsid w:val="00D128DF"/>
    <w:rsid w:val="00D12B5D"/>
    <w:rsid w:val="00D13593"/>
    <w:rsid w:val="00D13885"/>
    <w:rsid w:val="00D13945"/>
    <w:rsid w:val="00D13B2E"/>
    <w:rsid w:val="00D16374"/>
    <w:rsid w:val="00D16BA3"/>
    <w:rsid w:val="00D17CAB"/>
    <w:rsid w:val="00D17D50"/>
    <w:rsid w:val="00D17DC1"/>
    <w:rsid w:val="00D20721"/>
    <w:rsid w:val="00D20CF4"/>
    <w:rsid w:val="00D20E03"/>
    <w:rsid w:val="00D21912"/>
    <w:rsid w:val="00D2240A"/>
    <w:rsid w:val="00D228BA"/>
    <w:rsid w:val="00D22B20"/>
    <w:rsid w:val="00D22C68"/>
    <w:rsid w:val="00D22CFB"/>
    <w:rsid w:val="00D23E45"/>
    <w:rsid w:val="00D24778"/>
    <w:rsid w:val="00D24CE6"/>
    <w:rsid w:val="00D24CE9"/>
    <w:rsid w:val="00D24FE4"/>
    <w:rsid w:val="00D2538B"/>
    <w:rsid w:val="00D253F6"/>
    <w:rsid w:val="00D260A5"/>
    <w:rsid w:val="00D260D6"/>
    <w:rsid w:val="00D26935"/>
    <w:rsid w:val="00D26D9E"/>
    <w:rsid w:val="00D277DF"/>
    <w:rsid w:val="00D277E6"/>
    <w:rsid w:val="00D27DCF"/>
    <w:rsid w:val="00D3042C"/>
    <w:rsid w:val="00D3071E"/>
    <w:rsid w:val="00D30AAB"/>
    <w:rsid w:val="00D311DC"/>
    <w:rsid w:val="00D31383"/>
    <w:rsid w:val="00D3192C"/>
    <w:rsid w:val="00D31B3B"/>
    <w:rsid w:val="00D320A1"/>
    <w:rsid w:val="00D3231B"/>
    <w:rsid w:val="00D333C6"/>
    <w:rsid w:val="00D33B3F"/>
    <w:rsid w:val="00D33EA8"/>
    <w:rsid w:val="00D34394"/>
    <w:rsid w:val="00D34CA8"/>
    <w:rsid w:val="00D35809"/>
    <w:rsid w:val="00D35819"/>
    <w:rsid w:val="00D35ED1"/>
    <w:rsid w:val="00D36E90"/>
    <w:rsid w:val="00D372D0"/>
    <w:rsid w:val="00D37360"/>
    <w:rsid w:val="00D375DE"/>
    <w:rsid w:val="00D400C9"/>
    <w:rsid w:val="00D4028C"/>
    <w:rsid w:val="00D40755"/>
    <w:rsid w:val="00D416C8"/>
    <w:rsid w:val="00D42B8E"/>
    <w:rsid w:val="00D43C54"/>
    <w:rsid w:val="00D44182"/>
    <w:rsid w:val="00D446FF"/>
    <w:rsid w:val="00D448E8"/>
    <w:rsid w:val="00D44E64"/>
    <w:rsid w:val="00D45D67"/>
    <w:rsid w:val="00D45DC3"/>
    <w:rsid w:val="00D46149"/>
    <w:rsid w:val="00D463F0"/>
    <w:rsid w:val="00D46FBB"/>
    <w:rsid w:val="00D47851"/>
    <w:rsid w:val="00D478BF"/>
    <w:rsid w:val="00D50458"/>
    <w:rsid w:val="00D5079A"/>
    <w:rsid w:val="00D50AF7"/>
    <w:rsid w:val="00D5118E"/>
    <w:rsid w:val="00D51586"/>
    <w:rsid w:val="00D516B2"/>
    <w:rsid w:val="00D51DDB"/>
    <w:rsid w:val="00D522A1"/>
    <w:rsid w:val="00D5240F"/>
    <w:rsid w:val="00D5431E"/>
    <w:rsid w:val="00D5437E"/>
    <w:rsid w:val="00D54478"/>
    <w:rsid w:val="00D5489D"/>
    <w:rsid w:val="00D548B8"/>
    <w:rsid w:val="00D54ABC"/>
    <w:rsid w:val="00D54B2D"/>
    <w:rsid w:val="00D54FA1"/>
    <w:rsid w:val="00D55308"/>
    <w:rsid w:val="00D555B9"/>
    <w:rsid w:val="00D55941"/>
    <w:rsid w:val="00D55A41"/>
    <w:rsid w:val="00D55BB0"/>
    <w:rsid w:val="00D55BC3"/>
    <w:rsid w:val="00D56AC0"/>
    <w:rsid w:val="00D573A0"/>
    <w:rsid w:val="00D573C2"/>
    <w:rsid w:val="00D57558"/>
    <w:rsid w:val="00D577ED"/>
    <w:rsid w:val="00D579A2"/>
    <w:rsid w:val="00D57DFC"/>
    <w:rsid w:val="00D60665"/>
    <w:rsid w:val="00D610F5"/>
    <w:rsid w:val="00D6147A"/>
    <w:rsid w:val="00D61582"/>
    <w:rsid w:val="00D626E1"/>
    <w:rsid w:val="00D62752"/>
    <w:rsid w:val="00D629DC"/>
    <w:rsid w:val="00D62CE5"/>
    <w:rsid w:val="00D643CD"/>
    <w:rsid w:val="00D64430"/>
    <w:rsid w:val="00D6444E"/>
    <w:rsid w:val="00D645EB"/>
    <w:rsid w:val="00D64600"/>
    <w:rsid w:val="00D64664"/>
    <w:rsid w:val="00D6471A"/>
    <w:rsid w:val="00D6473D"/>
    <w:rsid w:val="00D649ED"/>
    <w:rsid w:val="00D64CDB"/>
    <w:rsid w:val="00D64F5D"/>
    <w:rsid w:val="00D65FB4"/>
    <w:rsid w:val="00D660A4"/>
    <w:rsid w:val="00D661B6"/>
    <w:rsid w:val="00D66614"/>
    <w:rsid w:val="00D66B80"/>
    <w:rsid w:val="00D675AA"/>
    <w:rsid w:val="00D6762A"/>
    <w:rsid w:val="00D67679"/>
    <w:rsid w:val="00D6795A"/>
    <w:rsid w:val="00D70061"/>
    <w:rsid w:val="00D703B9"/>
    <w:rsid w:val="00D705D2"/>
    <w:rsid w:val="00D7137E"/>
    <w:rsid w:val="00D713B6"/>
    <w:rsid w:val="00D7237E"/>
    <w:rsid w:val="00D723F9"/>
    <w:rsid w:val="00D733FE"/>
    <w:rsid w:val="00D7364B"/>
    <w:rsid w:val="00D736F5"/>
    <w:rsid w:val="00D737CE"/>
    <w:rsid w:val="00D73E07"/>
    <w:rsid w:val="00D73E9B"/>
    <w:rsid w:val="00D751DF"/>
    <w:rsid w:val="00D76116"/>
    <w:rsid w:val="00D76150"/>
    <w:rsid w:val="00D76C57"/>
    <w:rsid w:val="00D77460"/>
    <w:rsid w:val="00D7755D"/>
    <w:rsid w:val="00D77D07"/>
    <w:rsid w:val="00D80263"/>
    <w:rsid w:val="00D80427"/>
    <w:rsid w:val="00D80607"/>
    <w:rsid w:val="00D8086E"/>
    <w:rsid w:val="00D808EA"/>
    <w:rsid w:val="00D80936"/>
    <w:rsid w:val="00D812EC"/>
    <w:rsid w:val="00D8164E"/>
    <w:rsid w:val="00D8173F"/>
    <w:rsid w:val="00D8209B"/>
    <w:rsid w:val="00D826FD"/>
    <w:rsid w:val="00D82962"/>
    <w:rsid w:val="00D82CDD"/>
    <w:rsid w:val="00D83081"/>
    <w:rsid w:val="00D8326F"/>
    <w:rsid w:val="00D833FD"/>
    <w:rsid w:val="00D8371B"/>
    <w:rsid w:val="00D83A89"/>
    <w:rsid w:val="00D8415B"/>
    <w:rsid w:val="00D841CD"/>
    <w:rsid w:val="00D8441A"/>
    <w:rsid w:val="00D8460C"/>
    <w:rsid w:val="00D84C63"/>
    <w:rsid w:val="00D85788"/>
    <w:rsid w:val="00D86115"/>
    <w:rsid w:val="00D86944"/>
    <w:rsid w:val="00D875C2"/>
    <w:rsid w:val="00D87CA6"/>
    <w:rsid w:val="00D87F4B"/>
    <w:rsid w:val="00D9120D"/>
    <w:rsid w:val="00D913E8"/>
    <w:rsid w:val="00D91456"/>
    <w:rsid w:val="00D91AE1"/>
    <w:rsid w:val="00D91BED"/>
    <w:rsid w:val="00D91D4F"/>
    <w:rsid w:val="00D92323"/>
    <w:rsid w:val="00D92374"/>
    <w:rsid w:val="00D92A6F"/>
    <w:rsid w:val="00D92DA7"/>
    <w:rsid w:val="00D937E1"/>
    <w:rsid w:val="00D93BB6"/>
    <w:rsid w:val="00D944AA"/>
    <w:rsid w:val="00D94971"/>
    <w:rsid w:val="00D94EE7"/>
    <w:rsid w:val="00D94EF0"/>
    <w:rsid w:val="00D9500C"/>
    <w:rsid w:val="00D95251"/>
    <w:rsid w:val="00D95386"/>
    <w:rsid w:val="00D96923"/>
    <w:rsid w:val="00D973F4"/>
    <w:rsid w:val="00D97530"/>
    <w:rsid w:val="00D97F58"/>
    <w:rsid w:val="00DA0164"/>
    <w:rsid w:val="00DA0325"/>
    <w:rsid w:val="00DA0375"/>
    <w:rsid w:val="00DA0582"/>
    <w:rsid w:val="00DA070B"/>
    <w:rsid w:val="00DA0B37"/>
    <w:rsid w:val="00DA0D16"/>
    <w:rsid w:val="00DA1032"/>
    <w:rsid w:val="00DA1432"/>
    <w:rsid w:val="00DA15C8"/>
    <w:rsid w:val="00DA162C"/>
    <w:rsid w:val="00DA1AC1"/>
    <w:rsid w:val="00DA3095"/>
    <w:rsid w:val="00DA37C9"/>
    <w:rsid w:val="00DA39A1"/>
    <w:rsid w:val="00DA3A84"/>
    <w:rsid w:val="00DA4F90"/>
    <w:rsid w:val="00DA5139"/>
    <w:rsid w:val="00DA57DE"/>
    <w:rsid w:val="00DA5F84"/>
    <w:rsid w:val="00DA69B9"/>
    <w:rsid w:val="00DA6B11"/>
    <w:rsid w:val="00DA6BBE"/>
    <w:rsid w:val="00DA6C81"/>
    <w:rsid w:val="00DA7BFF"/>
    <w:rsid w:val="00DA7D93"/>
    <w:rsid w:val="00DA7E2D"/>
    <w:rsid w:val="00DA7F8C"/>
    <w:rsid w:val="00DB01ED"/>
    <w:rsid w:val="00DB1CE0"/>
    <w:rsid w:val="00DB1F27"/>
    <w:rsid w:val="00DB23E5"/>
    <w:rsid w:val="00DB2967"/>
    <w:rsid w:val="00DB2CCA"/>
    <w:rsid w:val="00DB2E21"/>
    <w:rsid w:val="00DB2E98"/>
    <w:rsid w:val="00DB30F2"/>
    <w:rsid w:val="00DB3334"/>
    <w:rsid w:val="00DB35E7"/>
    <w:rsid w:val="00DB38A5"/>
    <w:rsid w:val="00DB3C96"/>
    <w:rsid w:val="00DB3E33"/>
    <w:rsid w:val="00DB449E"/>
    <w:rsid w:val="00DB53B9"/>
    <w:rsid w:val="00DB5BC7"/>
    <w:rsid w:val="00DB5EDA"/>
    <w:rsid w:val="00DB6160"/>
    <w:rsid w:val="00DB6595"/>
    <w:rsid w:val="00DB66C3"/>
    <w:rsid w:val="00DB6847"/>
    <w:rsid w:val="00DB6D9D"/>
    <w:rsid w:val="00DB70BD"/>
    <w:rsid w:val="00DB78C4"/>
    <w:rsid w:val="00DC0859"/>
    <w:rsid w:val="00DC0967"/>
    <w:rsid w:val="00DC0AA7"/>
    <w:rsid w:val="00DC1D46"/>
    <w:rsid w:val="00DC1D5A"/>
    <w:rsid w:val="00DC2729"/>
    <w:rsid w:val="00DC2BAE"/>
    <w:rsid w:val="00DC320C"/>
    <w:rsid w:val="00DC3684"/>
    <w:rsid w:val="00DC3808"/>
    <w:rsid w:val="00DC3A58"/>
    <w:rsid w:val="00DC3E20"/>
    <w:rsid w:val="00DC3E3D"/>
    <w:rsid w:val="00DC41C7"/>
    <w:rsid w:val="00DC43B7"/>
    <w:rsid w:val="00DC459B"/>
    <w:rsid w:val="00DC49A9"/>
    <w:rsid w:val="00DC5626"/>
    <w:rsid w:val="00DC5864"/>
    <w:rsid w:val="00DC6997"/>
    <w:rsid w:val="00DC6B63"/>
    <w:rsid w:val="00DC6C6A"/>
    <w:rsid w:val="00DC6CF6"/>
    <w:rsid w:val="00DC7C11"/>
    <w:rsid w:val="00DC7C54"/>
    <w:rsid w:val="00DC7D55"/>
    <w:rsid w:val="00DD0149"/>
    <w:rsid w:val="00DD042D"/>
    <w:rsid w:val="00DD0B33"/>
    <w:rsid w:val="00DD0DE6"/>
    <w:rsid w:val="00DD0F3B"/>
    <w:rsid w:val="00DD162C"/>
    <w:rsid w:val="00DD1689"/>
    <w:rsid w:val="00DD2A08"/>
    <w:rsid w:val="00DD3362"/>
    <w:rsid w:val="00DD388E"/>
    <w:rsid w:val="00DD42B8"/>
    <w:rsid w:val="00DD4320"/>
    <w:rsid w:val="00DD4517"/>
    <w:rsid w:val="00DD455B"/>
    <w:rsid w:val="00DD459E"/>
    <w:rsid w:val="00DD4C91"/>
    <w:rsid w:val="00DD5134"/>
    <w:rsid w:val="00DD5498"/>
    <w:rsid w:val="00DD5512"/>
    <w:rsid w:val="00DD56FE"/>
    <w:rsid w:val="00DD5834"/>
    <w:rsid w:val="00DD5B80"/>
    <w:rsid w:val="00DD5E1F"/>
    <w:rsid w:val="00DD634D"/>
    <w:rsid w:val="00DD7031"/>
    <w:rsid w:val="00DD7D56"/>
    <w:rsid w:val="00DE0473"/>
    <w:rsid w:val="00DE07DF"/>
    <w:rsid w:val="00DE0F7B"/>
    <w:rsid w:val="00DE114A"/>
    <w:rsid w:val="00DE1F86"/>
    <w:rsid w:val="00DE26EB"/>
    <w:rsid w:val="00DE28B2"/>
    <w:rsid w:val="00DE2962"/>
    <w:rsid w:val="00DE2D2E"/>
    <w:rsid w:val="00DE2DA3"/>
    <w:rsid w:val="00DE303A"/>
    <w:rsid w:val="00DE30D5"/>
    <w:rsid w:val="00DE3753"/>
    <w:rsid w:val="00DE4B4A"/>
    <w:rsid w:val="00DE5051"/>
    <w:rsid w:val="00DE5301"/>
    <w:rsid w:val="00DE5850"/>
    <w:rsid w:val="00DE58EF"/>
    <w:rsid w:val="00DE6AA7"/>
    <w:rsid w:val="00DE7090"/>
    <w:rsid w:val="00DE70D4"/>
    <w:rsid w:val="00DE7359"/>
    <w:rsid w:val="00DF0036"/>
    <w:rsid w:val="00DF0071"/>
    <w:rsid w:val="00DF038F"/>
    <w:rsid w:val="00DF0C53"/>
    <w:rsid w:val="00DF0CBD"/>
    <w:rsid w:val="00DF0F51"/>
    <w:rsid w:val="00DF189A"/>
    <w:rsid w:val="00DF1BF0"/>
    <w:rsid w:val="00DF2225"/>
    <w:rsid w:val="00DF2411"/>
    <w:rsid w:val="00DF266C"/>
    <w:rsid w:val="00DF2A59"/>
    <w:rsid w:val="00DF2CFC"/>
    <w:rsid w:val="00DF316B"/>
    <w:rsid w:val="00DF3205"/>
    <w:rsid w:val="00DF35CB"/>
    <w:rsid w:val="00DF390B"/>
    <w:rsid w:val="00DF395A"/>
    <w:rsid w:val="00DF3CF5"/>
    <w:rsid w:val="00DF47E4"/>
    <w:rsid w:val="00DF4C40"/>
    <w:rsid w:val="00DF4D9E"/>
    <w:rsid w:val="00DF506E"/>
    <w:rsid w:val="00DF6031"/>
    <w:rsid w:val="00DF65CE"/>
    <w:rsid w:val="00DF6D44"/>
    <w:rsid w:val="00DF6DE8"/>
    <w:rsid w:val="00DF720E"/>
    <w:rsid w:val="00DF75C3"/>
    <w:rsid w:val="00DF7930"/>
    <w:rsid w:val="00E0079C"/>
    <w:rsid w:val="00E0089B"/>
    <w:rsid w:val="00E00C4A"/>
    <w:rsid w:val="00E00D17"/>
    <w:rsid w:val="00E00EFD"/>
    <w:rsid w:val="00E00F06"/>
    <w:rsid w:val="00E0131C"/>
    <w:rsid w:val="00E0143D"/>
    <w:rsid w:val="00E023F4"/>
    <w:rsid w:val="00E027EC"/>
    <w:rsid w:val="00E02949"/>
    <w:rsid w:val="00E02A3D"/>
    <w:rsid w:val="00E03585"/>
    <w:rsid w:val="00E0383B"/>
    <w:rsid w:val="00E03999"/>
    <w:rsid w:val="00E04E5A"/>
    <w:rsid w:val="00E05250"/>
    <w:rsid w:val="00E055AF"/>
    <w:rsid w:val="00E0637C"/>
    <w:rsid w:val="00E06762"/>
    <w:rsid w:val="00E071F7"/>
    <w:rsid w:val="00E07421"/>
    <w:rsid w:val="00E07B65"/>
    <w:rsid w:val="00E07CC6"/>
    <w:rsid w:val="00E10080"/>
    <w:rsid w:val="00E10248"/>
    <w:rsid w:val="00E11127"/>
    <w:rsid w:val="00E11266"/>
    <w:rsid w:val="00E11C92"/>
    <w:rsid w:val="00E11D22"/>
    <w:rsid w:val="00E11D46"/>
    <w:rsid w:val="00E12163"/>
    <w:rsid w:val="00E124BA"/>
    <w:rsid w:val="00E12C14"/>
    <w:rsid w:val="00E13075"/>
    <w:rsid w:val="00E134F6"/>
    <w:rsid w:val="00E13675"/>
    <w:rsid w:val="00E13715"/>
    <w:rsid w:val="00E14D8C"/>
    <w:rsid w:val="00E14DF2"/>
    <w:rsid w:val="00E14EE6"/>
    <w:rsid w:val="00E1504C"/>
    <w:rsid w:val="00E1513C"/>
    <w:rsid w:val="00E15453"/>
    <w:rsid w:val="00E15BA4"/>
    <w:rsid w:val="00E15F84"/>
    <w:rsid w:val="00E160DF"/>
    <w:rsid w:val="00E162B7"/>
    <w:rsid w:val="00E163A6"/>
    <w:rsid w:val="00E166B1"/>
    <w:rsid w:val="00E1698B"/>
    <w:rsid w:val="00E16E29"/>
    <w:rsid w:val="00E17062"/>
    <w:rsid w:val="00E20120"/>
    <w:rsid w:val="00E203F0"/>
    <w:rsid w:val="00E209B6"/>
    <w:rsid w:val="00E20E18"/>
    <w:rsid w:val="00E21190"/>
    <w:rsid w:val="00E21241"/>
    <w:rsid w:val="00E212F2"/>
    <w:rsid w:val="00E214C0"/>
    <w:rsid w:val="00E21E6C"/>
    <w:rsid w:val="00E228C4"/>
    <w:rsid w:val="00E23436"/>
    <w:rsid w:val="00E23BC2"/>
    <w:rsid w:val="00E245D8"/>
    <w:rsid w:val="00E24CFB"/>
    <w:rsid w:val="00E24E79"/>
    <w:rsid w:val="00E250FC"/>
    <w:rsid w:val="00E25123"/>
    <w:rsid w:val="00E251F6"/>
    <w:rsid w:val="00E25AEA"/>
    <w:rsid w:val="00E25CCD"/>
    <w:rsid w:val="00E25E4C"/>
    <w:rsid w:val="00E2621B"/>
    <w:rsid w:val="00E26548"/>
    <w:rsid w:val="00E268B5"/>
    <w:rsid w:val="00E26BB8"/>
    <w:rsid w:val="00E26E82"/>
    <w:rsid w:val="00E27795"/>
    <w:rsid w:val="00E305AF"/>
    <w:rsid w:val="00E3095F"/>
    <w:rsid w:val="00E315EA"/>
    <w:rsid w:val="00E316DB"/>
    <w:rsid w:val="00E31D01"/>
    <w:rsid w:val="00E32632"/>
    <w:rsid w:val="00E32A7B"/>
    <w:rsid w:val="00E32FF2"/>
    <w:rsid w:val="00E33745"/>
    <w:rsid w:val="00E3384D"/>
    <w:rsid w:val="00E33A1C"/>
    <w:rsid w:val="00E33EBB"/>
    <w:rsid w:val="00E344B1"/>
    <w:rsid w:val="00E34B03"/>
    <w:rsid w:val="00E35167"/>
    <w:rsid w:val="00E35BB9"/>
    <w:rsid w:val="00E35C51"/>
    <w:rsid w:val="00E36A30"/>
    <w:rsid w:val="00E36FA6"/>
    <w:rsid w:val="00E374A6"/>
    <w:rsid w:val="00E37655"/>
    <w:rsid w:val="00E377B0"/>
    <w:rsid w:val="00E40460"/>
    <w:rsid w:val="00E410FD"/>
    <w:rsid w:val="00E414C1"/>
    <w:rsid w:val="00E41AB7"/>
    <w:rsid w:val="00E41B7C"/>
    <w:rsid w:val="00E41E58"/>
    <w:rsid w:val="00E41FC2"/>
    <w:rsid w:val="00E4200D"/>
    <w:rsid w:val="00E4216C"/>
    <w:rsid w:val="00E42CB6"/>
    <w:rsid w:val="00E43043"/>
    <w:rsid w:val="00E439FD"/>
    <w:rsid w:val="00E43F5A"/>
    <w:rsid w:val="00E441BA"/>
    <w:rsid w:val="00E442B2"/>
    <w:rsid w:val="00E446F7"/>
    <w:rsid w:val="00E452C0"/>
    <w:rsid w:val="00E464E4"/>
    <w:rsid w:val="00E468F3"/>
    <w:rsid w:val="00E46BA8"/>
    <w:rsid w:val="00E46CC9"/>
    <w:rsid w:val="00E46EAE"/>
    <w:rsid w:val="00E46F4F"/>
    <w:rsid w:val="00E471B7"/>
    <w:rsid w:val="00E5055D"/>
    <w:rsid w:val="00E5083D"/>
    <w:rsid w:val="00E50C53"/>
    <w:rsid w:val="00E50F52"/>
    <w:rsid w:val="00E512D5"/>
    <w:rsid w:val="00E51928"/>
    <w:rsid w:val="00E519DB"/>
    <w:rsid w:val="00E51F4B"/>
    <w:rsid w:val="00E521A3"/>
    <w:rsid w:val="00E523C9"/>
    <w:rsid w:val="00E526FA"/>
    <w:rsid w:val="00E52CC0"/>
    <w:rsid w:val="00E52D22"/>
    <w:rsid w:val="00E539D8"/>
    <w:rsid w:val="00E5446A"/>
    <w:rsid w:val="00E544D1"/>
    <w:rsid w:val="00E5456B"/>
    <w:rsid w:val="00E54626"/>
    <w:rsid w:val="00E54655"/>
    <w:rsid w:val="00E54A3E"/>
    <w:rsid w:val="00E54DF2"/>
    <w:rsid w:val="00E54F92"/>
    <w:rsid w:val="00E55196"/>
    <w:rsid w:val="00E55427"/>
    <w:rsid w:val="00E555A5"/>
    <w:rsid w:val="00E5577D"/>
    <w:rsid w:val="00E557DE"/>
    <w:rsid w:val="00E5599D"/>
    <w:rsid w:val="00E55D3A"/>
    <w:rsid w:val="00E56975"/>
    <w:rsid w:val="00E56CB0"/>
    <w:rsid w:val="00E57A6C"/>
    <w:rsid w:val="00E57E13"/>
    <w:rsid w:val="00E57F6E"/>
    <w:rsid w:val="00E6117D"/>
    <w:rsid w:val="00E61559"/>
    <w:rsid w:val="00E61628"/>
    <w:rsid w:val="00E61782"/>
    <w:rsid w:val="00E61BC5"/>
    <w:rsid w:val="00E61CED"/>
    <w:rsid w:val="00E62344"/>
    <w:rsid w:val="00E624C0"/>
    <w:rsid w:val="00E62CB4"/>
    <w:rsid w:val="00E630FD"/>
    <w:rsid w:val="00E63307"/>
    <w:rsid w:val="00E63441"/>
    <w:rsid w:val="00E63A5D"/>
    <w:rsid w:val="00E64241"/>
    <w:rsid w:val="00E64246"/>
    <w:rsid w:val="00E64429"/>
    <w:rsid w:val="00E649CE"/>
    <w:rsid w:val="00E64A32"/>
    <w:rsid w:val="00E64D01"/>
    <w:rsid w:val="00E655D2"/>
    <w:rsid w:val="00E6619A"/>
    <w:rsid w:val="00E6687E"/>
    <w:rsid w:val="00E66BF0"/>
    <w:rsid w:val="00E66EE1"/>
    <w:rsid w:val="00E67070"/>
    <w:rsid w:val="00E67332"/>
    <w:rsid w:val="00E6736B"/>
    <w:rsid w:val="00E67A37"/>
    <w:rsid w:val="00E709C6"/>
    <w:rsid w:val="00E70E12"/>
    <w:rsid w:val="00E7121E"/>
    <w:rsid w:val="00E71B0A"/>
    <w:rsid w:val="00E71DBA"/>
    <w:rsid w:val="00E73030"/>
    <w:rsid w:val="00E73171"/>
    <w:rsid w:val="00E731A4"/>
    <w:rsid w:val="00E735EA"/>
    <w:rsid w:val="00E73876"/>
    <w:rsid w:val="00E73C11"/>
    <w:rsid w:val="00E74C20"/>
    <w:rsid w:val="00E75416"/>
    <w:rsid w:val="00E75607"/>
    <w:rsid w:val="00E758EE"/>
    <w:rsid w:val="00E7688D"/>
    <w:rsid w:val="00E769C7"/>
    <w:rsid w:val="00E769CB"/>
    <w:rsid w:val="00E76BC4"/>
    <w:rsid w:val="00E76ED6"/>
    <w:rsid w:val="00E76F99"/>
    <w:rsid w:val="00E7775D"/>
    <w:rsid w:val="00E8013A"/>
    <w:rsid w:val="00E8016F"/>
    <w:rsid w:val="00E80706"/>
    <w:rsid w:val="00E80F79"/>
    <w:rsid w:val="00E81277"/>
    <w:rsid w:val="00E8143C"/>
    <w:rsid w:val="00E81E56"/>
    <w:rsid w:val="00E82281"/>
    <w:rsid w:val="00E8241F"/>
    <w:rsid w:val="00E825C3"/>
    <w:rsid w:val="00E82C34"/>
    <w:rsid w:val="00E8325A"/>
    <w:rsid w:val="00E83497"/>
    <w:rsid w:val="00E8366A"/>
    <w:rsid w:val="00E83980"/>
    <w:rsid w:val="00E84015"/>
    <w:rsid w:val="00E84246"/>
    <w:rsid w:val="00E84C9A"/>
    <w:rsid w:val="00E84F61"/>
    <w:rsid w:val="00E85365"/>
    <w:rsid w:val="00E853AA"/>
    <w:rsid w:val="00E85E31"/>
    <w:rsid w:val="00E86A75"/>
    <w:rsid w:val="00E86C7A"/>
    <w:rsid w:val="00E877DB"/>
    <w:rsid w:val="00E87A30"/>
    <w:rsid w:val="00E903BB"/>
    <w:rsid w:val="00E92156"/>
    <w:rsid w:val="00E92E06"/>
    <w:rsid w:val="00E9359C"/>
    <w:rsid w:val="00E9392A"/>
    <w:rsid w:val="00E94129"/>
    <w:rsid w:val="00E94F77"/>
    <w:rsid w:val="00E95253"/>
    <w:rsid w:val="00E95703"/>
    <w:rsid w:val="00E960E4"/>
    <w:rsid w:val="00E96196"/>
    <w:rsid w:val="00E971F8"/>
    <w:rsid w:val="00E972D9"/>
    <w:rsid w:val="00E976FE"/>
    <w:rsid w:val="00E97750"/>
    <w:rsid w:val="00E979F6"/>
    <w:rsid w:val="00EA02B9"/>
    <w:rsid w:val="00EA089E"/>
    <w:rsid w:val="00EA0D77"/>
    <w:rsid w:val="00EA15F2"/>
    <w:rsid w:val="00EA1779"/>
    <w:rsid w:val="00EA1D36"/>
    <w:rsid w:val="00EA22BF"/>
    <w:rsid w:val="00EA252B"/>
    <w:rsid w:val="00EA299A"/>
    <w:rsid w:val="00EA307B"/>
    <w:rsid w:val="00EA3305"/>
    <w:rsid w:val="00EA3369"/>
    <w:rsid w:val="00EA33F1"/>
    <w:rsid w:val="00EA3504"/>
    <w:rsid w:val="00EA3772"/>
    <w:rsid w:val="00EA3CF3"/>
    <w:rsid w:val="00EA3DF9"/>
    <w:rsid w:val="00EA42D0"/>
    <w:rsid w:val="00EA4530"/>
    <w:rsid w:val="00EA45DB"/>
    <w:rsid w:val="00EA4C98"/>
    <w:rsid w:val="00EA5512"/>
    <w:rsid w:val="00EA5596"/>
    <w:rsid w:val="00EA5C68"/>
    <w:rsid w:val="00EA5EAB"/>
    <w:rsid w:val="00EA5FCD"/>
    <w:rsid w:val="00EA60E9"/>
    <w:rsid w:val="00EA6128"/>
    <w:rsid w:val="00EA6BD2"/>
    <w:rsid w:val="00EA6C77"/>
    <w:rsid w:val="00EA707F"/>
    <w:rsid w:val="00EA744E"/>
    <w:rsid w:val="00EA7C18"/>
    <w:rsid w:val="00EA7CDB"/>
    <w:rsid w:val="00EA7FFB"/>
    <w:rsid w:val="00EB1206"/>
    <w:rsid w:val="00EB196F"/>
    <w:rsid w:val="00EB1DF3"/>
    <w:rsid w:val="00EB2051"/>
    <w:rsid w:val="00EB2EB7"/>
    <w:rsid w:val="00EB5046"/>
    <w:rsid w:val="00EB5368"/>
    <w:rsid w:val="00EB5EA4"/>
    <w:rsid w:val="00EB6557"/>
    <w:rsid w:val="00EB6712"/>
    <w:rsid w:val="00EB7E61"/>
    <w:rsid w:val="00EB7F81"/>
    <w:rsid w:val="00EC049B"/>
    <w:rsid w:val="00EC0B6A"/>
    <w:rsid w:val="00EC0C1E"/>
    <w:rsid w:val="00EC18AE"/>
    <w:rsid w:val="00EC2BED"/>
    <w:rsid w:val="00EC40C2"/>
    <w:rsid w:val="00EC4D10"/>
    <w:rsid w:val="00EC52BD"/>
    <w:rsid w:val="00EC56FC"/>
    <w:rsid w:val="00EC5A4B"/>
    <w:rsid w:val="00EC5CB4"/>
    <w:rsid w:val="00EC5D9F"/>
    <w:rsid w:val="00EC6438"/>
    <w:rsid w:val="00EC6859"/>
    <w:rsid w:val="00EC69D1"/>
    <w:rsid w:val="00EC78AD"/>
    <w:rsid w:val="00EC7BD1"/>
    <w:rsid w:val="00ED07E2"/>
    <w:rsid w:val="00ED0889"/>
    <w:rsid w:val="00ED1798"/>
    <w:rsid w:val="00ED1BA4"/>
    <w:rsid w:val="00ED1FAC"/>
    <w:rsid w:val="00ED2196"/>
    <w:rsid w:val="00ED21CB"/>
    <w:rsid w:val="00ED2BFA"/>
    <w:rsid w:val="00ED2E4A"/>
    <w:rsid w:val="00ED3588"/>
    <w:rsid w:val="00ED3A6F"/>
    <w:rsid w:val="00ED59B2"/>
    <w:rsid w:val="00ED5A86"/>
    <w:rsid w:val="00ED6738"/>
    <w:rsid w:val="00ED6FB4"/>
    <w:rsid w:val="00ED708A"/>
    <w:rsid w:val="00ED771A"/>
    <w:rsid w:val="00ED7780"/>
    <w:rsid w:val="00EE01E0"/>
    <w:rsid w:val="00EE0309"/>
    <w:rsid w:val="00EE0D54"/>
    <w:rsid w:val="00EE2161"/>
    <w:rsid w:val="00EE2C0B"/>
    <w:rsid w:val="00EE3377"/>
    <w:rsid w:val="00EE3C4E"/>
    <w:rsid w:val="00EE4522"/>
    <w:rsid w:val="00EE4AF8"/>
    <w:rsid w:val="00EE4D4E"/>
    <w:rsid w:val="00EE51F6"/>
    <w:rsid w:val="00EE5AD2"/>
    <w:rsid w:val="00EF0195"/>
    <w:rsid w:val="00EF0468"/>
    <w:rsid w:val="00EF0CB6"/>
    <w:rsid w:val="00EF1004"/>
    <w:rsid w:val="00EF1272"/>
    <w:rsid w:val="00EF162E"/>
    <w:rsid w:val="00EF1977"/>
    <w:rsid w:val="00EF1B6A"/>
    <w:rsid w:val="00EF25AF"/>
    <w:rsid w:val="00EF2614"/>
    <w:rsid w:val="00EF2A20"/>
    <w:rsid w:val="00EF333D"/>
    <w:rsid w:val="00EF3632"/>
    <w:rsid w:val="00EF3EEB"/>
    <w:rsid w:val="00EF4B28"/>
    <w:rsid w:val="00EF4C77"/>
    <w:rsid w:val="00EF53B9"/>
    <w:rsid w:val="00EF55F2"/>
    <w:rsid w:val="00EF58F9"/>
    <w:rsid w:val="00EF59AA"/>
    <w:rsid w:val="00EF617C"/>
    <w:rsid w:val="00EF6199"/>
    <w:rsid w:val="00EF6E3B"/>
    <w:rsid w:val="00EF70E7"/>
    <w:rsid w:val="00EF716B"/>
    <w:rsid w:val="00EF71FA"/>
    <w:rsid w:val="00EF7310"/>
    <w:rsid w:val="00EF7658"/>
    <w:rsid w:val="00EF7D01"/>
    <w:rsid w:val="00F00018"/>
    <w:rsid w:val="00F003A0"/>
    <w:rsid w:val="00F004C7"/>
    <w:rsid w:val="00F005A8"/>
    <w:rsid w:val="00F005FB"/>
    <w:rsid w:val="00F00BBC"/>
    <w:rsid w:val="00F019D8"/>
    <w:rsid w:val="00F01C50"/>
    <w:rsid w:val="00F01EFA"/>
    <w:rsid w:val="00F022B5"/>
    <w:rsid w:val="00F0317B"/>
    <w:rsid w:val="00F043C7"/>
    <w:rsid w:val="00F04E75"/>
    <w:rsid w:val="00F04F8D"/>
    <w:rsid w:val="00F05111"/>
    <w:rsid w:val="00F05737"/>
    <w:rsid w:val="00F059DD"/>
    <w:rsid w:val="00F05B9E"/>
    <w:rsid w:val="00F0682F"/>
    <w:rsid w:val="00F06A8E"/>
    <w:rsid w:val="00F06C35"/>
    <w:rsid w:val="00F0792E"/>
    <w:rsid w:val="00F07C0C"/>
    <w:rsid w:val="00F07EDC"/>
    <w:rsid w:val="00F1039E"/>
    <w:rsid w:val="00F1065D"/>
    <w:rsid w:val="00F10C0D"/>
    <w:rsid w:val="00F10C59"/>
    <w:rsid w:val="00F11723"/>
    <w:rsid w:val="00F11AC6"/>
    <w:rsid w:val="00F124BE"/>
    <w:rsid w:val="00F124D0"/>
    <w:rsid w:val="00F1269E"/>
    <w:rsid w:val="00F1306D"/>
    <w:rsid w:val="00F1333F"/>
    <w:rsid w:val="00F143BE"/>
    <w:rsid w:val="00F145DB"/>
    <w:rsid w:val="00F14629"/>
    <w:rsid w:val="00F1542B"/>
    <w:rsid w:val="00F154F9"/>
    <w:rsid w:val="00F15F76"/>
    <w:rsid w:val="00F1660C"/>
    <w:rsid w:val="00F17538"/>
    <w:rsid w:val="00F1753E"/>
    <w:rsid w:val="00F1756A"/>
    <w:rsid w:val="00F1763F"/>
    <w:rsid w:val="00F20075"/>
    <w:rsid w:val="00F202F2"/>
    <w:rsid w:val="00F203F3"/>
    <w:rsid w:val="00F20E57"/>
    <w:rsid w:val="00F217CE"/>
    <w:rsid w:val="00F21D18"/>
    <w:rsid w:val="00F2260D"/>
    <w:rsid w:val="00F226EC"/>
    <w:rsid w:val="00F23687"/>
    <w:rsid w:val="00F240C0"/>
    <w:rsid w:val="00F2447C"/>
    <w:rsid w:val="00F24614"/>
    <w:rsid w:val="00F24DA9"/>
    <w:rsid w:val="00F253D7"/>
    <w:rsid w:val="00F256C2"/>
    <w:rsid w:val="00F25F46"/>
    <w:rsid w:val="00F26511"/>
    <w:rsid w:val="00F274C3"/>
    <w:rsid w:val="00F274F5"/>
    <w:rsid w:val="00F277DA"/>
    <w:rsid w:val="00F27E10"/>
    <w:rsid w:val="00F30764"/>
    <w:rsid w:val="00F30875"/>
    <w:rsid w:val="00F30E1E"/>
    <w:rsid w:val="00F30EFA"/>
    <w:rsid w:val="00F3171D"/>
    <w:rsid w:val="00F31CBF"/>
    <w:rsid w:val="00F32700"/>
    <w:rsid w:val="00F328FF"/>
    <w:rsid w:val="00F32B64"/>
    <w:rsid w:val="00F32BD2"/>
    <w:rsid w:val="00F336B0"/>
    <w:rsid w:val="00F33856"/>
    <w:rsid w:val="00F33EA7"/>
    <w:rsid w:val="00F340CE"/>
    <w:rsid w:val="00F35C9B"/>
    <w:rsid w:val="00F369CF"/>
    <w:rsid w:val="00F36A74"/>
    <w:rsid w:val="00F40622"/>
    <w:rsid w:val="00F40631"/>
    <w:rsid w:val="00F414D8"/>
    <w:rsid w:val="00F4199B"/>
    <w:rsid w:val="00F41A68"/>
    <w:rsid w:val="00F42A9D"/>
    <w:rsid w:val="00F42C61"/>
    <w:rsid w:val="00F434E5"/>
    <w:rsid w:val="00F44903"/>
    <w:rsid w:val="00F44C4C"/>
    <w:rsid w:val="00F452B2"/>
    <w:rsid w:val="00F45BC4"/>
    <w:rsid w:val="00F463F1"/>
    <w:rsid w:val="00F4649E"/>
    <w:rsid w:val="00F46A71"/>
    <w:rsid w:val="00F46CC3"/>
    <w:rsid w:val="00F46E2C"/>
    <w:rsid w:val="00F46FB1"/>
    <w:rsid w:val="00F47CB8"/>
    <w:rsid w:val="00F47EBC"/>
    <w:rsid w:val="00F505E2"/>
    <w:rsid w:val="00F5089D"/>
    <w:rsid w:val="00F508B7"/>
    <w:rsid w:val="00F50954"/>
    <w:rsid w:val="00F50BF3"/>
    <w:rsid w:val="00F510A1"/>
    <w:rsid w:val="00F5245B"/>
    <w:rsid w:val="00F52637"/>
    <w:rsid w:val="00F52C7B"/>
    <w:rsid w:val="00F52EA8"/>
    <w:rsid w:val="00F53001"/>
    <w:rsid w:val="00F533B2"/>
    <w:rsid w:val="00F53CD9"/>
    <w:rsid w:val="00F54065"/>
    <w:rsid w:val="00F5537D"/>
    <w:rsid w:val="00F5576B"/>
    <w:rsid w:val="00F55B75"/>
    <w:rsid w:val="00F564E8"/>
    <w:rsid w:val="00F571F9"/>
    <w:rsid w:val="00F574D5"/>
    <w:rsid w:val="00F57EA8"/>
    <w:rsid w:val="00F60604"/>
    <w:rsid w:val="00F606E7"/>
    <w:rsid w:val="00F60A53"/>
    <w:rsid w:val="00F60C25"/>
    <w:rsid w:val="00F61125"/>
    <w:rsid w:val="00F613A5"/>
    <w:rsid w:val="00F62256"/>
    <w:rsid w:val="00F62B99"/>
    <w:rsid w:val="00F62E0C"/>
    <w:rsid w:val="00F63365"/>
    <w:rsid w:val="00F634B6"/>
    <w:rsid w:val="00F6351A"/>
    <w:rsid w:val="00F6365E"/>
    <w:rsid w:val="00F63831"/>
    <w:rsid w:val="00F63832"/>
    <w:rsid w:val="00F6392E"/>
    <w:rsid w:val="00F63D17"/>
    <w:rsid w:val="00F64095"/>
    <w:rsid w:val="00F64533"/>
    <w:rsid w:val="00F648E5"/>
    <w:rsid w:val="00F64F34"/>
    <w:rsid w:val="00F64F73"/>
    <w:rsid w:val="00F65A71"/>
    <w:rsid w:val="00F65FB0"/>
    <w:rsid w:val="00F66F02"/>
    <w:rsid w:val="00F678D7"/>
    <w:rsid w:val="00F67988"/>
    <w:rsid w:val="00F70BB9"/>
    <w:rsid w:val="00F70E5B"/>
    <w:rsid w:val="00F712A8"/>
    <w:rsid w:val="00F7143F"/>
    <w:rsid w:val="00F717B3"/>
    <w:rsid w:val="00F7220C"/>
    <w:rsid w:val="00F72E11"/>
    <w:rsid w:val="00F72E86"/>
    <w:rsid w:val="00F73CD3"/>
    <w:rsid w:val="00F74362"/>
    <w:rsid w:val="00F74634"/>
    <w:rsid w:val="00F746A9"/>
    <w:rsid w:val="00F74C78"/>
    <w:rsid w:val="00F753D9"/>
    <w:rsid w:val="00F75BC6"/>
    <w:rsid w:val="00F75DEE"/>
    <w:rsid w:val="00F764AB"/>
    <w:rsid w:val="00F76A70"/>
    <w:rsid w:val="00F76CEB"/>
    <w:rsid w:val="00F77079"/>
    <w:rsid w:val="00F808F0"/>
    <w:rsid w:val="00F81593"/>
    <w:rsid w:val="00F81733"/>
    <w:rsid w:val="00F81D7E"/>
    <w:rsid w:val="00F82BFB"/>
    <w:rsid w:val="00F82D49"/>
    <w:rsid w:val="00F82ECF"/>
    <w:rsid w:val="00F8304B"/>
    <w:rsid w:val="00F8304D"/>
    <w:rsid w:val="00F83612"/>
    <w:rsid w:val="00F83806"/>
    <w:rsid w:val="00F83F5D"/>
    <w:rsid w:val="00F84845"/>
    <w:rsid w:val="00F84E33"/>
    <w:rsid w:val="00F85097"/>
    <w:rsid w:val="00F867E6"/>
    <w:rsid w:val="00F87162"/>
    <w:rsid w:val="00F9120F"/>
    <w:rsid w:val="00F91AD8"/>
    <w:rsid w:val="00F91D02"/>
    <w:rsid w:val="00F9218A"/>
    <w:rsid w:val="00F9219B"/>
    <w:rsid w:val="00F92AD7"/>
    <w:rsid w:val="00F9309D"/>
    <w:rsid w:val="00F932A3"/>
    <w:rsid w:val="00F93B32"/>
    <w:rsid w:val="00F9497C"/>
    <w:rsid w:val="00F94B90"/>
    <w:rsid w:val="00F95065"/>
    <w:rsid w:val="00F958F6"/>
    <w:rsid w:val="00F95A46"/>
    <w:rsid w:val="00F95DB2"/>
    <w:rsid w:val="00F96109"/>
    <w:rsid w:val="00F96C2D"/>
    <w:rsid w:val="00F96D00"/>
    <w:rsid w:val="00F97F20"/>
    <w:rsid w:val="00FA072C"/>
    <w:rsid w:val="00FA07DE"/>
    <w:rsid w:val="00FA0A27"/>
    <w:rsid w:val="00FA12DD"/>
    <w:rsid w:val="00FA17D1"/>
    <w:rsid w:val="00FA1A9D"/>
    <w:rsid w:val="00FA1F66"/>
    <w:rsid w:val="00FA2070"/>
    <w:rsid w:val="00FA26BC"/>
    <w:rsid w:val="00FA2D09"/>
    <w:rsid w:val="00FA3089"/>
    <w:rsid w:val="00FA3204"/>
    <w:rsid w:val="00FA36E3"/>
    <w:rsid w:val="00FA3996"/>
    <w:rsid w:val="00FA3C16"/>
    <w:rsid w:val="00FA4125"/>
    <w:rsid w:val="00FA4A4D"/>
    <w:rsid w:val="00FA52D9"/>
    <w:rsid w:val="00FA5306"/>
    <w:rsid w:val="00FA531F"/>
    <w:rsid w:val="00FA5A92"/>
    <w:rsid w:val="00FA5B86"/>
    <w:rsid w:val="00FA5BA8"/>
    <w:rsid w:val="00FA6149"/>
    <w:rsid w:val="00FA6A7F"/>
    <w:rsid w:val="00FA6E1B"/>
    <w:rsid w:val="00FA6FEE"/>
    <w:rsid w:val="00FA744C"/>
    <w:rsid w:val="00FA7BFD"/>
    <w:rsid w:val="00FA7DCC"/>
    <w:rsid w:val="00FA7E3C"/>
    <w:rsid w:val="00FB0015"/>
    <w:rsid w:val="00FB1316"/>
    <w:rsid w:val="00FB18E8"/>
    <w:rsid w:val="00FB2A6D"/>
    <w:rsid w:val="00FB3650"/>
    <w:rsid w:val="00FB3654"/>
    <w:rsid w:val="00FB41A8"/>
    <w:rsid w:val="00FB4EFD"/>
    <w:rsid w:val="00FB560A"/>
    <w:rsid w:val="00FB638F"/>
    <w:rsid w:val="00FB640A"/>
    <w:rsid w:val="00FB6672"/>
    <w:rsid w:val="00FB6F5D"/>
    <w:rsid w:val="00FB71BF"/>
    <w:rsid w:val="00FB799D"/>
    <w:rsid w:val="00FC01FC"/>
    <w:rsid w:val="00FC1237"/>
    <w:rsid w:val="00FC13BF"/>
    <w:rsid w:val="00FC1730"/>
    <w:rsid w:val="00FC2600"/>
    <w:rsid w:val="00FC267C"/>
    <w:rsid w:val="00FC302F"/>
    <w:rsid w:val="00FC34F8"/>
    <w:rsid w:val="00FC3888"/>
    <w:rsid w:val="00FC4690"/>
    <w:rsid w:val="00FC48F0"/>
    <w:rsid w:val="00FC55A8"/>
    <w:rsid w:val="00FC6515"/>
    <w:rsid w:val="00FC7B02"/>
    <w:rsid w:val="00FC7B37"/>
    <w:rsid w:val="00FD0A41"/>
    <w:rsid w:val="00FD0A7B"/>
    <w:rsid w:val="00FD20E0"/>
    <w:rsid w:val="00FD2551"/>
    <w:rsid w:val="00FD2E54"/>
    <w:rsid w:val="00FD2FD8"/>
    <w:rsid w:val="00FD33C6"/>
    <w:rsid w:val="00FD37FB"/>
    <w:rsid w:val="00FD3843"/>
    <w:rsid w:val="00FD3DA1"/>
    <w:rsid w:val="00FD406F"/>
    <w:rsid w:val="00FD407C"/>
    <w:rsid w:val="00FD4EEE"/>
    <w:rsid w:val="00FD51CD"/>
    <w:rsid w:val="00FD52D1"/>
    <w:rsid w:val="00FD5785"/>
    <w:rsid w:val="00FD6B0A"/>
    <w:rsid w:val="00FD6D88"/>
    <w:rsid w:val="00FD6EED"/>
    <w:rsid w:val="00FD74B4"/>
    <w:rsid w:val="00FD77C5"/>
    <w:rsid w:val="00FD7926"/>
    <w:rsid w:val="00FD7D2C"/>
    <w:rsid w:val="00FD7DD9"/>
    <w:rsid w:val="00FE0EF4"/>
    <w:rsid w:val="00FE1C16"/>
    <w:rsid w:val="00FE1F17"/>
    <w:rsid w:val="00FE1FA8"/>
    <w:rsid w:val="00FE2279"/>
    <w:rsid w:val="00FE23DE"/>
    <w:rsid w:val="00FE275E"/>
    <w:rsid w:val="00FE27E6"/>
    <w:rsid w:val="00FE2D21"/>
    <w:rsid w:val="00FE2ECB"/>
    <w:rsid w:val="00FE3730"/>
    <w:rsid w:val="00FE3E36"/>
    <w:rsid w:val="00FE40B9"/>
    <w:rsid w:val="00FE4630"/>
    <w:rsid w:val="00FE4B0D"/>
    <w:rsid w:val="00FE5126"/>
    <w:rsid w:val="00FE563D"/>
    <w:rsid w:val="00FE5C30"/>
    <w:rsid w:val="00FE5D41"/>
    <w:rsid w:val="00FE648A"/>
    <w:rsid w:val="00FE64C8"/>
    <w:rsid w:val="00FE6FC7"/>
    <w:rsid w:val="00FE6FFC"/>
    <w:rsid w:val="00FE727D"/>
    <w:rsid w:val="00FF00D6"/>
    <w:rsid w:val="00FF0238"/>
    <w:rsid w:val="00FF0651"/>
    <w:rsid w:val="00FF0C17"/>
    <w:rsid w:val="00FF0EA5"/>
    <w:rsid w:val="00FF1127"/>
    <w:rsid w:val="00FF27E1"/>
    <w:rsid w:val="00FF30D3"/>
    <w:rsid w:val="00FF30DE"/>
    <w:rsid w:val="00FF3597"/>
    <w:rsid w:val="00FF3C27"/>
    <w:rsid w:val="00FF3C54"/>
    <w:rsid w:val="00FF442D"/>
    <w:rsid w:val="00FF4544"/>
    <w:rsid w:val="00FF6191"/>
    <w:rsid w:val="00FF65F0"/>
    <w:rsid w:val="00FF6BA4"/>
    <w:rsid w:val="0105793B"/>
    <w:rsid w:val="010653CD"/>
    <w:rsid w:val="010832A0"/>
    <w:rsid w:val="010E055B"/>
    <w:rsid w:val="0112397A"/>
    <w:rsid w:val="01131210"/>
    <w:rsid w:val="01172BEC"/>
    <w:rsid w:val="01214453"/>
    <w:rsid w:val="012162FB"/>
    <w:rsid w:val="01257F67"/>
    <w:rsid w:val="012737CF"/>
    <w:rsid w:val="012949F3"/>
    <w:rsid w:val="01317B7E"/>
    <w:rsid w:val="013635A1"/>
    <w:rsid w:val="013B2642"/>
    <w:rsid w:val="013D7AD1"/>
    <w:rsid w:val="014225AE"/>
    <w:rsid w:val="014310C6"/>
    <w:rsid w:val="015347B1"/>
    <w:rsid w:val="015A7C33"/>
    <w:rsid w:val="016429B4"/>
    <w:rsid w:val="01661EB3"/>
    <w:rsid w:val="016F2EE1"/>
    <w:rsid w:val="01750BF2"/>
    <w:rsid w:val="01790BDC"/>
    <w:rsid w:val="017A0A95"/>
    <w:rsid w:val="017E78AB"/>
    <w:rsid w:val="0181113A"/>
    <w:rsid w:val="018D640E"/>
    <w:rsid w:val="019B2A5D"/>
    <w:rsid w:val="01A7079D"/>
    <w:rsid w:val="01B166E8"/>
    <w:rsid w:val="01B44AB3"/>
    <w:rsid w:val="01BA1C0D"/>
    <w:rsid w:val="01BB75EE"/>
    <w:rsid w:val="01BC5057"/>
    <w:rsid w:val="01BC5EAE"/>
    <w:rsid w:val="01BD1D23"/>
    <w:rsid w:val="01BD3CBC"/>
    <w:rsid w:val="01C73EDC"/>
    <w:rsid w:val="01C973E1"/>
    <w:rsid w:val="01D53047"/>
    <w:rsid w:val="01DF45AE"/>
    <w:rsid w:val="01E64357"/>
    <w:rsid w:val="01E82409"/>
    <w:rsid w:val="01EC3F79"/>
    <w:rsid w:val="01F11CDB"/>
    <w:rsid w:val="01F42B1F"/>
    <w:rsid w:val="01FB3721"/>
    <w:rsid w:val="01FD0736"/>
    <w:rsid w:val="02013FCB"/>
    <w:rsid w:val="02054FDD"/>
    <w:rsid w:val="020D0A26"/>
    <w:rsid w:val="021B3B9A"/>
    <w:rsid w:val="021E471A"/>
    <w:rsid w:val="02237D3C"/>
    <w:rsid w:val="022460A7"/>
    <w:rsid w:val="0226404D"/>
    <w:rsid w:val="02316C67"/>
    <w:rsid w:val="02396DD7"/>
    <w:rsid w:val="023B0207"/>
    <w:rsid w:val="024E327D"/>
    <w:rsid w:val="025254C7"/>
    <w:rsid w:val="02547F27"/>
    <w:rsid w:val="026256BA"/>
    <w:rsid w:val="02664EE1"/>
    <w:rsid w:val="0269305D"/>
    <w:rsid w:val="026956BB"/>
    <w:rsid w:val="02714C76"/>
    <w:rsid w:val="027201B9"/>
    <w:rsid w:val="02724090"/>
    <w:rsid w:val="027B3E58"/>
    <w:rsid w:val="028D7C56"/>
    <w:rsid w:val="02937251"/>
    <w:rsid w:val="029D45BF"/>
    <w:rsid w:val="02A132E2"/>
    <w:rsid w:val="02A1631A"/>
    <w:rsid w:val="02A81AED"/>
    <w:rsid w:val="02B240EF"/>
    <w:rsid w:val="02B402E3"/>
    <w:rsid w:val="02BC2AA3"/>
    <w:rsid w:val="02C26F76"/>
    <w:rsid w:val="02CF582A"/>
    <w:rsid w:val="02D11803"/>
    <w:rsid w:val="02D23469"/>
    <w:rsid w:val="02D40B7B"/>
    <w:rsid w:val="02DF2481"/>
    <w:rsid w:val="02E5012E"/>
    <w:rsid w:val="02EA61EA"/>
    <w:rsid w:val="02EB58AA"/>
    <w:rsid w:val="02EC5581"/>
    <w:rsid w:val="02F45F2C"/>
    <w:rsid w:val="02F64DA0"/>
    <w:rsid w:val="02F76930"/>
    <w:rsid w:val="02F93C88"/>
    <w:rsid w:val="030A2CCE"/>
    <w:rsid w:val="030D43D3"/>
    <w:rsid w:val="030F4DA1"/>
    <w:rsid w:val="03116238"/>
    <w:rsid w:val="0321658C"/>
    <w:rsid w:val="03225102"/>
    <w:rsid w:val="03264EFC"/>
    <w:rsid w:val="032864A0"/>
    <w:rsid w:val="0332550A"/>
    <w:rsid w:val="033C1981"/>
    <w:rsid w:val="03414841"/>
    <w:rsid w:val="034370B6"/>
    <w:rsid w:val="03457F79"/>
    <w:rsid w:val="03471C94"/>
    <w:rsid w:val="03480222"/>
    <w:rsid w:val="034A1B6A"/>
    <w:rsid w:val="035352CC"/>
    <w:rsid w:val="0360434B"/>
    <w:rsid w:val="03626A91"/>
    <w:rsid w:val="03631A4E"/>
    <w:rsid w:val="0368511F"/>
    <w:rsid w:val="036F1210"/>
    <w:rsid w:val="03742BD7"/>
    <w:rsid w:val="037530D9"/>
    <w:rsid w:val="03786D7D"/>
    <w:rsid w:val="037C1BA6"/>
    <w:rsid w:val="037D50C7"/>
    <w:rsid w:val="037F12CE"/>
    <w:rsid w:val="03820AE9"/>
    <w:rsid w:val="038E0F8C"/>
    <w:rsid w:val="03922C8F"/>
    <w:rsid w:val="03983463"/>
    <w:rsid w:val="039A1A20"/>
    <w:rsid w:val="03A458C2"/>
    <w:rsid w:val="03A5557C"/>
    <w:rsid w:val="03AF0689"/>
    <w:rsid w:val="03B72B78"/>
    <w:rsid w:val="03B842AD"/>
    <w:rsid w:val="03B911D3"/>
    <w:rsid w:val="03BE21F1"/>
    <w:rsid w:val="03C2387C"/>
    <w:rsid w:val="03C761E7"/>
    <w:rsid w:val="03CD5584"/>
    <w:rsid w:val="03CD57F5"/>
    <w:rsid w:val="03D91777"/>
    <w:rsid w:val="03D958E4"/>
    <w:rsid w:val="03DB75CB"/>
    <w:rsid w:val="03DC2A7C"/>
    <w:rsid w:val="03DC5B3A"/>
    <w:rsid w:val="03DD635D"/>
    <w:rsid w:val="03DF445F"/>
    <w:rsid w:val="03E23A5B"/>
    <w:rsid w:val="03E35963"/>
    <w:rsid w:val="03E42CA2"/>
    <w:rsid w:val="03EC78FF"/>
    <w:rsid w:val="03EF05D2"/>
    <w:rsid w:val="03EF48BA"/>
    <w:rsid w:val="03F17989"/>
    <w:rsid w:val="03F53FCE"/>
    <w:rsid w:val="03FC2580"/>
    <w:rsid w:val="03FE5B7F"/>
    <w:rsid w:val="04041834"/>
    <w:rsid w:val="04041F57"/>
    <w:rsid w:val="040862AC"/>
    <w:rsid w:val="040A4F38"/>
    <w:rsid w:val="04115862"/>
    <w:rsid w:val="041326F8"/>
    <w:rsid w:val="04162436"/>
    <w:rsid w:val="042146D0"/>
    <w:rsid w:val="04246D7B"/>
    <w:rsid w:val="042E2924"/>
    <w:rsid w:val="043422B3"/>
    <w:rsid w:val="04354DA0"/>
    <w:rsid w:val="04371CFA"/>
    <w:rsid w:val="04372230"/>
    <w:rsid w:val="043C62CB"/>
    <w:rsid w:val="043F0B61"/>
    <w:rsid w:val="04500ACC"/>
    <w:rsid w:val="045571A0"/>
    <w:rsid w:val="04573EEA"/>
    <w:rsid w:val="046007F9"/>
    <w:rsid w:val="0469701B"/>
    <w:rsid w:val="047130CD"/>
    <w:rsid w:val="04756F17"/>
    <w:rsid w:val="04791BE7"/>
    <w:rsid w:val="047E0369"/>
    <w:rsid w:val="04812767"/>
    <w:rsid w:val="0481797D"/>
    <w:rsid w:val="04841194"/>
    <w:rsid w:val="0487789D"/>
    <w:rsid w:val="04896B99"/>
    <w:rsid w:val="048A53FB"/>
    <w:rsid w:val="048B3BB9"/>
    <w:rsid w:val="048E1D4C"/>
    <w:rsid w:val="04957B1C"/>
    <w:rsid w:val="049D28C0"/>
    <w:rsid w:val="049E46F4"/>
    <w:rsid w:val="049F583B"/>
    <w:rsid w:val="04A63AAB"/>
    <w:rsid w:val="04AA4B3E"/>
    <w:rsid w:val="04AD5240"/>
    <w:rsid w:val="04B17483"/>
    <w:rsid w:val="04B50DD0"/>
    <w:rsid w:val="04BD3C02"/>
    <w:rsid w:val="04C87607"/>
    <w:rsid w:val="04C90C7E"/>
    <w:rsid w:val="04C948AC"/>
    <w:rsid w:val="04E67EFA"/>
    <w:rsid w:val="04F60F28"/>
    <w:rsid w:val="04FD0256"/>
    <w:rsid w:val="04FD7EB2"/>
    <w:rsid w:val="04FF6571"/>
    <w:rsid w:val="05000718"/>
    <w:rsid w:val="050E7E48"/>
    <w:rsid w:val="052128AA"/>
    <w:rsid w:val="052672BF"/>
    <w:rsid w:val="052D6F1C"/>
    <w:rsid w:val="05325C99"/>
    <w:rsid w:val="05330B10"/>
    <w:rsid w:val="05343214"/>
    <w:rsid w:val="053713F9"/>
    <w:rsid w:val="0541430C"/>
    <w:rsid w:val="0541796A"/>
    <w:rsid w:val="054331AA"/>
    <w:rsid w:val="054C36EF"/>
    <w:rsid w:val="05526DC1"/>
    <w:rsid w:val="055928C9"/>
    <w:rsid w:val="055C2865"/>
    <w:rsid w:val="0560007C"/>
    <w:rsid w:val="05641DFD"/>
    <w:rsid w:val="05650CDF"/>
    <w:rsid w:val="0567663A"/>
    <w:rsid w:val="056774AA"/>
    <w:rsid w:val="05695483"/>
    <w:rsid w:val="056C3E13"/>
    <w:rsid w:val="056F5F60"/>
    <w:rsid w:val="05965C4E"/>
    <w:rsid w:val="05AC3C6A"/>
    <w:rsid w:val="05B2226C"/>
    <w:rsid w:val="05BB6A25"/>
    <w:rsid w:val="05C06D14"/>
    <w:rsid w:val="05C54014"/>
    <w:rsid w:val="05C6547F"/>
    <w:rsid w:val="05DC62D8"/>
    <w:rsid w:val="05DD24E2"/>
    <w:rsid w:val="05DD3574"/>
    <w:rsid w:val="05EA1571"/>
    <w:rsid w:val="05F976E8"/>
    <w:rsid w:val="060164B0"/>
    <w:rsid w:val="06063406"/>
    <w:rsid w:val="06142C4B"/>
    <w:rsid w:val="06164B51"/>
    <w:rsid w:val="06194153"/>
    <w:rsid w:val="06195100"/>
    <w:rsid w:val="06222F59"/>
    <w:rsid w:val="06265D70"/>
    <w:rsid w:val="06357A88"/>
    <w:rsid w:val="063C6BF8"/>
    <w:rsid w:val="064C1848"/>
    <w:rsid w:val="06531F98"/>
    <w:rsid w:val="06650D7C"/>
    <w:rsid w:val="066910A8"/>
    <w:rsid w:val="066B0E6B"/>
    <w:rsid w:val="06767C5C"/>
    <w:rsid w:val="067B0AA0"/>
    <w:rsid w:val="067C4BE7"/>
    <w:rsid w:val="067C7462"/>
    <w:rsid w:val="0683736D"/>
    <w:rsid w:val="06A40172"/>
    <w:rsid w:val="06AB2F85"/>
    <w:rsid w:val="06B11454"/>
    <w:rsid w:val="06B44099"/>
    <w:rsid w:val="06B54621"/>
    <w:rsid w:val="06B67F3D"/>
    <w:rsid w:val="06B902BF"/>
    <w:rsid w:val="06BE028C"/>
    <w:rsid w:val="06BF52F8"/>
    <w:rsid w:val="06CD4A8A"/>
    <w:rsid w:val="06D45F01"/>
    <w:rsid w:val="06DA6112"/>
    <w:rsid w:val="06F552FE"/>
    <w:rsid w:val="06FE6B07"/>
    <w:rsid w:val="06FF5981"/>
    <w:rsid w:val="07064406"/>
    <w:rsid w:val="070904FE"/>
    <w:rsid w:val="071227C0"/>
    <w:rsid w:val="07146B9E"/>
    <w:rsid w:val="071575F0"/>
    <w:rsid w:val="07166A66"/>
    <w:rsid w:val="071813E8"/>
    <w:rsid w:val="071B57D7"/>
    <w:rsid w:val="071C786F"/>
    <w:rsid w:val="072430A3"/>
    <w:rsid w:val="072735D4"/>
    <w:rsid w:val="072B1748"/>
    <w:rsid w:val="072B75DD"/>
    <w:rsid w:val="072F5975"/>
    <w:rsid w:val="072F614F"/>
    <w:rsid w:val="07316C12"/>
    <w:rsid w:val="07350B9A"/>
    <w:rsid w:val="07356EBC"/>
    <w:rsid w:val="073C46F4"/>
    <w:rsid w:val="074D20F6"/>
    <w:rsid w:val="07514E6F"/>
    <w:rsid w:val="0755789E"/>
    <w:rsid w:val="0759525D"/>
    <w:rsid w:val="075A15D5"/>
    <w:rsid w:val="075F62A9"/>
    <w:rsid w:val="07607930"/>
    <w:rsid w:val="07623B91"/>
    <w:rsid w:val="076C7441"/>
    <w:rsid w:val="078F1846"/>
    <w:rsid w:val="07964B53"/>
    <w:rsid w:val="07987B55"/>
    <w:rsid w:val="07A06228"/>
    <w:rsid w:val="07AE12F0"/>
    <w:rsid w:val="07B651AD"/>
    <w:rsid w:val="07BD7C4B"/>
    <w:rsid w:val="07C14E47"/>
    <w:rsid w:val="07C33EC5"/>
    <w:rsid w:val="07CB238A"/>
    <w:rsid w:val="07CE7881"/>
    <w:rsid w:val="07CF3864"/>
    <w:rsid w:val="07D265D5"/>
    <w:rsid w:val="07E43E4B"/>
    <w:rsid w:val="07E975E7"/>
    <w:rsid w:val="07E97D66"/>
    <w:rsid w:val="07EC33B0"/>
    <w:rsid w:val="07EF42EE"/>
    <w:rsid w:val="07EF5300"/>
    <w:rsid w:val="07F0238D"/>
    <w:rsid w:val="07F30DD7"/>
    <w:rsid w:val="07F31D5E"/>
    <w:rsid w:val="07F721BF"/>
    <w:rsid w:val="07FD3581"/>
    <w:rsid w:val="080025E3"/>
    <w:rsid w:val="08012880"/>
    <w:rsid w:val="08081413"/>
    <w:rsid w:val="080929BF"/>
    <w:rsid w:val="080D29CF"/>
    <w:rsid w:val="080E790D"/>
    <w:rsid w:val="08130188"/>
    <w:rsid w:val="08136170"/>
    <w:rsid w:val="08157EE4"/>
    <w:rsid w:val="081B741F"/>
    <w:rsid w:val="0821710F"/>
    <w:rsid w:val="082978CB"/>
    <w:rsid w:val="082D57B8"/>
    <w:rsid w:val="082E04F6"/>
    <w:rsid w:val="08315D20"/>
    <w:rsid w:val="08317978"/>
    <w:rsid w:val="08376F72"/>
    <w:rsid w:val="083A5E87"/>
    <w:rsid w:val="083B6FD1"/>
    <w:rsid w:val="0843467D"/>
    <w:rsid w:val="08447A76"/>
    <w:rsid w:val="08480431"/>
    <w:rsid w:val="084C19FC"/>
    <w:rsid w:val="08555A70"/>
    <w:rsid w:val="086B5EF1"/>
    <w:rsid w:val="086E3E0C"/>
    <w:rsid w:val="087078A3"/>
    <w:rsid w:val="08720363"/>
    <w:rsid w:val="0874013A"/>
    <w:rsid w:val="087B0F48"/>
    <w:rsid w:val="088D6219"/>
    <w:rsid w:val="08923901"/>
    <w:rsid w:val="08977F70"/>
    <w:rsid w:val="0899495E"/>
    <w:rsid w:val="08A7566C"/>
    <w:rsid w:val="08AD16F8"/>
    <w:rsid w:val="08AD1932"/>
    <w:rsid w:val="08B0638C"/>
    <w:rsid w:val="08C12C43"/>
    <w:rsid w:val="08C40397"/>
    <w:rsid w:val="08C80A6F"/>
    <w:rsid w:val="08CA656B"/>
    <w:rsid w:val="08D25B45"/>
    <w:rsid w:val="08D53939"/>
    <w:rsid w:val="08D63DBF"/>
    <w:rsid w:val="08D72A71"/>
    <w:rsid w:val="08D90273"/>
    <w:rsid w:val="08DA19E2"/>
    <w:rsid w:val="08DC2040"/>
    <w:rsid w:val="08E21C9D"/>
    <w:rsid w:val="08E92A78"/>
    <w:rsid w:val="08EC2807"/>
    <w:rsid w:val="08F17A91"/>
    <w:rsid w:val="08F4075D"/>
    <w:rsid w:val="08F951AD"/>
    <w:rsid w:val="08FA3238"/>
    <w:rsid w:val="08FE6477"/>
    <w:rsid w:val="09043CB3"/>
    <w:rsid w:val="0904759F"/>
    <w:rsid w:val="090D144B"/>
    <w:rsid w:val="090E7AE8"/>
    <w:rsid w:val="091D047C"/>
    <w:rsid w:val="091E0735"/>
    <w:rsid w:val="092C7454"/>
    <w:rsid w:val="09303139"/>
    <w:rsid w:val="09353B9A"/>
    <w:rsid w:val="093B1A6E"/>
    <w:rsid w:val="093F678E"/>
    <w:rsid w:val="09432C6C"/>
    <w:rsid w:val="094A1560"/>
    <w:rsid w:val="094B40EA"/>
    <w:rsid w:val="094D4501"/>
    <w:rsid w:val="095705FE"/>
    <w:rsid w:val="095752B9"/>
    <w:rsid w:val="095878C5"/>
    <w:rsid w:val="095C0C5F"/>
    <w:rsid w:val="096302A1"/>
    <w:rsid w:val="096B198E"/>
    <w:rsid w:val="096F1013"/>
    <w:rsid w:val="09747386"/>
    <w:rsid w:val="09760447"/>
    <w:rsid w:val="09783271"/>
    <w:rsid w:val="0979657C"/>
    <w:rsid w:val="097A5466"/>
    <w:rsid w:val="097C71A5"/>
    <w:rsid w:val="098A18DE"/>
    <w:rsid w:val="098D44E3"/>
    <w:rsid w:val="0994465C"/>
    <w:rsid w:val="099549DA"/>
    <w:rsid w:val="099741FC"/>
    <w:rsid w:val="099D507C"/>
    <w:rsid w:val="099F7609"/>
    <w:rsid w:val="09A419FF"/>
    <w:rsid w:val="09A83271"/>
    <w:rsid w:val="09A844E9"/>
    <w:rsid w:val="09AA1847"/>
    <w:rsid w:val="09AC66C2"/>
    <w:rsid w:val="09B6308C"/>
    <w:rsid w:val="09BA6BCB"/>
    <w:rsid w:val="09BC3814"/>
    <w:rsid w:val="09BD17B5"/>
    <w:rsid w:val="09C07383"/>
    <w:rsid w:val="09C75818"/>
    <w:rsid w:val="09CA57E8"/>
    <w:rsid w:val="09CE64A8"/>
    <w:rsid w:val="09E44738"/>
    <w:rsid w:val="09FB6AEC"/>
    <w:rsid w:val="0A003BEF"/>
    <w:rsid w:val="0A112687"/>
    <w:rsid w:val="0A181B9C"/>
    <w:rsid w:val="0A1E17BC"/>
    <w:rsid w:val="0A201715"/>
    <w:rsid w:val="0A264834"/>
    <w:rsid w:val="0A2844A5"/>
    <w:rsid w:val="0A2C5CE2"/>
    <w:rsid w:val="0A2F1136"/>
    <w:rsid w:val="0A302709"/>
    <w:rsid w:val="0A305389"/>
    <w:rsid w:val="0A3A6625"/>
    <w:rsid w:val="0A3E2A28"/>
    <w:rsid w:val="0A4515A2"/>
    <w:rsid w:val="0A480A83"/>
    <w:rsid w:val="0A494DD0"/>
    <w:rsid w:val="0A4B44AE"/>
    <w:rsid w:val="0A4D2AB3"/>
    <w:rsid w:val="0A4F401A"/>
    <w:rsid w:val="0A55518C"/>
    <w:rsid w:val="0A55634B"/>
    <w:rsid w:val="0A566C2A"/>
    <w:rsid w:val="0A5D1361"/>
    <w:rsid w:val="0A643B7B"/>
    <w:rsid w:val="0A772E93"/>
    <w:rsid w:val="0A805852"/>
    <w:rsid w:val="0A852F7E"/>
    <w:rsid w:val="0A87785C"/>
    <w:rsid w:val="0A880E75"/>
    <w:rsid w:val="0A8D7F43"/>
    <w:rsid w:val="0A8F704E"/>
    <w:rsid w:val="0A920DEC"/>
    <w:rsid w:val="0AA64462"/>
    <w:rsid w:val="0AAD0F47"/>
    <w:rsid w:val="0AB67339"/>
    <w:rsid w:val="0ABB50AB"/>
    <w:rsid w:val="0ABE0070"/>
    <w:rsid w:val="0AC30BB6"/>
    <w:rsid w:val="0AC66C27"/>
    <w:rsid w:val="0AC81523"/>
    <w:rsid w:val="0ACD17A3"/>
    <w:rsid w:val="0ADC31DF"/>
    <w:rsid w:val="0AE051D1"/>
    <w:rsid w:val="0AE122A9"/>
    <w:rsid w:val="0AE333B2"/>
    <w:rsid w:val="0AE7031A"/>
    <w:rsid w:val="0AE8337F"/>
    <w:rsid w:val="0AF8394C"/>
    <w:rsid w:val="0B01502A"/>
    <w:rsid w:val="0B066FBD"/>
    <w:rsid w:val="0B10068A"/>
    <w:rsid w:val="0B114F89"/>
    <w:rsid w:val="0B166771"/>
    <w:rsid w:val="0B1A371F"/>
    <w:rsid w:val="0B224202"/>
    <w:rsid w:val="0B2407EB"/>
    <w:rsid w:val="0B27233E"/>
    <w:rsid w:val="0B2C355E"/>
    <w:rsid w:val="0B326380"/>
    <w:rsid w:val="0B347AC0"/>
    <w:rsid w:val="0B35162E"/>
    <w:rsid w:val="0B3D3683"/>
    <w:rsid w:val="0B471EAE"/>
    <w:rsid w:val="0B4E1143"/>
    <w:rsid w:val="0B532173"/>
    <w:rsid w:val="0B56029D"/>
    <w:rsid w:val="0B594E3C"/>
    <w:rsid w:val="0B5C0EE8"/>
    <w:rsid w:val="0B5C15B0"/>
    <w:rsid w:val="0B5D53ED"/>
    <w:rsid w:val="0B680512"/>
    <w:rsid w:val="0B6F0CFA"/>
    <w:rsid w:val="0B76204C"/>
    <w:rsid w:val="0B782F44"/>
    <w:rsid w:val="0B792676"/>
    <w:rsid w:val="0B81391B"/>
    <w:rsid w:val="0B8170DC"/>
    <w:rsid w:val="0B851100"/>
    <w:rsid w:val="0B85222F"/>
    <w:rsid w:val="0B8654DD"/>
    <w:rsid w:val="0B924DF5"/>
    <w:rsid w:val="0B9604C0"/>
    <w:rsid w:val="0B997093"/>
    <w:rsid w:val="0BA3060F"/>
    <w:rsid w:val="0BA92698"/>
    <w:rsid w:val="0BAA34A0"/>
    <w:rsid w:val="0BB524B3"/>
    <w:rsid w:val="0BB6149B"/>
    <w:rsid w:val="0BC63404"/>
    <w:rsid w:val="0BD95AC2"/>
    <w:rsid w:val="0BDC776A"/>
    <w:rsid w:val="0BDD0E2D"/>
    <w:rsid w:val="0BDE26DC"/>
    <w:rsid w:val="0BE410EC"/>
    <w:rsid w:val="0BE6471D"/>
    <w:rsid w:val="0BE817E4"/>
    <w:rsid w:val="0BF8765B"/>
    <w:rsid w:val="0BFE67D6"/>
    <w:rsid w:val="0C043D09"/>
    <w:rsid w:val="0C067F84"/>
    <w:rsid w:val="0C0B0596"/>
    <w:rsid w:val="0C0B0622"/>
    <w:rsid w:val="0C0C61CE"/>
    <w:rsid w:val="0C1062A7"/>
    <w:rsid w:val="0C123143"/>
    <w:rsid w:val="0C151E54"/>
    <w:rsid w:val="0C165A61"/>
    <w:rsid w:val="0C1A070A"/>
    <w:rsid w:val="0C230CF8"/>
    <w:rsid w:val="0C2C4A42"/>
    <w:rsid w:val="0C2C5C9F"/>
    <w:rsid w:val="0C306963"/>
    <w:rsid w:val="0C306DFF"/>
    <w:rsid w:val="0C35672F"/>
    <w:rsid w:val="0C407AB7"/>
    <w:rsid w:val="0C42338A"/>
    <w:rsid w:val="0C695EA8"/>
    <w:rsid w:val="0C6D1C1F"/>
    <w:rsid w:val="0C7576CC"/>
    <w:rsid w:val="0C792DF5"/>
    <w:rsid w:val="0C7C6B74"/>
    <w:rsid w:val="0C817D10"/>
    <w:rsid w:val="0C9468C3"/>
    <w:rsid w:val="0C9B41CA"/>
    <w:rsid w:val="0C9D42AB"/>
    <w:rsid w:val="0C9E0BBB"/>
    <w:rsid w:val="0C9F18D6"/>
    <w:rsid w:val="0C9F31B0"/>
    <w:rsid w:val="0CA17232"/>
    <w:rsid w:val="0CA552A7"/>
    <w:rsid w:val="0CAD72EA"/>
    <w:rsid w:val="0CBD5B75"/>
    <w:rsid w:val="0CC25417"/>
    <w:rsid w:val="0CC769B8"/>
    <w:rsid w:val="0CC9063F"/>
    <w:rsid w:val="0CCA0D1F"/>
    <w:rsid w:val="0CD92875"/>
    <w:rsid w:val="0CE44363"/>
    <w:rsid w:val="0CE55E20"/>
    <w:rsid w:val="0CE80799"/>
    <w:rsid w:val="0CEB1D0F"/>
    <w:rsid w:val="0CEC1DF8"/>
    <w:rsid w:val="0CEE3346"/>
    <w:rsid w:val="0CF33884"/>
    <w:rsid w:val="0CF65D91"/>
    <w:rsid w:val="0CF76623"/>
    <w:rsid w:val="0CFB1F2A"/>
    <w:rsid w:val="0CFF78EC"/>
    <w:rsid w:val="0D024062"/>
    <w:rsid w:val="0D075E04"/>
    <w:rsid w:val="0D095115"/>
    <w:rsid w:val="0D1D0FC1"/>
    <w:rsid w:val="0D1E1605"/>
    <w:rsid w:val="0D3320E2"/>
    <w:rsid w:val="0D367309"/>
    <w:rsid w:val="0D413DFD"/>
    <w:rsid w:val="0D414A0E"/>
    <w:rsid w:val="0D423747"/>
    <w:rsid w:val="0D4352D7"/>
    <w:rsid w:val="0D49165B"/>
    <w:rsid w:val="0D4E0C5E"/>
    <w:rsid w:val="0D4F5E6B"/>
    <w:rsid w:val="0D55087D"/>
    <w:rsid w:val="0D603C0E"/>
    <w:rsid w:val="0D640A93"/>
    <w:rsid w:val="0D686300"/>
    <w:rsid w:val="0D691963"/>
    <w:rsid w:val="0D6A6E14"/>
    <w:rsid w:val="0D774BF5"/>
    <w:rsid w:val="0D7B1D3A"/>
    <w:rsid w:val="0D863A39"/>
    <w:rsid w:val="0D896BA3"/>
    <w:rsid w:val="0D8C6E9A"/>
    <w:rsid w:val="0D9220ED"/>
    <w:rsid w:val="0DA43BC8"/>
    <w:rsid w:val="0DB10032"/>
    <w:rsid w:val="0DB20CC4"/>
    <w:rsid w:val="0DB4477F"/>
    <w:rsid w:val="0DB73966"/>
    <w:rsid w:val="0DB748FD"/>
    <w:rsid w:val="0DBC153D"/>
    <w:rsid w:val="0DBC6C3C"/>
    <w:rsid w:val="0DD43D87"/>
    <w:rsid w:val="0DD71C6F"/>
    <w:rsid w:val="0DD727B7"/>
    <w:rsid w:val="0DDD14A1"/>
    <w:rsid w:val="0DE8139D"/>
    <w:rsid w:val="0DEB3D4C"/>
    <w:rsid w:val="0DEC660F"/>
    <w:rsid w:val="0DEE174C"/>
    <w:rsid w:val="0DF369C3"/>
    <w:rsid w:val="0DF84A26"/>
    <w:rsid w:val="0DFE213B"/>
    <w:rsid w:val="0E0037F5"/>
    <w:rsid w:val="0E014939"/>
    <w:rsid w:val="0E0178E9"/>
    <w:rsid w:val="0E072962"/>
    <w:rsid w:val="0E0A7266"/>
    <w:rsid w:val="0E107BA6"/>
    <w:rsid w:val="0E11130A"/>
    <w:rsid w:val="0E126F13"/>
    <w:rsid w:val="0E161D6B"/>
    <w:rsid w:val="0E173FCF"/>
    <w:rsid w:val="0E1A69A0"/>
    <w:rsid w:val="0E1C7AAE"/>
    <w:rsid w:val="0E1E3D28"/>
    <w:rsid w:val="0E232B03"/>
    <w:rsid w:val="0E253685"/>
    <w:rsid w:val="0E275B50"/>
    <w:rsid w:val="0E2E32D3"/>
    <w:rsid w:val="0E2F3986"/>
    <w:rsid w:val="0E353489"/>
    <w:rsid w:val="0E3E42E4"/>
    <w:rsid w:val="0E3F103D"/>
    <w:rsid w:val="0E485363"/>
    <w:rsid w:val="0E49521E"/>
    <w:rsid w:val="0E503EF6"/>
    <w:rsid w:val="0E543880"/>
    <w:rsid w:val="0E5A1C60"/>
    <w:rsid w:val="0E5A3C09"/>
    <w:rsid w:val="0E673561"/>
    <w:rsid w:val="0E6A6337"/>
    <w:rsid w:val="0E703CC4"/>
    <w:rsid w:val="0E731FC3"/>
    <w:rsid w:val="0E764FAF"/>
    <w:rsid w:val="0E817079"/>
    <w:rsid w:val="0E867AD8"/>
    <w:rsid w:val="0E8704BF"/>
    <w:rsid w:val="0E8C63C4"/>
    <w:rsid w:val="0E8D1C14"/>
    <w:rsid w:val="0E8D4B5F"/>
    <w:rsid w:val="0E925992"/>
    <w:rsid w:val="0E9E3C5F"/>
    <w:rsid w:val="0EA01315"/>
    <w:rsid w:val="0EA06BBB"/>
    <w:rsid w:val="0EA2577A"/>
    <w:rsid w:val="0EA3137B"/>
    <w:rsid w:val="0EA94631"/>
    <w:rsid w:val="0EAB3BEF"/>
    <w:rsid w:val="0EB53512"/>
    <w:rsid w:val="0EB6128C"/>
    <w:rsid w:val="0EBE00FB"/>
    <w:rsid w:val="0EC05060"/>
    <w:rsid w:val="0EC304F1"/>
    <w:rsid w:val="0EC541F1"/>
    <w:rsid w:val="0ECC00F7"/>
    <w:rsid w:val="0EDB1BC8"/>
    <w:rsid w:val="0EE731CA"/>
    <w:rsid w:val="0EEF04AF"/>
    <w:rsid w:val="0EF03273"/>
    <w:rsid w:val="0EF344E6"/>
    <w:rsid w:val="0EF75033"/>
    <w:rsid w:val="0EFC1D0A"/>
    <w:rsid w:val="0F034AAC"/>
    <w:rsid w:val="0F055D29"/>
    <w:rsid w:val="0F064DA4"/>
    <w:rsid w:val="0F084BD0"/>
    <w:rsid w:val="0F0A788C"/>
    <w:rsid w:val="0F0B6396"/>
    <w:rsid w:val="0F0E772F"/>
    <w:rsid w:val="0F103B2E"/>
    <w:rsid w:val="0F105328"/>
    <w:rsid w:val="0F146469"/>
    <w:rsid w:val="0F1A6CBA"/>
    <w:rsid w:val="0F2D4C0B"/>
    <w:rsid w:val="0F321185"/>
    <w:rsid w:val="0F3C1142"/>
    <w:rsid w:val="0F3C4A81"/>
    <w:rsid w:val="0F3C71DD"/>
    <w:rsid w:val="0F493B20"/>
    <w:rsid w:val="0F53428A"/>
    <w:rsid w:val="0F5602FF"/>
    <w:rsid w:val="0F566568"/>
    <w:rsid w:val="0F5769A3"/>
    <w:rsid w:val="0F603CB4"/>
    <w:rsid w:val="0F701728"/>
    <w:rsid w:val="0F736B5F"/>
    <w:rsid w:val="0F7B6D0F"/>
    <w:rsid w:val="0F7F372B"/>
    <w:rsid w:val="0F8960E6"/>
    <w:rsid w:val="0F9210B5"/>
    <w:rsid w:val="0F956EBB"/>
    <w:rsid w:val="0F962B77"/>
    <w:rsid w:val="0F9F1321"/>
    <w:rsid w:val="0FAD1C06"/>
    <w:rsid w:val="0FAF581E"/>
    <w:rsid w:val="0FB04C34"/>
    <w:rsid w:val="0FB427FA"/>
    <w:rsid w:val="0FC01B88"/>
    <w:rsid w:val="0FC22E52"/>
    <w:rsid w:val="0FC5591C"/>
    <w:rsid w:val="0FCD16C0"/>
    <w:rsid w:val="0FCF36A1"/>
    <w:rsid w:val="0FD00E15"/>
    <w:rsid w:val="0FDE348B"/>
    <w:rsid w:val="0FDE761C"/>
    <w:rsid w:val="0FE023A2"/>
    <w:rsid w:val="0FE25153"/>
    <w:rsid w:val="0FE74990"/>
    <w:rsid w:val="0FED4B59"/>
    <w:rsid w:val="0FEE1877"/>
    <w:rsid w:val="0FEE3BBD"/>
    <w:rsid w:val="0FF14D9C"/>
    <w:rsid w:val="0FF43610"/>
    <w:rsid w:val="0FF52A45"/>
    <w:rsid w:val="100035AC"/>
    <w:rsid w:val="100331D2"/>
    <w:rsid w:val="100A3B95"/>
    <w:rsid w:val="100B0F6B"/>
    <w:rsid w:val="10141B23"/>
    <w:rsid w:val="101D5F52"/>
    <w:rsid w:val="102D04E4"/>
    <w:rsid w:val="10354315"/>
    <w:rsid w:val="103760F2"/>
    <w:rsid w:val="10393357"/>
    <w:rsid w:val="103B45C2"/>
    <w:rsid w:val="10566976"/>
    <w:rsid w:val="1068539D"/>
    <w:rsid w:val="106C3C46"/>
    <w:rsid w:val="106D60A4"/>
    <w:rsid w:val="10770D2F"/>
    <w:rsid w:val="10773655"/>
    <w:rsid w:val="107B430F"/>
    <w:rsid w:val="107F0D1E"/>
    <w:rsid w:val="107F79D6"/>
    <w:rsid w:val="10923361"/>
    <w:rsid w:val="10936760"/>
    <w:rsid w:val="1097383C"/>
    <w:rsid w:val="10A41024"/>
    <w:rsid w:val="10AA5C3B"/>
    <w:rsid w:val="10B019FA"/>
    <w:rsid w:val="10B23F82"/>
    <w:rsid w:val="10B40BBA"/>
    <w:rsid w:val="10B45548"/>
    <w:rsid w:val="10B62DA4"/>
    <w:rsid w:val="10BF692C"/>
    <w:rsid w:val="10C0270B"/>
    <w:rsid w:val="10C445E8"/>
    <w:rsid w:val="10CA7957"/>
    <w:rsid w:val="10CF0B30"/>
    <w:rsid w:val="10D61BFE"/>
    <w:rsid w:val="10E0027E"/>
    <w:rsid w:val="10E1105C"/>
    <w:rsid w:val="10E60787"/>
    <w:rsid w:val="10F86051"/>
    <w:rsid w:val="10F94C5A"/>
    <w:rsid w:val="10FA2C48"/>
    <w:rsid w:val="110310FA"/>
    <w:rsid w:val="11041E62"/>
    <w:rsid w:val="110E13E9"/>
    <w:rsid w:val="110F1045"/>
    <w:rsid w:val="1114296B"/>
    <w:rsid w:val="111433D0"/>
    <w:rsid w:val="11155115"/>
    <w:rsid w:val="111C4F3D"/>
    <w:rsid w:val="111E1782"/>
    <w:rsid w:val="111F3513"/>
    <w:rsid w:val="112020A2"/>
    <w:rsid w:val="112107D2"/>
    <w:rsid w:val="11212A4B"/>
    <w:rsid w:val="112C042A"/>
    <w:rsid w:val="11323784"/>
    <w:rsid w:val="11401CAB"/>
    <w:rsid w:val="11403CD5"/>
    <w:rsid w:val="11415AA5"/>
    <w:rsid w:val="114924F8"/>
    <w:rsid w:val="114B63C5"/>
    <w:rsid w:val="11544A09"/>
    <w:rsid w:val="1155552F"/>
    <w:rsid w:val="115915B1"/>
    <w:rsid w:val="115C5911"/>
    <w:rsid w:val="115D2AAA"/>
    <w:rsid w:val="11620158"/>
    <w:rsid w:val="116370F0"/>
    <w:rsid w:val="116509BD"/>
    <w:rsid w:val="1168526A"/>
    <w:rsid w:val="116E68B6"/>
    <w:rsid w:val="116E7962"/>
    <w:rsid w:val="11730AFB"/>
    <w:rsid w:val="11744212"/>
    <w:rsid w:val="117A1775"/>
    <w:rsid w:val="117D054B"/>
    <w:rsid w:val="117D2807"/>
    <w:rsid w:val="117E0D0A"/>
    <w:rsid w:val="11815428"/>
    <w:rsid w:val="1183584B"/>
    <w:rsid w:val="11836E72"/>
    <w:rsid w:val="118A29BC"/>
    <w:rsid w:val="118B1E70"/>
    <w:rsid w:val="11931E20"/>
    <w:rsid w:val="1193420F"/>
    <w:rsid w:val="119E1196"/>
    <w:rsid w:val="11A22D8B"/>
    <w:rsid w:val="11A43829"/>
    <w:rsid w:val="11A705AE"/>
    <w:rsid w:val="11A76054"/>
    <w:rsid w:val="11AC349C"/>
    <w:rsid w:val="11AC7D61"/>
    <w:rsid w:val="11B22057"/>
    <w:rsid w:val="11B454BA"/>
    <w:rsid w:val="11BA6688"/>
    <w:rsid w:val="11BB71DE"/>
    <w:rsid w:val="11BF5269"/>
    <w:rsid w:val="11CC5FE2"/>
    <w:rsid w:val="11CD6376"/>
    <w:rsid w:val="11CF680A"/>
    <w:rsid w:val="11CF68B0"/>
    <w:rsid w:val="11D32120"/>
    <w:rsid w:val="11D329A2"/>
    <w:rsid w:val="11D8515C"/>
    <w:rsid w:val="11DA0160"/>
    <w:rsid w:val="11DA53B7"/>
    <w:rsid w:val="11DB075B"/>
    <w:rsid w:val="11DD49CD"/>
    <w:rsid w:val="11DF35CD"/>
    <w:rsid w:val="11E310F9"/>
    <w:rsid w:val="11EA0FA9"/>
    <w:rsid w:val="11F71F9C"/>
    <w:rsid w:val="11FD637F"/>
    <w:rsid w:val="120A682B"/>
    <w:rsid w:val="12101584"/>
    <w:rsid w:val="121453ED"/>
    <w:rsid w:val="121531F3"/>
    <w:rsid w:val="12157E25"/>
    <w:rsid w:val="12167FE8"/>
    <w:rsid w:val="121A7A1E"/>
    <w:rsid w:val="12232C23"/>
    <w:rsid w:val="122F4D79"/>
    <w:rsid w:val="123701F7"/>
    <w:rsid w:val="1237557D"/>
    <w:rsid w:val="1246307A"/>
    <w:rsid w:val="124807F2"/>
    <w:rsid w:val="124D64C7"/>
    <w:rsid w:val="124E098E"/>
    <w:rsid w:val="12505CD6"/>
    <w:rsid w:val="12517842"/>
    <w:rsid w:val="12543ABF"/>
    <w:rsid w:val="125B1D95"/>
    <w:rsid w:val="125D4C19"/>
    <w:rsid w:val="12720AC8"/>
    <w:rsid w:val="127908EA"/>
    <w:rsid w:val="127E7C9C"/>
    <w:rsid w:val="12801ECD"/>
    <w:rsid w:val="12833AAB"/>
    <w:rsid w:val="12847825"/>
    <w:rsid w:val="12864244"/>
    <w:rsid w:val="128704F6"/>
    <w:rsid w:val="128C23BA"/>
    <w:rsid w:val="128E542E"/>
    <w:rsid w:val="12934C64"/>
    <w:rsid w:val="12983AA0"/>
    <w:rsid w:val="129D2BA5"/>
    <w:rsid w:val="12A32696"/>
    <w:rsid w:val="12AA261A"/>
    <w:rsid w:val="12AE5091"/>
    <w:rsid w:val="12B1493E"/>
    <w:rsid w:val="12B63335"/>
    <w:rsid w:val="12BD263E"/>
    <w:rsid w:val="12C76019"/>
    <w:rsid w:val="12D56C7E"/>
    <w:rsid w:val="12DC064E"/>
    <w:rsid w:val="12DD6A83"/>
    <w:rsid w:val="12DD7A45"/>
    <w:rsid w:val="12DF2A38"/>
    <w:rsid w:val="12E02114"/>
    <w:rsid w:val="12E736EF"/>
    <w:rsid w:val="12E957D4"/>
    <w:rsid w:val="12F12819"/>
    <w:rsid w:val="12F30C4E"/>
    <w:rsid w:val="13052BCD"/>
    <w:rsid w:val="130869FC"/>
    <w:rsid w:val="1309683F"/>
    <w:rsid w:val="130E307F"/>
    <w:rsid w:val="131441DF"/>
    <w:rsid w:val="131F35F1"/>
    <w:rsid w:val="132E1E08"/>
    <w:rsid w:val="133006E9"/>
    <w:rsid w:val="13311187"/>
    <w:rsid w:val="13314C7F"/>
    <w:rsid w:val="133174C4"/>
    <w:rsid w:val="13330FBF"/>
    <w:rsid w:val="133431B0"/>
    <w:rsid w:val="133A543F"/>
    <w:rsid w:val="135328E5"/>
    <w:rsid w:val="13541247"/>
    <w:rsid w:val="13573F02"/>
    <w:rsid w:val="136815C3"/>
    <w:rsid w:val="1368356F"/>
    <w:rsid w:val="137318BA"/>
    <w:rsid w:val="1375293A"/>
    <w:rsid w:val="137E5F14"/>
    <w:rsid w:val="13815CDB"/>
    <w:rsid w:val="1386058E"/>
    <w:rsid w:val="138A7D51"/>
    <w:rsid w:val="138B48F7"/>
    <w:rsid w:val="138C1C5B"/>
    <w:rsid w:val="138E05E8"/>
    <w:rsid w:val="138E1EEC"/>
    <w:rsid w:val="1393447B"/>
    <w:rsid w:val="13965F33"/>
    <w:rsid w:val="13A5204C"/>
    <w:rsid w:val="13A901EB"/>
    <w:rsid w:val="13A93387"/>
    <w:rsid w:val="13AD5252"/>
    <w:rsid w:val="13AF2611"/>
    <w:rsid w:val="13B854A4"/>
    <w:rsid w:val="13C07BCA"/>
    <w:rsid w:val="13C3301F"/>
    <w:rsid w:val="13C52D0D"/>
    <w:rsid w:val="13D0379B"/>
    <w:rsid w:val="13D24B1C"/>
    <w:rsid w:val="13D8188E"/>
    <w:rsid w:val="13DA0F79"/>
    <w:rsid w:val="13DA527E"/>
    <w:rsid w:val="13DF5D17"/>
    <w:rsid w:val="13ED6CB0"/>
    <w:rsid w:val="13F00E28"/>
    <w:rsid w:val="13FA7E05"/>
    <w:rsid w:val="13FF02A5"/>
    <w:rsid w:val="14061AC1"/>
    <w:rsid w:val="140B32C3"/>
    <w:rsid w:val="14107156"/>
    <w:rsid w:val="14112047"/>
    <w:rsid w:val="14115BE9"/>
    <w:rsid w:val="14136B6A"/>
    <w:rsid w:val="142B7444"/>
    <w:rsid w:val="142F5152"/>
    <w:rsid w:val="143941EB"/>
    <w:rsid w:val="14400342"/>
    <w:rsid w:val="14461AB9"/>
    <w:rsid w:val="144B7EE2"/>
    <w:rsid w:val="145A12C4"/>
    <w:rsid w:val="146322EA"/>
    <w:rsid w:val="146A1A1D"/>
    <w:rsid w:val="146F5B7E"/>
    <w:rsid w:val="14726643"/>
    <w:rsid w:val="147735A9"/>
    <w:rsid w:val="147839CD"/>
    <w:rsid w:val="147F7FF9"/>
    <w:rsid w:val="1488436A"/>
    <w:rsid w:val="148A7CA3"/>
    <w:rsid w:val="148D4FD6"/>
    <w:rsid w:val="14923555"/>
    <w:rsid w:val="149E6B73"/>
    <w:rsid w:val="14A019DC"/>
    <w:rsid w:val="14A04059"/>
    <w:rsid w:val="14A65A6E"/>
    <w:rsid w:val="14A74CDF"/>
    <w:rsid w:val="14AF08CE"/>
    <w:rsid w:val="14B118C8"/>
    <w:rsid w:val="14B660AF"/>
    <w:rsid w:val="14B72BBB"/>
    <w:rsid w:val="14B834D8"/>
    <w:rsid w:val="14B90FDD"/>
    <w:rsid w:val="14C74286"/>
    <w:rsid w:val="14CF3CF9"/>
    <w:rsid w:val="14D3640B"/>
    <w:rsid w:val="14D44C8A"/>
    <w:rsid w:val="14DF2C69"/>
    <w:rsid w:val="14E31E08"/>
    <w:rsid w:val="14F24071"/>
    <w:rsid w:val="14FD5715"/>
    <w:rsid w:val="14FF27A1"/>
    <w:rsid w:val="15076C3E"/>
    <w:rsid w:val="1509772B"/>
    <w:rsid w:val="150B5137"/>
    <w:rsid w:val="150C5759"/>
    <w:rsid w:val="150C65D5"/>
    <w:rsid w:val="150D63F0"/>
    <w:rsid w:val="150E6D01"/>
    <w:rsid w:val="151702F2"/>
    <w:rsid w:val="151D1F33"/>
    <w:rsid w:val="15235CEF"/>
    <w:rsid w:val="15310194"/>
    <w:rsid w:val="153723D6"/>
    <w:rsid w:val="15410E89"/>
    <w:rsid w:val="154143D4"/>
    <w:rsid w:val="154148FD"/>
    <w:rsid w:val="154149CA"/>
    <w:rsid w:val="15474D27"/>
    <w:rsid w:val="154F3E0A"/>
    <w:rsid w:val="15504F28"/>
    <w:rsid w:val="15542A8A"/>
    <w:rsid w:val="15574852"/>
    <w:rsid w:val="15575C3C"/>
    <w:rsid w:val="155F695D"/>
    <w:rsid w:val="1568162F"/>
    <w:rsid w:val="15691C8A"/>
    <w:rsid w:val="15731192"/>
    <w:rsid w:val="157669D0"/>
    <w:rsid w:val="15840BAD"/>
    <w:rsid w:val="158450E4"/>
    <w:rsid w:val="158473AB"/>
    <w:rsid w:val="158845F4"/>
    <w:rsid w:val="15993633"/>
    <w:rsid w:val="15A57247"/>
    <w:rsid w:val="15B26E8B"/>
    <w:rsid w:val="15BE3C8C"/>
    <w:rsid w:val="15C73BE1"/>
    <w:rsid w:val="15CE667B"/>
    <w:rsid w:val="15D26FFB"/>
    <w:rsid w:val="15D37D32"/>
    <w:rsid w:val="15D72AE5"/>
    <w:rsid w:val="15DA4B31"/>
    <w:rsid w:val="15DC284C"/>
    <w:rsid w:val="15E02737"/>
    <w:rsid w:val="15E12785"/>
    <w:rsid w:val="15F01600"/>
    <w:rsid w:val="15F9237E"/>
    <w:rsid w:val="15FD46A0"/>
    <w:rsid w:val="15FF71C7"/>
    <w:rsid w:val="160103D5"/>
    <w:rsid w:val="16094EE2"/>
    <w:rsid w:val="160B3B0C"/>
    <w:rsid w:val="160F23B8"/>
    <w:rsid w:val="160F63E0"/>
    <w:rsid w:val="161823B5"/>
    <w:rsid w:val="161D1F0C"/>
    <w:rsid w:val="161F1758"/>
    <w:rsid w:val="16212661"/>
    <w:rsid w:val="162147D6"/>
    <w:rsid w:val="16224D42"/>
    <w:rsid w:val="16226CFA"/>
    <w:rsid w:val="16242974"/>
    <w:rsid w:val="163B50D5"/>
    <w:rsid w:val="1654407C"/>
    <w:rsid w:val="165C5DEC"/>
    <w:rsid w:val="16735BC0"/>
    <w:rsid w:val="168208D8"/>
    <w:rsid w:val="168F6496"/>
    <w:rsid w:val="169269E4"/>
    <w:rsid w:val="169462B3"/>
    <w:rsid w:val="1698205C"/>
    <w:rsid w:val="169E6575"/>
    <w:rsid w:val="16A00D08"/>
    <w:rsid w:val="16A4645E"/>
    <w:rsid w:val="16A919D8"/>
    <w:rsid w:val="16A940B9"/>
    <w:rsid w:val="16AA70FE"/>
    <w:rsid w:val="16AB7991"/>
    <w:rsid w:val="16AC2D09"/>
    <w:rsid w:val="16AD7998"/>
    <w:rsid w:val="16AF6B0A"/>
    <w:rsid w:val="16B105A4"/>
    <w:rsid w:val="16BD2A7B"/>
    <w:rsid w:val="16BF6E05"/>
    <w:rsid w:val="16CE06D5"/>
    <w:rsid w:val="16CF1FFE"/>
    <w:rsid w:val="16D24FB0"/>
    <w:rsid w:val="16D32992"/>
    <w:rsid w:val="16D81026"/>
    <w:rsid w:val="16DC247F"/>
    <w:rsid w:val="16E25C2B"/>
    <w:rsid w:val="16E766F1"/>
    <w:rsid w:val="16EA25B2"/>
    <w:rsid w:val="16EB2CF3"/>
    <w:rsid w:val="16EC2E29"/>
    <w:rsid w:val="16F15E79"/>
    <w:rsid w:val="170D3C9D"/>
    <w:rsid w:val="170E15E3"/>
    <w:rsid w:val="17114CDA"/>
    <w:rsid w:val="17120DAF"/>
    <w:rsid w:val="17144AE5"/>
    <w:rsid w:val="17195254"/>
    <w:rsid w:val="171B0873"/>
    <w:rsid w:val="171D1C97"/>
    <w:rsid w:val="171E5AB9"/>
    <w:rsid w:val="172317C5"/>
    <w:rsid w:val="172F3BC7"/>
    <w:rsid w:val="173175AF"/>
    <w:rsid w:val="17345CC4"/>
    <w:rsid w:val="173D7811"/>
    <w:rsid w:val="17485DCD"/>
    <w:rsid w:val="174B0534"/>
    <w:rsid w:val="17500CAE"/>
    <w:rsid w:val="17594486"/>
    <w:rsid w:val="176B7328"/>
    <w:rsid w:val="17837D43"/>
    <w:rsid w:val="1787400B"/>
    <w:rsid w:val="178A6137"/>
    <w:rsid w:val="178B7FFB"/>
    <w:rsid w:val="179658F8"/>
    <w:rsid w:val="179E2C66"/>
    <w:rsid w:val="179E550D"/>
    <w:rsid w:val="17A162D8"/>
    <w:rsid w:val="17A64BC2"/>
    <w:rsid w:val="17A843ED"/>
    <w:rsid w:val="17AF749F"/>
    <w:rsid w:val="17B02152"/>
    <w:rsid w:val="17B0229A"/>
    <w:rsid w:val="17B203EC"/>
    <w:rsid w:val="17B21D45"/>
    <w:rsid w:val="17B52F6B"/>
    <w:rsid w:val="17B6223E"/>
    <w:rsid w:val="17C12F47"/>
    <w:rsid w:val="17C46ECD"/>
    <w:rsid w:val="17C80BB2"/>
    <w:rsid w:val="17D06B10"/>
    <w:rsid w:val="17D21452"/>
    <w:rsid w:val="17D4076F"/>
    <w:rsid w:val="17D717AC"/>
    <w:rsid w:val="17D80457"/>
    <w:rsid w:val="17DA4BC0"/>
    <w:rsid w:val="17DB6278"/>
    <w:rsid w:val="17E22481"/>
    <w:rsid w:val="17E25C7D"/>
    <w:rsid w:val="17E26386"/>
    <w:rsid w:val="17E83D6C"/>
    <w:rsid w:val="17ED66FC"/>
    <w:rsid w:val="17F5737D"/>
    <w:rsid w:val="17F846C9"/>
    <w:rsid w:val="17FB3FCC"/>
    <w:rsid w:val="180321DD"/>
    <w:rsid w:val="180760D8"/>
    <w:rsid w:val="18081169"/>
    <w:rsid w:val="1818495A"/>
    <w:rsid w:val="181E0A64"/>
    <w:rsid w:val="18272B42"/>
    <w:rsid w:val="182A2267"/>
    <w:rsid w:val="182A68D9"/>
    <w:rsid w:val="182B77D9"/>
    <w:rsid w:val="182C2ECD"/>
    <w:rsid w:val="18327BB4"/>
    <w:rsid w:val="183A78DA"/>
    <w:rsid w:val="183C2B86"/>
    <w:rsid w:val="183E70D9"/>
    <w:rsid w:val="184848A2"/>
    <w:rsid w:val="18484D46"/>
    <w:rsid w:val="184947FC"/>
    <w:rsid w:val="18494A07"/>
    <w:rsid w:val="18495DB1"/>
    <w:rsid w:val="184C57AB"/>
    <w:rsid w:val="184E4564"/>
    <w:rsid w:val="184E476B"/>
    <w:rsid w:val="185128C7"/>
    <w:rsid w:val="18516FA8"/>
    <w:rsid w:val="185305FC"/>
    <w:rsid w:val="185B1E99"/>
    <w:rsid w:val="18641C1E"/>
    <w:rsid w:val="18651586"/>
    <w:rsid w:val="18661B11"/>
    <w:rsid w:val="18672DC7"/>
    <w:rsid w:val="18692B82"/>
    <w:rsid w:val="186C0360"/>
    <w:rsid w:val="186C5231"/>
    <w:rsid w:val="186E4051"/>
    <w:rsid w:val="1870396C"/>
    <w:rsid w:val="187412BC"/>
    <w:rsid w:val="18802368"/>
    <w:rsid w:val="18891C00"/>
    <w:rsid w:val="189B4C4A"/>
    <w:rsid w:val="18AA31A0"/>
    <w:rsid w:val="18B43473"/>
    <w:rsid w:val="18BB159B"/>
    <w:rsid w:val="18BC7A48"/>
    <w:rsid w:val="18BE2D92"/>
    <w:rsid w:val="18C766B0"/>
    <w:rsid w:val="18D14E64"/>
    <w:rsid w:val="18D51863"/>
    <w:rsid w:val="18D65F4C"/>
    <w:rsid w:val="18D66E10"/>
    <w:rsid w:val="18DA2281"/>
    <w:rsid w:val="18DB623B"/>
    <w:rsid w:val="18DD0EDB"/>
    <w:rsid w:val="18DD1205"/>
    <w:rsid w:val="18DE2748"/>
    <w:rsid w:val="18E35D83"/>
    <w:rsid w:val="18E64B8F"/>
    <w:rsid w:val="18E75DC6"/>
    <w:rsid w:val="18ED342C"/>
    <w:rsid w:val="18F37E90"/>
    <w:rsid w:val="18F40FDA"/>
    <w:rsid w:val="18F75CA9"/>
    <w:rsid w:val="18FC1E29"/>
    <w:rsid w:val="19025156"/>
    <w:rsid w:val="190755FC"/>
    <w:rsid w:val="190B1470"/>
    <w:rsid w:val="19152702"/>
    <w:rsid w:val="191561A2"/>
    <w:rsid w:val="19161F46"/>
    <w:rsid w:val="19220271"/>
    <w:rsid w:val="192F3D63"/>
    <w:rsid w:val="19306AC9"/>
    <w:rsid w:val="19317E9A"/>
    <w:rsid w:val="19322C90"/>
    <w:rsid w:val="193651BA"/>
    <w:rsid w:val="1941648B"/>
    <w:rsid w:val="19426777"/>
    <w:rsid w:val="194F2F55"/>
    <w:rsid w:val="19505FF7"/>
    <w:rsid w:val="1952757F"/>
    <w:rsid w:val="195A5601"/>
    <w:rsid w:val="195B0EE9"/>
    <w:rsid w:val="195E6D67"/>
    <w:rsid w:val="1968384E"/>
    <w:rsid w:val="196B16A4"/>
    <w:rsid w:val="19710C86"/>
    <w:rsid w:val="197B3F94"/>
    <w:rsid w:val="197C753A"/>
    <w:rsid w:val="19846937"/>
    <w:rsid w:val="198807B4"/>
    <w:rsid w:val="1988169E"/>
    <w:rsid w:val="198C309D"/>
    <w:rsid w:val="199256FE"/>
    <w:rsid w:val="19925D22"/>
    <w:rsid w:val="19954E27"/>
    <w:rsid w:val="19957B05"/>
    <w:rsid w:val="199863EF"/>
    <w:rsid w:val="199C1F40"/>
    <w:rsid w:val="199F5FE1"/>
    <w:rsid w:val="19A57BFD"/>
    <w:rsid w:val="19AC4BB5"/>
    <w:rsid w:val="19C27CF4"/>
    <w:rsid w:val="19C61372"/>
    <w:rsid w:val="19CC17C4"/>
    <w:rsid w:val="19CD1E7E"/>
    <w:rsid w:val="19CE4CE2"/>
    <w:rsid w:val="19CF196B"/>
    <w:rsid w:val="19DE3E68"/>
    <w:rsid w:val="19E06F39"/>
    <w:rsid w:val="19E9102B"/>
    <w:rsid w:val="19F2097C"/>
    <w:rsid w:val="19F32606"/>
    <w:rsid w:val="19F812CC"/>
    <w:rsid w:val="1A0675D6"/>
    <w:rsid w:val="1A100ECA"/>
    <w:rsid w:val="1A125C0D"/>
    <w:rsid w:val="1A1F0466"/>
    <w:rsid w:val="1A23018E"/>
    <w:rsid w:val="1A231C5D"/>
    <w:rsid w:val="1A2949A8"/>
    <w:rsid w:val="1A2A6360"/>
    <w:rsid w:val="1A2E21E3"/>
    <w:rsid w:val="1A347B37"/>
    <w:rsid w:val="1A3F16E3"/>
    <w:rsid w:val="1A4B1581"/>
    <w:rsid w:val="1A657848"/>
    <w:rsid w:val="1A6840B3"/>
    <w:rsid w:val="1A692F5F"/>
    <w:rsid w:val="1A6B6A70"/>
    <w:rsid w:val="1A6E342D"/>
    <w:rsid w:val="1A7046A3"/>
    <w:rsid w:val="1A7162B1"/>
    <w:rsid w:val="1A7162FC"/>
    <w:rsid w:val="1A720362"/>
    <w:rsid w:val="1A784212"/>
    <w:rsid w:val="1A7A5496"/>
    <w:rsid w:val="1A8319DD"/>
    <w:rsid w:val="1A9471F3"/>
    <w:rsid w:val="1A9D0F78"/>
    <w:rsid w:val="1AA24804"/>
    <w:rsid w:val="1AA36AC3"/>
    <w:rsid w:val="1AAC4865"/>
    <w:rsid w:val="1AB1106D"/>
    <w:rsid w:val="1AB33544"/>
    <w:rsid w:val="1AB401A9"/>
    <w:rsid w:val="1AB54D1C"/>
    <w:rsid w:val="1AB941EF"/>
    <w:rsid w:val="1AB959A4"/>
    <w:rsid w:val="1ABB16E6"/>
    <w:rsid w:val="1AC63091"/>
    <w:rsid w:val="1AC75577"/>
    <w:rsid w:val="1AC86DED"/>
    <w:rsid w:val="1ACA0281"/>
    <w:rsid w:val="1AD6359E"/>
    <w:rsid w:val="1ADB4A5C"/>
    <w:rsid w:val="1ADD0462"/>
    <w:rsid w:val="1AED1B40"/>
    <w:rsid w:val="1AF221ED"/>
    <w:rsid w:val="1AF307FC"/>
    <w:rsid w:val="1AF354E1"/>
    <w:rsid w:val="1AFB0159"/>
    <w:rsid w:val="1AFD6C87"/>
    <w:rsid w:val="1B003CA6"/>
    <w:rsid w:val="1B01047E"/>
    <w:rsid w:val="1B035899"/>
    <w:rsid w:val="1B0717F7"/>
    <w:rsid w:val="1B082413"/>
    <w:rsid w:val="1B0C0FE4"/>
    <w:rsid w:val="1B0E348E"/>
    <w:rsid w:val="1B1160C8"/>
    <w:rsid w:val="1B130753"/>
    <w:rsid w:val="1B137D82"/>
    <w:rsid w:val="1B17558D"/>
    <w:rsid w:val="1B186706"/>
    <w:rsid w:val="1B1B381E"/>
    <w:rsid w:val="1B1C3B6E"/>
    <w:rsid w:val="1B28256B"/>
    <w:rsid w:val="1B2F0677"/>
    <w:rsid w:val="1B37123D"/>
    <w:rsid w:val="1B394A62"/>
    <w:rsid w:val="1B3B5CF6"/>
    <w:rsid w:val="1B424F6B"/>
    <w:rsid w:val="1B4A7A11"/>
    <w:rsid w:val="1B517252"/>
    <w:rsid w:val="1B517E47"/>
    <w:rsid w:val="1B5223B5"/>
    <w:rsid w:val="1B5A09A3"/>
    <w:rsid w:val="1B610016"/>
    <w:rsid w:val="1B63398A"/>
    <w:rsid w:val="1B6621F9"/>
    <w:rsid w:val="1B6622BD"/>
    <w:rsid w:val="1B676C45"/>
    <w:rsid w:val="1B6C79DC"/>
    <w:rsid w:val="1B6D3A1B"/>
    <w:rsid w:val="1B6E7845"/>
    <w:rsid w:val="1B710A93"/>
    <w:rsid w:val="1B710AB2"/>
    <w:rsid w:val="1B711BAD"/>
    <w:rsid w:val="1B716CCF"/>
    <w:rsid w:val="1B743A9D"/>
    <w:rsid w:val="1B794512"/>
    <w:rsid w:val="1B7B5BD4"/>
    <w:rsid w:val="1B7E5978"/>
    <w:rsid w:val="1B830F9B"/>
    <w:rsid w:val="1B86008E"/>
    <w:rsid w:val="1B8C02DC"/>
    <w:rsid w:val="1B963188"/>
    <w:rsid w:val="1B9B5EF0"/>
    <w:rsid w:val="1B9F1954"/>
    <w:rsid w:val="1BA03394"/>
    <w:rsid w:val="1BA2056D"/>
    <w:rsid w:val="1BA5465C"/>
    <w:rsid w:val="1BA72C9E"/>
    <w:rsid w:val="1BA8081F"/>
    <w:rsid w:val="1BA83C5A"/>
    <w:rsid w:val="1BBB3060"/>
    <w:rsid w:val="1BC4201B"/>
    <w:rsid w:val="1BE85FB6"/>
    <w:rsid w:val="1BEC55BF"/>
    <w:rsid w:val="1BEF0D71"/>
    <w:rsid w:val="1BF0061D"/>
    <w:rsid w:val="1BF02C89"/>
    <w:rsid w:val="1BF07F2B"/>
    <w:rsid w:val="1BF14316"/>
    <w:rsid w:val="1BF170C0"/>
    <w:rsid w:val="1BF8544E"/>
    <w:rsid w:val="1BFE2EB1"/>
    <w:rsid w:val="1C0139E3"/>
    <w:rsid w:val="1C05072B"/>
    <w:rsid w:val="1C08569C"/>
    <w:rsid w:val="1C0938C0"/>
    <w:rsid w:val="1C0F0D05"/>
    <w:rsid w:val="1C0F76CE"/>
    <w:rsid w:val="1C1661FB"/>
    <w:rsid w:val="1C1C0455"/>
    <w:rsid w:val="1C2C60CF"/>
    <w:rsid w:val="1C2E0F26"/>
    <w:rsid w:val="1C303F46"/>
    <w:rsid w:val="1C351BDF"/>
    <w:rsid w:val="1C364FBB"/>
    <w:rsid w:val="1C37056C"/>
    <w:rsid w:val="1C372DC2"/>
    <w:rsid w:val="1C3C304F"/>
    <w:rsid w:val="1C3C4CBB"/>
    <w:rsid w:val="1C3F4340"/>
    <w:rsid w:val="1C3F4BAC"/>
    <w:rsid w:val="1C410252"/>
    <w:rsid w:val="1C420561"/>
    <w:rsid w:val="1C4D75E3"/>
    <w:rsid w:val="1C4E54BB"/>
    <w:rsid w:val="1C6E60AC"/>
    <w:rsid w:val="1C712C34"/>
    <w:rsid w:val="1C737C31"/>
    <w:rsid w:val="1C755EC6"/>
    <w:rsid w:val="1C7D5430"/>
    <w:rsid w:val="1C7E6DD6"/>
    <w:rsid w:val="1C82775E"/>
    <w:rsid w:val="1C886DA6"/>
    <w:rsid w:val="1C8C0CD9"/>
    <w:rsid w:val="1C924A69"/>
    <w:rsid w:val="1C956424"/>
    <w:rsid w:val="1C9B006B"/>
    <w:rsid w:val="1CA41C0C"/>
    <w:rsid w:val="1CA72F53"/>
    <w:rsid w:val="1CA93472"/>
    <w:rsid w:val="1CAB7A12"/>
    <w:rsid w:val="1CAF660F"/>
    <w:rsid w:val="1CC0637E"/>
    <w:rsid w:val="1CD14ADE"/>
    <w:rsid w:val="1CD304DF"/>
    <w:rsid w:val="1CD31C14"/>
    <w:rsid w:val="1CD437DB"/>
    <w:rsid w:val="1CD501CA"/>
    <w:rsid w:val="1CD61697"/>
    <w:rsid w:val="1CDD4DD0"/>
    <w:rsid w:val="1CE5336F"/>
    <w:rsid w:val="1CE75436"/>
    <w:rsid w:val="1CF00D07"/>
    <w:rsid w:val="1CF15DA8"/>
    <w:rsid w:val="1CF67D1E"/>
    <w:rsid w:val="1CFA135A"/>
    <w:rsid w:val="1CFE0660"/>
    <w:rsid w:val="1D086112"/>
    <w:rsid w:val="1D0F3C66"/>
    <w:rsid w:val="1D0F6056"/>
    <w:rsid w:val="1D122202"/>
    <w:rsid w:val="1D133DED"/>
    <w:rsid w:val="1D161BD9"/>
    <w:rsid w:val="1D166C39"/>
    <w:rsid w:val="1D1C1E0E"/>
    <w:rsid w:val="1D1C64DA"/>
    <w:rsid w:val="1D1E7F42"/>
    <w:rsid w:val="1D2058EF"/>
    <w:rsid w:val="1D2F7F93"/>
    <w:rsid w:val="1D3E422D"/>
    <w:rsid w:val="1D416CCB"/>
    <w:rsid w:val="1D441757"/>
    <w:rsid w:val="1D4D60A6"/>
    <w:rsid w:val="1D5435EB"/>
    <w:rsid w:val="1D5748FD"/>
    <w:rsid w:val="1D5A04C2"/>
    <w:rsid w:val="1D5B79B3"/>
    <w:rsid w:val="1D625D36"/>
    <w:rsid w:val="1D66685F"/>
    <w:rsid w:val="1D6A1E03"/>
    <w:rsid w:val="1D6E5E99"/>
    <w:rsid w:val="1D6F4C1D"/>
    <w:rsid w:val="1D726DF4"/>
    <w:rsid w:val="1D727414"/>
    <w:rsid w:val="1D7A28E9"/>
    <w:rsid w:val="1D857E69"/>
    <w:rsid w:val="1D881AA6"/>
    <w:rsid w:val="1D8870B2"/>
    <w:rsid w:val="1D8C13DF"/>
    <w:rsid w:val="1D924DF5"/>
    <w:rsid w:val="1D947B95"/>
    <w:rsid w:val="1D977D05"/>
    <w:rsid w:val="1D99717F"/>
    <w:rsid w:val="1DA1152A"/>
    <w:rsid w:val="1DA17729"/>
    <w:rsid w:val="1DA46D2F"/>
    <w:rsid w:val="1DAB1324"/>
    <w:rsid w:val="1DAD49DF"/>
    <w:rsid w:val="1DAF3878"/>
    <w:rsid w:val="1DB33D94"/>
    <w:rsid w:val="1DB71B0C"/>
    <w:rsid w:val="1DB87322"/>
    <w:rsid w:val="1DBB12F5"/>
    <w:rsid w:val="1DBE312E"/>
    <w:rsid w:val="1DC568E8"/>
    <w:rsid w:val="1DC905B9"/>
    <w:rsid w:val="1DCC1AE1"/>
    <w:rsid w:val="1DCF3D10"/>
    <w:rsid w:val="1DD52C95"/>
    <w:rsid w:val="1DDF0A22"/>
    <w:rsid w:val="1DE251F8"/>
    <w:rsid w:val="1DE56C4D"/>
    <w:rsid w:val="1DE66F8A"/>
    <w:rsid w:val="1DED070C"/>
    <w:rsid w:val="1DEF4EFA"/>
    <w:rsid w:val="1DF03F79"/>
    <w:rsid w:val="1DF90AD0"/>
    <w:rsid w:val="1DFC1029"/>
    <w:rsid w:val="1E0010E5"/>
    <w:rsid w:val="1E02488D"/>
    <w:rsid w:val="1E026822"/>
    <w:rsid w:val="1E0946B1"/>
    <w:rsid w:val="1E0D654D"/>
    <w:rsid w:val="1E15429F"/>
    <w:rsid w:val="1E1573CE"/>
    <w:rsid w:val="1E1936E2"/>
    <w:rsid w:val="1E2F4831"/>
    <w:rsid w:val="1E2F7E6A"/>
    <w:rsid w:val="1E316F3B"/>
    <w:rsid w:val="1E35253E"/>
    <w:rsid w:val="1E362983"/>
    <w:rsid w:val="1E3664AC"/>
    <w:rsid w:val="1E3B3756"/>
    <w:rsid w:val="1E3B68CF"/>
    <w:rsid w:val="1E405332"/>
    <w:rsid w:val="1E42295E"/>
    <w:rsid w:val="1E513378"/>
    <w:rsid w:val="1E541E53"/>
    <w:rsid w:val="1E555226"/>
    <w:rsid w:val="1E55755B"/>
    <w:rsid w:val="1E574D5F"/>
    <w:rsid w:val="1E580F13"/>
    <w:rsid w:val="1E667CA7"/>
    <w:rsid w:val="1E691745"/>
    <w:rsid w:val="1E6A4BC5"/>
    <w:rsid w:val="1E717B3F"/>
    <w:rsid w:val="1E792912"/>
    <w:rsid w:val="1E7C0376"/>
    <w:rsid w:val="1E80268F"/>
    <w:rsid w:val="1E807336"/>
    <w:rsid w:val="1E834B27"/>
    <w:rsid w:val="1E861FC1"/>
    <w:rsid w:val="1E8A30AB"/>
    <w:rsid w:val="1E8B77CA"/>
    <w:rsid w:val="1E915413"/>
    <w:rsid w:val="1E9D5DD2"/>
    <w:rsid w:val="1EA57DDD"/>
    <w:rsid w:val="1EA76FAD"/>
    <w:rsid w:val="1EA93CB7"/>
    <w:rsid w:val="1EAC46E1"/>
    <w:rsid w:val="1EBF7C85"/>
    <w:rsid w:val="1EBF7DB4"/>
    <w:rsid w:val="1EC51BE3"/>
    <w:rsid w:val="1ED14379"/>
    <w:rsid w:val="1ED42AFB"/>
    <w:rsid w:val="1ED633CB"/>
    <w:rsid w:val="1ED74825"/>
    <w:rsid w:val="1ED81999"/>
    <w:rsid w:val="1EDE4465"/>
    <w:rsid w:val="1EDF6B70"/>
    <w:rsid w:val="1EEC1494"/>
    <w:rsid w:val="1EFC2746"/>
    <w:rsid w:val="1EFF6F74"/>
    <w:rsid w:val="1F0E1899"/>
    <w:rsid w:val="1F1009BC"/>
    <w:rsid w:val="1F1345B8"/>
    <w:rsid w:val="1F1F220E"/>
    <w:rsid w:val="1F29752C"/>
    <w:rsid w:val="1F303D33"/>
    <w:rsid w:val="1F311DDD"/>
    <w:rsid w:val="1F3B03F9"/>
    <w:rsid w:val="1F3D3F55"/>
    <w:rsid w:val="1F3D5FA0"/>
    <w:rsid w:val="1F471EDC"/>
    <w:rsid w:val="1F4B71A9"/>
    <w:rsid w:val="1F5641D9"/>
    <w:rsid w:val="1F5836B2"/>
    <w:rsid w:val="1F5D2DEC"/>
    <w:rsid w:val="1F5F70AB"/>
    <w:rsid w:val="1F6257F5"/>
    <w:rsid w:val="1F657094"/>
    <w:rsid w:val="1F682A24"/>
    <w:rsid w:val="1F691EAA"/>
    <w:rsid w:val="1F701539"/>
    <w:rsid w:val="1F7372F5"/>
    <w:rsid w:val="1F783135"/>
    <w:rsid w:val="1F805B19"/>
    <w:rsid w:val="1F823A46"/>
    <w:rsid w:val="1F864D10"/>
    <w:rsid w:val="1F8D28F4"/>
    <w:rsid w:val="1F9815C2"/>
    <w:rsid w:val="1F9A02F9"/>
    <w:rsid w:val="1F9D1CC5"/>
    <w:rsid w:val="1F9E1901"/>
    <w:rsid w:val="1FA76DD2"/>
    <w:rsid w:val="1FAC4375"/>
    <w:rsid w:val="1FB077F8"/>
    <w:rsid w:val="1FBA7AF9"/>
    <w:rsid w:val="1FCA3429"/>
    <w:rsid w:val="1FD35026"/>
    <w:rsid w:val="1FD75336"/>
    <w:rsid w:val="1FDC25DF"/>
    <w:rsid w:val="1FDD415B"/>
    <w:rsid w:val="1FE37825"/>
    <w:rsid w:val="1FE71BE4"/>
    <w:rsid w:val="1FE7501A"/>
    <w:rsid w:val="1FEB3598"/>
    <w:rsid w:val="1FF021A6"/>
    <w:rsid w:val="1FF46CC3"/>
    <w:rsid w:val="1FFA7C50"/>
    <w:rsid w:val="1FFE0E9B"/>
    <w:rsid w:val="200147C9"/>
    <w:rsid w:val="2001644B"/>
    <w:rsid w:val="201233DB"/>
    <w:rsid w:val="201D39E5"/>
    <w:rsid w:val="20202AE3"/>
    <w:rsid w:val="2027247F"/>
    <w:rsid w:val="2027689A"/>
    <w:rsid w:val="202D50B5"/>
    <w:rsid w:val="202D5CC0"/>
    <w:rsid w:val="203931DD"/>
    <w:rsid w:val="203F5A50"/>
    <w:rsid w:val="20405024"/>
    <w:rsid w:val="2044422D"/>
    <w:rsid w:val="2047545C"/>
    <w:rsid w:val="204F44CC"/>
    <w:rsid w:val="20544B33"/>
    <w:rsid w:val="20583691"/>
    <w:rsid w:val="20610677"/>
    <w:rsid w:val="20660311"/>
    <w:rsid w:val="206D5C7B"/>
    <w:rsid w:val="20707D32"/>
    <w:rsid w:val="20784A30"/>
    <w:rsid w:val="2078731A"/>
    <w:rsid w:val="207D543B"/>
    <w:rsid w:val="2084639F"/>
    <w:rsid w:val="208C1451"/>
    <w:rsid w:val="208F26D5"/>
    <w:rsid w:val="208F3B88"/>
    <w:rsid w:val="20951A61"/>
    <w:rsid w:val="2095467F"/>
    <w:rsid w:val="20A53297"/>
    <w:rsid w:val="20A65CC1"/>
    <w:rsid w:val="20A75E90"/>
    <w:rsid w:val="20A80E66"/>
    <w:rsid w:val="20A9102E"/>
    <w:rsid w:val="20AB1315"/>
    <w:rsid w:val="20AC0CB6"/>
    <w:rsid w:val="20AE7A7B"/>
    <w:rsid w:val="20B227EB"/>
    <w:rsid w:val="20B2570D"/>
    <w:rsid w:val="20B63056"/>
    <w:rsid w:val="20BA0338"/>
    <w:rsid w:val="20BB3F3A"/>
    <w:rsid w:val="20BE7FB9"/>
    <w:rsid w:val="20C7436A"/>
    <w:rsid w:val="20CA3A9B"/>
    <w:rsid w:val="20CC42F8"/>
    <w:rsid w:val="20CF706D"/>
    <w:rsid w:val="20D40796"/>
    <w:rsid w:val="20D53C5B"/>
    <w:rsid w:val="20DC74D8"/>
    <w:rsid w:val="20DD1505"/>
    <w:rsid w:val="20E025E2"/>
    <w:rsid w:val="20E54358"/>
    <w:rsid w:val="20F01DD4"/>
    <w:rsid w:val="20F21F44"/>
    <w:rsid w:val="20F36CEF"/>
    <w:rsid w:val="20F74A29"/>
    <w:rsid w:val="21022B73"/>
    <w:rsid w:val="21082488"/>
    <w:rsid w:val="211420C2"/>
    <w:rsid w:val="21143DF3"/>
    <w:rsid w:val="21175AFA"/>
    <w:rsid w:val="21203BF3"/>
    <w:rsid w:val="212541AC"/>
    <w:rsid w:val="2126640A"/>
    <w:rsid w:val="212B7B80"/>
    <w:rsid w:val="213373FD"/>
    <w:rsid w:val="213417D0"/>
    <w:rsid w:val="21386170"/>
    <w:rsid w:val="21496E23"/>
    <w:rsid w:val="21545F76"/>
    <w:rsid w:val="21566BC4"/>
    <w:rsid w:val="215847B4"/>
    <w:rsid w:val="21631882"/>
    <w:rsid w:val="2164279F"/>
    <w:rsid w:val="216F666F"/>
    <w:rsid w:val="21736E63"/>
    <w:rsid w:val="21797198"/>
    <w:rsid w:val="217D7134"/>
    <w:rsid w:val="218113D9"/>
    <w:rsid w:val="21830D76"/>
    <w:rsid w:val="21833214"/>
    <w:rsid w:val="21863E67"/>
    <w:rsid w:val="219670A9"/>
    <w:rsid w:val="219A7F2A"/>
    <w:rsid w:val="219E6618"/>
    <w:rsid w:val="21AC21C4"/>
    <w:rsid w:val="21B92030"/>
    <w:rsid w:val="21BE6D8D"/>
    <w:rsid w:val="21C20498"/>
    <w:rsid w:val="21C53C4C"/>
    <w:rsid w:val="21C62EB9"/>
    <w:rsid w:val="21CE2A6A"/>
    <w:rsid w:val="21D67A15"/>
    <w:rsid w:val="21D77034"/>
    <w:rsid w:val="21E31EBF"/>
    <w:rsid w:val="21F5489F"/>
    <w:rsid w:val="21F65FB7"/>
    <w:rsid w:val="21FC462C"/>
    <w:rsid w:val="22026D81"/>
    <w:rsid w:val="22065813"/>
    <w:rsid w:val="220D7FA6"/>
    <w:rsid w:val="220E7481"/>
    <w:rsid w:val="22141638"/>
    <w:rsid w:val="22143621"/>
    <w:rsid w:val="221833E4"/>
    <w:rsid w:val="221D48A9"/>
    <w:rsid w:val="221D6928"/>
    <w:rsid w:val="22217958"/>
    <w:rsid w:val="22236952"/>
    <w:rsid w:val="222414AC"/>
    <w:rsid w:val="22250D3A"/>
    <w:rsid w:val="2226374C"/>
    <w:rsid w:val="2226546D"/>
    <w:rsid w:val="2227046A"/>
    <w:rsid w:val="222837AA"/>
    <w:rsid w:val="222C2B2A"/>
    <w:rsid w:val="22367971"/>
    <w:rsid w:val="223C5E93"/>
    <w:rsid w:val="223C73DB"/>
    <w:rsid w:val="2244600B"/>
    <w:rsid w:val="224B2834"/>
    <w:rsid w:val="224F5EE6"/>
    <w:rsid w:val="2250234F"/>
    <w:rsid w:val="22524EE8"/>
    <w:rsid w:val="22636F69"/>
    <w:rsid w:val="22657035"/>
    <w:rsid w:val="226B2183"/>
    <w:rsid w:val="226B24B6"/>
    <w:rsid w:val="22744EE3"/>
    <w:rsid w:val="227B1C7E"/>
    <w:rsid w:val="227C10C8"/>
    <w:rsid w:val="22896D8F"/>
    <w:rsid w:val="228D2198"/>
    <w:rsid w:val="228D628A"/>
    <w:rsid w:val="22912101"/>
    <w:rsid w:val="22944D97"/>
    <w:rsid w:val="22956267"/>
    <w:rsid w:val="22996155"/>
    <w:rsid w:val="229B6D05"/>
    <w:rsid w:val="229E2206"/>
    <w:rsid w:val="22AA29F7"/>
    <w:rsid w:val="22AC7CA6"/>
    <w:rsid w:val="22AD0176"/>
    <w:rsid w:val="22AF7A2F"/>
    <w:rsid w:val="22BA71AA"/>
    <w:rsid w:val="22C44175"/>
    <w:rsid w:val="22C92BFF"/>
    <w:rsid w:val="22CB431B"/>
    <w:rsid w:val="22CC3DD9"/>
    <w:rsid w:val="22D56605"/>
    <w:rsid w:val="22DA13D4"/>
    <w:rsid w:val="22DB145B"/>
    <w:rsid w:val="22E42FC5"/>
    <w:rsid w:val="22E973FE"/>
    <w:rsid w:val="22EA25CD"/>
    <w:rsid w:val="22EC47C4"/>
    <w:rsid w:val="23004630"/>
    <w:rsid w:val="23012AA3"/>
    <w:rsid w:val="23017A99"/>
    <w:rsid w:val="23075447"/>
    <w:rsid w:val="230B25DC"/>
    <w:rsid w:val="230C0A0D"/>
    <w:rsid w:val="231A24F3"/>
    <w:rsid w:val="231C12DA"/>
    <w:rsid w:val="231E3588"/>
    <w:rsid w:val="23246149"/>
    <w:rsid w:val="232879FD"/>
    <w:rsid w:val="23300CC7"/>
    <w:rsid w:val="233879A2"/>
    <w:rsid w:val="233B0BE1"/>
    <w:rsid w:val="233B4D29"/>
    <w:rsid w:val="23450EB6"/>
    <w:rsid w:val="234F223A"/>
    <w:rsid w:val="23551DF4"/>
    <w:rsid w:val="235736AF"/>
    <w:rsid w:val="235B6BAA"/>
    <w:rsid w:val="235E1BF2"/>
    <w:rsid w:val="236325E9"/>
    <w:rsid w:val="23646CDE"/>
    <w:rsid w:val="236544B8"/>
    <w:rsid w:val="236756C2"/>
    <w:rsid w:val="236B1EBA"/>
    <w:rsid w:val="236D6B58"/>
    <w:rsid w:val="237016C5"/>
    <w:rsid w:val="237227E4"/>
    <w:rsid w:val="2375329B"/>
    <w:rsid w:val="23826061"/>
    <w:rsid w:val="23844B35"/>
    <w:rsid w:val="238D0E0F"/>
    <w:rsid w:val="23952D16"/>
    <w:rsid w:val="2399732F"/>
    <w:rsid w:val="23A34A3E"/>
    <w:rsid w:val="23A35104"/>
    <w:rsid w:val="23AA01D1"/>
    <w:rsid w:val="23AD65FA"/>
    <w:rsid w:val="23AD6DAE"/>
    <w:rsid w:val="23B553E1"/>
    <w:rsid w:val="23BE73BC"/>
    <w:rsid w:val="23C04638"/>
    <w:rsid w:val="23C06064"/>
    <w:rsid w:val="23C16FF2"/>
    <w:rsid w:val="23C94901"/>
    <w:rsid w:val="23D149C0"/>
    <w:rsid w:val="23D95E44"/>
    <w:rsid w:val="23D97362"/>
    <w:rsid w:val="23DD4C82"/>
    <w:rsid w:val="23E67D01"/>
    <w:rsid w:val="23E8218E"/>
    <w:rsid w:val="23F131EA"/>
    <w:rsid w:val="23F2005C"/>
    <w:rsid w:val="23F90719"/>
    <w:rsid w:val="24061DD1"/>
    <w:rsid w:val="24143C29"/>
    <w:rsid w:val="24177BB5"/>
    <w:rsid w:val="24196BF0"/>
    <w:rsid w:val="241C1242"/>
    <w:rsid w:val="242F5A1B"/>
    <w:rsid w:val="243D3065"/>
    <w:rsid w:val="243E16FE"/>
    <w:rsid w:val="24480E29"/>
    <w:rsid w:val="244C40A6"/>
    <w:rsid w:val="2451338A"/>
    <w:rsid w:val="245240CE"/>
    <w:rsid w:val="2455336C"/>
    <w:rsid w:val="245575F8"/>
    <w:rsid w:val="24562FD4"/>
    <w:rsid w:val="24633CCB"/>
    <w:rsid w:val="246935A0"/>
    <w:rsid w:val="24693FAC"/>
    <w:rsid w:val="246E0486"/>
    <w:rsid w:val="247121F3"/>
    <w:rsid w:val="24787D6B"/>
    <w:rsid w:val="247A2A5F"/>
    <w:rsid w:val="247A7CAD"/>
    <w:rsid w:val="247C1A2B"/>
    <w:rsid w:val="248161FF"/>
    <w:rsid w:val="248802F6"/>
    <w:rsid w:val="24947808"/>
    <w:rsid w:val="2497766E"/>
    <w:rsid w:val="2497786D"/>
    <w:rsid w:val="249A61C7"/>
    <w:rsid w:val="24AA55D4"/>
    <w:rsid w:val="24AA62B2"/>
    <w:rsid w:val="24BD7C97"/>
    <w:rsid w:val="24C6743F"/>
    <w:rsid w:val="24C75CE5"/>
    <w:rsid w:val="24D1244A"/>
    <w:rsid w:val="24D34B3A"/>
    <w:rsid w:val="24D74B21"/>
    <w:rsid w:val="24DC170C"/>
    <w:rsid w:val="24E21920"/>
    <w:rsid w:val="24E35D60"/>
    <w:rsid w:val="24E460A0"/>
    <w:rsid w:val="24E510F2"/>
    <w:rsid w:val="24E915BD"/>
    <w:rsid w:val="24ED7B4E"/>
    <w:rsid w:val="24F4656F"/>
    <w:rsid w:val="24F568DC"/>
    <w:rsid w:val="250C2E4B"/>
    <w:rsid w:val="250E1A92"/>
    <w:rsid w:val="251A3060"/>
    <w:rsid w:val="251E3BC8"/>
    <w:rsid w:val="2526439D"/>
    <w:rsid w:val="25283AE4"/>
    <w:rsid w:val="25284889"/>
    <w:rsid w:val="252A1C0B"/>
    <w:rsid w:val="252C551E"/>
    <w:rsid w:val="25352325"/>
    <w:rsid w:val="25386CBD"/>
    <w:rsid w:val="25390EE8"/>
    <w:rsid w:val="25406377"/>
    <w:rsid w:val="25415062"/>
    <w:rsid w:val="25415860"/>
    <w:rsid w:val="254701A8"/>
    <w:rsid w:val="254D6899"/>
    <w:rsid w:val="2552201A"/>
    <w:rsid w:val="255259C2"/>
    <w:rsid w:val="256574DB"/>
    <w:rsid w:val="256637A3"/>
    <w:rsid w:val="256900A1"/>
    <w:rsid w:val="256E7617"/>
    <w:rsid w:val="256F7E7B"/>
    <w:rsid w:val="25732C46"/>
    <w:rsid w:val="2576425C"/>
    <w:rsid w:val="257F2946"/>
    <w:rsid w:val="257F3630"/>
    <w:rsid w:val="25802646"/>
    <w:rsid w:val="25881D92"/>
    <w:rsid w:val="2589131A"/>
    <w:rsid w:val="25892DA8"/>
    <w:rsid w:val="259213C0"/>
    <w:rsid w:val="259A3745"/>
    <w:rsid w:val="259D1A4B"/>
    <w:rsid w:val="25AD39BF"/>
    <w:rsid w:val="25B2408B"/>
    <w:rsid w:val="25B343FC"/>
    <w:rsid w:val="25B57786"/>
    <w:rsid w:val="25B8086F"/>
    <w:rsid w:val="25BA44BB"/>
    <w:rsid w:val="25BC283A"/>
    <w:rsid w:val="25C87358"/>
    <w:rsid w:val="25DB7943"/>
    <w:rsid w:val="25DC312F"/>
    <w:rsid w:val="25DC7B2E"/>
    <w:rsid w:val="25DE4041"/>
    <w:rsid w:val="25ED6C1C"/>
    <w:rsid w:val="25FA2F81"/>
    <w:rsid w:val="26051FB4"/>
    <w:rsid w:val="261A19AC"/>
    <w:rsid w:val="261D4D67"/>
    <w:rsid w:val="261D757C"/>
    <w:rsid w:val="2629712E"/>
    <w:rsid w:val="26352513"/>
    <w:rsid w:val="26370332"/>
    <w:rsid w:val="263E2DBD"/>
    <w:rsid w:val="26465013"/>
    <w:rsid w:val="264F7682"/>
    <w:rsid w:val="26510C56"/>
    <w:rsid w:val="2651755A"/>
    <w:rsid w:val="26544D6D"/>
    <w:rsid w:val="26612986"/>
    <w:rsid w:val="26617586"/>
    <w:rsid w:val="26631865"/>
    <w:rsid w:val="26651951"/>
    <w:rsid w:val="2666016E"/>
    <w:rsid w:val="267034CD"/>
    <w:rsid w:val="26763EDF"/>
    <w:rsid w:val="26766E5F"/>
    <w:rsid w:val="267B6B07"/>
    <w:rsid w:val="268003DF"/>
    <w:rsid w:val="26842B0F"/>
    <w:rsid w:val="26883B04"/>
    <w:rsid w:val="268C2E35"/>
    <w:rsid w:val="2691191E"/>
    <w:rsid w:val="2693540A"/>
    <w:rsid w:val="26970580"/>
    <w:rsid w:val="2698563A"/>
    <w:rsid w:val="269B3DA5"/>
    <w:rsid w:val="26A016A9"/>
    <w:rsid w:val="26A434B5"/>
    <w:rsid w:val="26B61F00"/>
    <w:rsid w:val="26B620AE"/>
    <w:rsid w:val="26BD0F8E"/>
    <w:rsid w:val="26C069A2"/>
    <w:rsid w:val="26C311A3"/>
    <w:rsid w:val="26C34923"/>
    <w:rsid w:val="26C804EE"/>
    <w:rsid w:val="26C91071"/>
    <w:rsid w:val="26CC27FB"/>
    <w:rsid w:val="26DF31B1"/>
    <w:rsid w:val="26EF4F0D"/>
    <w:rsid w:val="26F135E9"/>
    <w:rsid w:val="27013A64"/>
    <w:rsid w:val="27105FD9"/>
    <w:rsid w:val="2711234F"/>
    <w:rsid w:val="2721429C"/>
    <w:rsid w:val="27261A85"/>
    <w:rsid w:val="272624ED"/>
    <w:rsid w:val="27281466"/>
    <w:rsid w:val="272B20CF"/>
    <w:rsid w:val="272D420F"/>
    <w:rsid w:val="272E6E53"/>
    <w:rsid w:val="27370316"/>
    <w:rsid w:val="273E4B1E"/>
    <w:rsid w:val="27420744"/>
    <w:rsid w:val="274F4ACE"/>
    <w:rsid w:val="2751317D"/>
    <w:rsid w:val="2753624C"/>
    <w:rsid w:val="27591818"/>
    <w:rsid w:val="2760200C"/>
    <w:rsid w:val="27606615"/>
    <w:rsid w:val="27612D04"/>
    <w:rsid w:val="27620D0E"/>
    <w:rsid w:val="276357B1"/>
    <w:rsid w:val="27645560"/>
    <w:rsid w:val="276F4BF4"/>
    <w:rsid w:val="277143F3"/>
    <w:rsid w:val="277C2819"/>
    <w:rsid w:val="278D779B"/>
    <w:rsid w:val="279E64DD"/>
    <w:rsid w:val="27A01CCE"/>
    <w:rsid w:val="27A117EB"/>
    <w:rsid w:val="27A322B0"/>
    <w:rsid w:val="27B74BB2"/>
    <w:rsid w:val="27B82822"/>
    <w:rsid w:val="27B91AA8"/>
    <w:rsid w:val="27BA2529"/>
    <w:rsid w:val="27BA3B33"/>
    <w:rsid w:val="27BB00D3"/>
    <w:rsid w:val="27C06E30"/>
    <w:rsid w:val="27C12B9F"/>
    <w:rsid w:val="27C35FA8"/>
    <w:rsid w:val="27C603EB"/>
    <w:rsid w:val="27C75AA7"/>
    <w:rsid w:val="27D37B46"/>
    <w:rsid w:val="27D418C5"/>
    <w:rsid w:val="27E01AB7"/>
    <w:rsid w:val="27E15B37"/>
    <w:rsid w:val="27E71F9B"/>
    <w:rsid w:val="27E7258E"/>
    <w:rsid w:val="27EC02D6"/>
    <w:rsid w:val="27F64808"/>
    <w:rsid w:val="27FA0D7E"/>
    <w:rsid w:val="27FD58E0"/>
    <w:rsid w:val="27FE3D1F"/>
    <w:rsid w:val="280044BD"/>
    <w:rsid w:val="280827A5"/>
    <w:rsid w:val="280E42EC"/>
    <w:rsid w:val="280F5EA6"/>
    <w:rsid w:val="28120E19"/>
    <w:rsid w:val="281C7F1F"/>
    <w:rsid w:val="282A29B9"/>
    <w:rsid w:val="282C6AD4"/>
    <w:rsid w:val="28305591"/>
    <w:rsid w:val="283C0860"/>
    <w:rsid w:val="28491D33"/>
    <w:rsid w:val="284A2997"/>
    <w:rsid w:val="285064D0"/>
    <w:rsid w:val="28514316"/>
    <w:rsid w:val="28591DA6"/>
    <w:rsid w:val="28634ABE"/>
    <w:rsid w:val="28657F68"/>
    <w:rsid w:val="28665852"/>
    <w:rsid w:val="287617B5"/>
    <w:rsid w:val="28762002"/>
    <w:rsid w:val="287C6C8D"/>
    <w:rsid w:val="287F2631"/>
    <w:rsid w:val="288146ED"/>
    <w:rsid w:val="288B4A00"/>
    <w:rsid w:val="288E0B97"/>
    <w:rsid w:val="289D6564"/>
    <w:rsid w:val="289E0FF2"/>
    <w:rsid w:val="289E4998"/>
    <w:rsid w:val="289F607B"/>
    <w:rsid w:val="28A17C43"/>
    <w:rsid w:val="28A53CBF"/>
    <w:rsid w:val="28A87A23"/>
    <w:rsid w:val="28AA32C5"/>
    <w:rsid w:val="28AF4EC7"/>
    <w:rsid w:val="28B25B27"/>
    <w:rsid w:val="28B4577E"/>
    <w:rsid w:val="28BC094E"/>
    <w:rsid w:val="28BE2CCF"/>
    <w:rsid w:val="28BE54CA"/>
    <w:rsid w:val="28C55A80"/>
    <w:rsid w:val="28C6452E"/>
    <w:rsid w:val="28CF66D1"/>
    <w:rsid w:val="28D2103F"/>
    <w:rsid w:val="28D23074"/>
    <w:rsid w:val="28D96F16"/>
    <w:rsid w:val="28DB12B8"/>
    <w:rsid w:val="28DD3F76"/>
    <w:rsid w:val="28E710AD"/>
    <w:rsid w:val="28EF2F46"/>
    <w:rsid w:val="28F17600"/>
    <w:rsid w:val="28F24B68"/>
    <w:rsid w:val="29023D0C"/>
    <w:rsid w:val="290D3176"/>
    <w:rsid w:val="290E7729"/>
    <w:rsid w:val="29113D59"/>
    <w:rsid w:val="291561C6"/>
    <w:rsid w:val="291B52C6"/>
    <w:rsid w:val="291E7CEC"/>
    <w:rsid w:val="291F59F3"/>
    <w:rsid w:val="292118FA"/>
    <w:rsid w:val="2930296C"/>
    <w:rsid w:val="29324120"/>
    <w:rsid w:val="2932566B"/>
    <w:rsid w:val="29337217"/>
    <w:rsid w:val="293B46C3"/>
    <w:rsid w:val="29405C38"/>
    <w:rsid w:val="2941700D"/>
    <w:rsid w:val="29447FD2"/>
    <w:rsid w:val="29475FFB"/>
    <w:rsid w:val="294A1B6C"/>
    <w:rsid w:val="295150CB"/>
    <w:rsid w:val="29536AC3"/>
    <w:rsid w:val="29545CEA"/>
    <w:rsid w:val="295518F8"/>
    <w:rsid w:val="29585B6D"/>
    <w:rsid w:val="29620633"/>
    <w:rsid w:val="29686DA3"/>
    <w:rsid w:val="296E31C7"/>
    <w:rsid w:val="29723BB2"/>
    <w:rsid w:val="297D70D8"/>
    <w:rsid w:val="297F49CB"/>
    <w:rsid w:val="29811027"/>
    <w:rsid w:val="298305E8"/>
    <w:rsid w:val="29837AD1"/>
    <w:rsid w:val="298B7DEA"/>
    <w:rsid w:val="298C04F4"/>
    <w:rsid w:val="29935BEF"/>
    <w:rsid w:val="29936129"/>
    <w:rsid w:val="2994730E"/>
    <w:rsid w:val="299D4E0A"/>
    <w:rsid w:val="29A011B8"/>
    <w:rsid w:val="29A472DF"/>
    <w:rsid w:val="29A512BA"/>
    <w:rsid w:val="29AD7637"/>
    <w:rsid w:val="29B37F3A"/>
    <w:rsid w:val="29B41003"/>
    <w:rsid w:val="29BF655D"/>
    <w:rsid w:val="29C440E7"/>
    <w:rsid w:val="29C73A4F"/>
    <w:rsid w:val="29C906BD"/>
    <w:rsid w:val="29CB0800"/>
    <w:rsid w:val="29CE33FE"/>
    <w:rsid w:val="29D12EBE"/>
    <w:rsid w:val="29DD289D"/>
    <w:rsid w:val="29EC1890"/>
    <w:rsid w:val="29F656A9"/>
    <w:rsid w:val="2A026EA6"/>
    <w:rsid w:val="2A041F6C"/>
    <w:rsid w:val="2A0F0983"/>
    <w:rsid w:val="2A0F138E"/>
    <w:rsid w:val="2A0F1AD7"/>
    <w:rsid w:val="2A172A7D"/>
    <w:rsid w:val="2A196CED"/>
    <w:rsid w:val="2A1A71D7"/>
    <w:rsid w:val="2A1B5DEE"/>
    <w:rsid w:val="2A1C1991"/>
    <w:rsid w:val="2A202F52"/>
    <w:rsid w:val="2A331F48"/>
    <w:rsid w:val="2A3E6A5C"/>
    <w:rsid w:val="2A4457C0"/>
    <w:rsid w:val="2A4776D3"/>
    <w:rsid w:val="2A593B83"/>
    <w:rsid w:val="2A5B2035"/>
    <w:rsid w:val="2A6116EB"/>
    <w:rsid w:val="2A714C03"/>
    <w:rsid w:val="2A7339F2"/>
    <w:rsid w:val="2A750758"/>
    <w:rsid w:val="2A77331D"/>
    <w:rsid w:val="2A7826C7"/>
    <w:rsid w:val="2A7E1637"/>
    <w:rsid w:val="2A7E1EDE"/>
    <w:rsid w:val="2A870166"/>
    <w:rsid w:val="2A897B67"/>
    <w:rsid w:val="2A971D4B"/>
    <w:rsid w:val="2A9C0706"/>
    <w:rsid w:val="2A9F5F7F"/>
    <w:rsid w:val="2AA01BBE"/>
    <w:rsid w:val="2AAA5EA1"/>
    <w:rsid w:val="2AB16030"/>
    <w:rsid w:val="2ABB5819"/>
    <w:rsid w:val="2AC61EDD"/>
    <w:rsid w:val="2AD30AA1"/>
    <w:rsid w:val="2AD35D28"/>
    <w:rsid w:val="2AD70B18"/>
    <w:rsid w:val="2ADA5270"/>
    <w:rsid w:val="2ADD06BB"/>
    <w:rsid w:val="2ADD2FC0"/>
    <w:rsid w:val="2ADF69B0"/>
    <w:rsid w:val="2AE83046"/>
    <w:rsid w:val="2AE870BF"/>
    <w:rsid w:val="2AEA17F8"/>
    <w:rsid w:val="2AEB03E1"/>
    <w:rsid w:val="2AEC2FB3"/>
    <w:rsid w:val="2AEC5583"/>
    <w:rsid w:val="2AF072F7"/>
    <w:rsid w:val="2AF67376"/>
    <w:rsid w:val="2AFB3C3E"/>
    <w:rsid w:val="2AFC6DA6"/>
    <w:rsid w:val="2AFE2402"/>
    <w:rsid w:val="2B041C0C"/>
    <w:rsid w:val="2B0801E4"/>
    <w:rsid w:val="2B105183"/>
    <w:rsid w:val="2B1133A7"/>
    <w:rsid w:val="2B1875E1"/>
    <w:rsid w:val="2B1A5FCC"/>
    <w:rsid w:val="2B1D45B1"/>
    <w:rsid w:val="2B1E09BE"/>
    <w:rsid w:val="2B23775C"/>
    <w:rsid w:val="2B261FE2"/>
    <w:rsid w:val="2B275C70"/>
    <w:rsid w:val="2B29455C"/>
    <w:rsid w:val="2B2A5FC2"/>
    <w:rsid w:val="2B3A2AD9"/>
    <w:rsid w:val="2B3F4D84"/>
    <w:rsid w:val="2B4674F7"/>
    <w:rsid w:val="2B496CD8"/>
    <w:rsid w:val="2B4F1E4D"/>
    <w:rsid w:val="2B511746"/>
    <w:rsid w:val="2B58552F"/>
    <w:rsid w:val="2B68613A"/>
    <w:rsid w:val="2B6D1F25"/>
    <w:rsid w:val="2B6D563F"/>
    <w:rsid w:val="2B6F7246"/>
    <w:rsid w:val="2B703413"/>
    <w:rsid w:val="2B737C52"/>
    <w:rsid w:val="2B797CA5"/>
    <w:rsid w:val="2B8C3A21"/>
    <w:rsid w:val="2B8C6B7A"/>
    <w:rsid w:val="2B8D05F5"/>
    <w:rsid w:val="2B93768C"/>
    <w:rsid w:val="2B97036E"/>
    <w:rsid w:val="2B9F0F43"/>
    <w:rsid w:val="2BA52284"/>
    <w:rsid w:val="2BA700C8"/>
    <w:rsid w:val="2BAB5AA0"/>
    <w:rsid w:val="2BAC0A95"/>
    <w:rsid w:val="2BAC66B8"/>
    <w:rsid w:val="2BAF3007"/>
    <w:rsid w:val="2BB370E3"/>
    <w:rsid w:val="2BB419B4"/>
    <w:rsid w:val="2BB674D7"/>
    <w:rsid w:val="2BB77857"/>
    <w:rsid w:val="2BB94751"/>
    <w:rsid w:val="2BC15727"/>
    <w:rsid w:val="2BC74A00"/>
    <w:rsid w:val="2BCB24CC"/>
    <w:rsid w:val="2BD14F53"/>
    <w:rsid w:val="2BD37A17"/>
    <w:rsid w:val="2BD47882"/>
    <w:rsid w:val="2BD90BA8"/>
    <w:rsid w:val="2BE048DA"/>
    <w:rsid w:val="2BEA5B8D"/>
    <w:rsid w:val="2BEC5CEE"/>
    <w:rsid w:val="2BED1DF2"/>
    <w:rsid w:val="2BF20924"/>
    <w:rsid w:val="2BF24FE9"/>
    <w:rsid w:val="2BFE13F4"/>
    <w:rsid w:val="2C036DF3"/>
    <w:rsid w:val="2C0637FF"/>
    <w:rsid w:val="2C0763F5"/>
    <w:rsid w:val="2C0B1E86"/>
    <w:rsid w:val="2C1078AB"/>
    <w:rsid w:val="2C122D2F"/>
    <w:rsid w:val="2C126BF6"/>
    <w:rsid w:val="2C1305C4"/>
    <w:rsid w:val="2C1F681D"/>
    <w:rsid w:val="2C200219"/>
    <w:rsid w:val="2C2152C8"/>
    <w:rsid w:val="2C235E47"/>
    <w:rsid w:val="2C285010"/>
    <w:rsid w:val="2C2C1E8A"/>
    <w:rsid w:val="2C345CC9"/>
    <w:rsid w:val="2C3474E5"/>
    <w:rsid w:val="2C381516"/>
    <w:rsid w:val="2C3A56D1"/>
    <w:rsid w:val="2C3B59B1"/>
    <w:rsid w:val="2C3F6B11"/>
    <w:rsid w:val="2C406C09"/>
    <w:rsid w:val="2C4971E1"/>
    <w:rsid w:val="2C4B2982"/>
    <w:rsid w:val="2C4D7DCB"/>
    <w:rsid w:val="2C5506ED"/>
    <w:rsid w:val="2C582397"/>
    <w:rsid w:val="2C596A92"/>
    <w:rsid w:val="2C5D40FC"/>
    <w:rsid w:val="2C607F64"/>
    <w:rsid w:val="2C645AC5"/>
    <w:rsid w:val="2C68368E"/>
    <w:rsid w:val="2C6D47B4"/>
    <w:rsid w:val="2C731BD8"/>
    <w:rsid w:val="2C74581C"/>
    <w:rsid w:val="2C747483"/>
    <w:rsid w:val="2C892157"/>
    <w:rsid w:val="2C8B279B"/>
    <w:rsid w:val="2C90381F"/>
    <w:rsid w:val="2C935627"/>
    <w:rsid w:val="2C957780"/>
    <w:rsid w:val="2C9701C3"/>
    <w:rsid w:val="2C972789"/>
    <w:rsid w:val="2CA41EC3"/>
    <w:rsid w:val="2CA66DE9"/>
    <w:rsid w:val="2CA74998"/>
    <w:rsid w:val="2CAB240E"/>
    <w:rsid w:val="2CAF0B12"/>
    <w:rsid w:val="2CB2409F"/>
    <w:rsid w:val="2CB71F1D"/>
    <w:rsid w:val="2CB80B56"/>
    <w:rsid w:val="2CBF0C89"/>
    <w:rsid w:val="2CCD62EE"/>
    <w:rsid w:val="2CD45B80"/>
    <w:rsid w:val="2CD55964"/>
    <w:rsid w:val="2CD664E4"/>
    <w:rsid w:val="2CDA0321"/>
    <w:rsid w:val="2CDB7A41"/>
    <w:rsid w:val="2CDF09D7"/>
    <w:rsid w:val="2CE01CCF"/>
    <w:rsid w:val="2CE5193F"/>
    <w:rsid w:val="2CEC12AC"/>
    <w:rsid w:val="2CF4295D"/>
    <w:rsid w:val="2CF51D38"/>
    <w:rsid w:val="2CF943D7"/>
    <w:rsid w:val="2CFC462D"/>
    <w:rsid w:val="2D0503BE"/>
    <w:rsid w:val="2D077CB4"/>
    <w:rsid w:val="2D094838"/>
    <w:rsid w:val="2D0F4EEC"/>
    <w:rsid w:val="2D1105EE"/>
    <w:rsid w:val="2D120776"/>
    <w:rsid w:val="2D1C0025"/>
    <w:rsid w:val="2D206D6D"/>
    <w:rsid w:val="2D221E3A"/>
    <w:rsid w:val="2D2277A8"/>
    <w:rsid w:val="2D2306E8"/>
    <w:rsid w:val="2D231BD1"/>
    <w:rsid w:val="2D2A163B"/>
    <w:rsid w:val="2D2A3A14"/>
    <w:rsid w:val="2D2D7B2B"/>
    <w:rsid w:val="2D30631F"/>
    <w:rsid w:val="2D391D65"/>
    <w:rsid w:val="2D3C1C22"/>
    <w:rsid w:val="2D3E7852"/>
    <w:rsid w:val="2D413C3F"/>
    <w:rsid w:val="2D442FF1"/>
    <w:rsid w:val="2D4D0556"/>
    <w:rsid w:val="2D545E0F"/>
    <w:rsid w:val="2D5A28DB"/>
    <w:rsid w:val="2D5B031E"/>
    <w:rsid w:val="2D61251B"/>
    <w:rsid w:val="2D654E96"/>
    <w:rsid w:val="2D841BEF"/>
    <w:rsid w:val="2D88315F"/>
    <w:rsid w:val="2D8A513E"/>
    <w:rsid w:val="2D8F6069"/>
    <w:rsid w:val="2D937AAA"/>
    <w:rsid w:val="2D943907"/>
    <w:rsid w:val="2D9724BB"/>
    <w:rsid w:val="2DA525FC"/>
    <w:rsid w:val="2DAE5830"/>
    <w:rsid w:val="2DB2061F"/>
    <w:rsid w:val="2DB20B32"/>
    <w:rsid w:val="2DB63FD1"/>
    <w:rsid w:val="2DBB247F"/>
    <w:rsid w:val="2DC23790"/>
    <w:rsid w:val="2DC63F4D"/>
    <w:rsid w:val="2DC70941"/>
    <w:rsid w:val="2DCC7003"/>
    <w:rsid w:val="2DD177EF"/>
    <w:rsid w:val="2DD46B29"/>
    <w:rsid w:val="2DD7533D"/>
    <w:rsid w:val="2DDA0BFD"/>
    <w:rsid w:val="2DDD71EF"/>
    <w:rsid w:val="2DF30325"/>
    <w:rsid w:val="2DFB514C"/>
    <w:rsid w:val="2DFD77D7"/>
    <w:rsid w:val="2E05240C"/>
    <w:rsid w:val="2E082D34"/>
    <w:rsid w:val="2E0B10D5"/>
    <w:rsid w:val="2E0B29AC"/>
    <w:rsid w:val="2E0D20B7"/>
    <w:rsid w:val="2E181105"/>
    <w:rsid w:val="2E204172"/>
    <w:rsid w:val="2E2814D4"/>
    <w:rsid w:val="2E3F43E1"/>
    <w:rsid w:val="2E432779"/>
    <w:rsid w:val="2E453C1E"/>
    <w:rsid w:val="2E4551CA"/>
    <w:rsid w:val="2E4966DF"/>
    <w:rsid w:val="2E4D199A"/>
    <w:rsid w:val="2E4F3535"/>
    <w:rsid w:val="2E4F6D33"/>
    <w:rsid w:val="2E547685"/>
    <w:rsid w:val="2E584C85"/>
    <w:rsid w:val="2E590505"/>
    <w:rsid w:val="2E63591F"/>
    <w:rsid w:val="2E662E64"/>
    <w:rsid w:val="2E690846"/>
    <w:rsid w:val="2E69577A"/>
    <w:rsid w:val="2E6B7A7E"/>
    <w:rsid w:val="2E6F7654"/>
    <w:rsid w:val="2E772573"/>
    <w:rsid w:val="2E790CC3"/>
    <w:rsid w:val="2E79681C"/>
    <w:rsid w:val="2E7B3521"/>
    <w:rsid w:val="2E803D29"/>
    <w:rsid w:val="2E836D04"/>
    <w:rsid w:val="2E84697C"/>
    <w:rsid w:val="2E874B22"/>
    <w:rsid w:val="2E8D3A0F"/>
    <w:rsid w:val="2E8E764D"/>
    <w:rsid w:val="2E975FE1"/>
    <w:rsid w:val="2E9A735F"/>
    <w:rsid w:val="2E9B199C"/>
    <w:rsid w:val="2E9E4538"/>
    <w:rsid w:val="2EA32F53"/>
    <w:rsid w:val="2EA82282"/>
    <w:rsid w:val="2EAB4997"/>
    <w:rsid w:val="2EB11497"/>
    <w:rsid w:val="2EB41130"/>
    <w:rsid w:val="2EB500B7"/>
    <w:rsid w:val="2EB629E6"/>
    <w:rsid w:val="2EB677E4"/>
    <w:rsid w:val="2EB951EB"/>
    <w:rsid w:val="2EBE4357"/>
    <w:rsid w:val="2EC70120"/>
    <w:rsid w:val="2ECA0ADB"/>
    <w:rsid w:val="2ECB76C4"/>
    <w:rsid w:val="2ECD059F"/>
    <w:rsid w:val="2ED52499"/>
    <w:rsid w:val="2EE46DA6"/>
    <w:rsid w:val="2EEE2FE9"/>
    <w:rsid w:val="2EF103A4"/>
    <w:rsid w:val="2EF77611"/>
    <w:rsid w:val="2EFD3446"/>
    <w:rsid w:val="2F0403AF"/>
    <w:rsid w:val="2F054974"/>
    <w:rsid w:val="2F082717"/>
    <w:rsid w:val="2F0A4449"/>
    <w:rsid w:val="2F0C556B"/>
    <w:rsid w:val="2F116FBA"/>
    <w:rsid w:val="2F1277E8"/>
    <w:rsid w:val="2F14610E"/>
    <w:rsid w:val="2F156CD9"/>
    <w:rsid w:val="2F1A7019"/>
    <w:rsid w:val="2F1A733F"/>
    <w:rsid w:val="2F1B17C7"/>
    <w:rsid w:val="2F1D3420"/>
    <w:rsid w:val="2F2A508B"/>
    <w:rsid w:val="2F2A7961"/>
    <w:rsid w:val="2F2D4FCF"/>
    <w:rsid w:val="2F2E629B"/>
    <w:rsid w:val="2F365382"/>
    <w:rsid w:val="2F3761BD"/>
    <w:rsid w:val="2F3B5F4E"/>
    <w:rsid w:val="2F424181"/>
    <w:rsid w:val="2F4930EA"/>
    <w:rsid w:val="2F4A60D2"/>
    <w:rsid w:val="2F4C3632"/>
    <w:rsid w:val="2F5057F8"/>
    <w:rsid w:val="2F5A5F40"/>
    <w:rsid w:val="2F5E5D37"/>
    <w:rsid w:val="2F634E8B"/>
    <w:rsid w:val="2F6D1507"/>
    <w:rsid w:val="2F715DFB"/>
    <w:rsid w:val="2F735527"/>
    <w:rsid w:val="2F755D6D"/>
    <w:rsid w:val="2F767E41"/>
    <w:rsid w:val="2F773C9A"/>
    <w:rsid w:val="2F7A0872"/>
    <w:rsid w:val="2F7A7680"/>
    <w:rsid w:val="2F7E3209"/>
    <w:rsid w:val="2F803818"/>
    <w:rsid w:val="2F8210F4"/>
    <w:rsid w:val="2F837E09"/>
    <w:rsid w:val="2F884596"/>
    <w:rsid w:val="2F8914D3"/>
    <w:rsid w:val="2F92567B"/>
    <w:rsid w:val="2F963D8B"/>
    <w:rsid w:val="2F976089"/>
    <w:rsid w:val="2F9B56FC"/>
    <w:rsid w:val="2F9C1189"/>
    <w:rsid w:val="2F9E0438"/>
    <w:rsid w:val="2FA15DF4"/>
    <w:rsid w:val="2FA343A7"/>
    <w:rsid w:val="2FA70711"/>
    <w:rsid w:val="2FAA31FD"/>
    <w:rsid w:val="2FAC6B40"/>
    <w:rsid w:val="2FB1206E"/>
    <w:rsid w:val="2FB54242"/>
    <w:rsid w:val="2FB84936"/>
    <w:rsid w:val="2FC40DFC"/>
    <w:rsid w:val="2FC4673D"/>
    <w:rsid w:val="2FC801B7"/>
    <w:rsid w:val="2FCE70DE"/>
    <w:rsid w:val="2FCE715A"/>
    <w:rsid w:val="2FD5296A"/>
    <w:rsid w:val="2FD66E23"/>
    <w:rsid w:val="2FE1448C"/>
    <w:rsid w:val="2FE32EE3"/>
    <w:rsid w:val="2FE51690"/>
    <w:rsid w:val="2FE97BD5"/>
    <w:rsid w:val="2FF5403C"/>
    <w:rsid w:val="2FFC4D45"/>
    <w:rsid w:val="300C469A"/>
    <w:rsid w:val="300E6A7D"/>
    <w:rsid w:val="300E74E6"/>
    <w:rsid w:val="30112A00"/>
    <w:rsid w:val="3019795A"/>
    <w:rsid w:val="301A215E"/>
    <w:rsid w:val="301C526D"/>
    <w:rsid w:val="30206069"/>
    <w:rsid w:val="30214903"/>
    <w:rsid w:val="302327E0"/>
    <w:rsid w:val="302A3D93"/>
    <w:rsid w:val="30346E72"/>
    <w:rsid w:val="30395E8F"/>
    <w:rsid w:val="303E35A4"/>
    <w:rsid w:val="30406968"/>
    <w:rsid w:val="304F7F1D"/>
    <w:rsid w:val="30505DFD"/>
    <w:rsid w:val="30537E71"/>
    <w:rsid w:val="30554338"/>
    <w:rsid w:val="305A448B"/>
    <w:rsid w:val="30637616"/>
    <w:rsid w:val="30651B21"/>
    <w:rsid w:val="30674099"/>
    <w:rsid w:val="306C3B7D"/>
    <w:rsid w:val="306F0737"/>
    <w:rsid w:val="30785EA0"/>
    <w:rsid w:val="307A2944"/>
    <w:rsid w:val="307B0AEC"/>
    <w:rsid w:val="307C2541"/>
    <w:rsid w:val="307C2B41"/>
    <w:rsid w:val="308B3107"/>
    <w:rsid w:val="30906744"/>
    <w:rsid w:val="30967A28"/>
    <w:rsid w:val="30973EA4"/>
    <w:rsid w:val="309942E0"/>
    <w:rsid w:val="309B269F"/>
    <w:rsid w:val="309C4BE2"/>
    <w:rsid w:val="30A256EC"/>
    <w:rsid w:val="30A448D8"/>
    <w:rsid w:val="30A50915"/>
    <w:rsid w:val="30A57F85"/>
    <w:rsid w:val="30AC2ADD"/>
    <w:rsid w:val="30AF13F4"/>
    <w:rsid w:val="30B27199"/>
    <w:rsid w:val="30B321C2"/>
    <w:rsid w:val="30BE61DB"/>
    <w:rsid w:val="30D03460"/>
    <w:rsid w:val="30D93C28"/>
    <w:rsid w:val="30E82AED"/>
    <w:rsid w:val="30EE6F1D"/>
    <w:rsid w:val="30F328DF"/>
    <w:rsid w:val="30F80898"/>
    <w:rsid w:val="30F95095"/>
    <w:rsid w:val="30FC5E5B"/>
    <w:rsid w:val="30FF456A"/>
    <w:rsid w:val="31016D67"/>
    <w:rsid w:val="31040100"/>
    <w:rsid w:val="31060D9F"/>
    <w:rsid w:val="310F0E00"/>
    <w:rsid w:val="31180CD7"/>
    <w:rsid w:val="311C0330"/>
    <w:rsid w:val="312A6B74"/>
    <w:rsid w:val="312F1D5A"/>
    <w:rsid w:val="3130743B"/>
    <w:rsid w:val="313B67A5"/>
    <w:rsid w:val="314117DF"/>
    <w:rsid w:val="314A168C"/>
    <w:rsid w:val="314E3EDD"/>
    <w:rsid w:val="315277DE"/>
    <w:rsid w:val="315C6A8A"/>
    <w:rsid w:val="315D70C9"/>
    <w:rsid w:val="315E1EE7"/>
    <w:rsid w:val="315F18B2"/>
    <w:rsid w:val="3171266A"/>
    <w:rsid w:val="3175019E"/>
    <w:rsid w:val="317566E7"/>
    <w:rsid w:val="31794893"/>
    <w:rsid w:val="317C0695"/>
    <w:rsid w:val="31944729"/>
    <w:rsid w:val="31971678"/>
    <w:rsid w:val="31981C84"/>
    <w:rsid w:val="319A6849"/>
    <w:rsid w:val="319C3472"/>
    <w:rsid w:val="319C7EB8"/>
    <w:rsid w:val="319D798B"/>
    <w:rsid w:val="31A72AF7"/>
    <w:rsid w:val="31AD1EA2"/>
    <w:rsid w:val="31B16577"/>
    <w:rsid w:val="31B505F5"/>
    <w:rsid w:val="31B77AEA"/>
    <w:rsid w:val="31BA65F4"/>
    <w:rsid w:val="31C17B0E"/>
    <w:rsid w:val="31CC50B5"/>
    <w:rsid w:val="31E134CC"/>
    <w:rsid w:val="31EB4A20"/>
    <w:rsid w:val="31F216EF"/>
    <w:rsid w:val="31F458E5"/>
    <w:rsid w:val="31F9384E"/>
    <w:rsid w:val="31F94748"/>
    <w:rsid w:val="31FF759B"/>
    <w:rsid w:val="3209420C"/>
    <w:rsid w:val="321A45E4"/>
    <w:rsid w:val="321C3520"/>
    <w:rsid w:val="321C4972"/>
    <w:rsid w:val="321C5A40"/>
    <w:rsid w:val="3226174E"/>
    <w:rsid w:val="32272C20"/>
    <w:rsid w:val="322E0883"/>
    <w:rsid w:val="32306602"/>
    <w:rsid w:val="323359BF"/>
    <w:rsid w:val="323479F7"/>
    <w:rsid w:val="323836B1"/>
    <w:rsid w:val="32383EFF"/>
    <w:rsid w:val="3240113C"/>
    <w:rsid w:val="3242395C"/>
    <w:rsid w:val="325276A5"/>
    <w:rsid w:val="32553299"/>
    <w:rsid w:val="325A171F"/>
    <w:rsid w:val="325C45D0"/>
    <w:rsid w:val="325E423F"/>
    <w:rsid w:val="32611C54"/>
    <w:rsid w:val="326204F0"/>
    <w:rsid w:val="32733072"/>
    <w:rsid w:val="32740529"/>
    <w:rsid w:val="32750884"/>
    <w:rsid w:val="32774DE1"/>
    <w:rsid w:val="327F1F69"/>
    <w:rsid w:val="327F511A"/>
    <w:rsid w:val="3285588F"/>
    <w:rsid w:val="32887A7F"/>
    <w:rsid w:val="328C1FB6"/>
    <w:rsid w:val="328E1E70"/>
    <w:rsid w:val="328F7A82"/>
    <w:rsid w:val="32903D54"/>
    <w:rsid w:val="329C2A82"/>
    <w:rsid w:val="329F4D7D"/>
    <w:rsid w:val="329F68C8"/>
    <w:rsid w:val="32A41A7B"/>
    <w:rsid w:val="32A62D82"/>
    <w:rsid w:val="32AE2DB3"/>
    <w:rsid w:val="32B100DD"/>
    <w:rsid w:val="32B35561"/>
    <w:rsid w:val="32B4060B"/>
    <w:rsid w:val="32B61D9E"/>
    <w:rsid w:val="32B845E6"/>
    <w:rsid w:val="32BC6058"/>
    <w:rsid w:val="32BC6E87"/>
    <w:rsid w:val="32BE5C09"/>
    <w:rsid w:val="32C06CB4"/>
    <w:rsid w:val="32C16FB5"/>
    <w:rsid w:val="32D00CFB"/>
    <w:rsid w:val="32D509F1"/>
    <w:rsid w:val="32D516A0"/>
    <w:rsid w:val="32D6357D"/>
    <w:rsid w:val="32DF074C"/>
    <w:rsid w:val="32E21CF4"/>
    <w:rsid w:val="32E2799F"/>
    <w:rsid w:val="32E95E43"/>
    <w:rsid w:val="32ED02C3"/>
    <w:rsid w:val="32EF3FA3"/>
    <w:rsid w:val="32F77300"/>
    <w:rsid w:val="32F96511"/>
    <w:rsid w:val="330131AB"/>
    <w:rsid w:val="33053C68"/>
    <w:rsid w:val="330D1494"/>
    <w:rsid w:val="330D2BE7"/>
    <w:rsid w:val="33143C32"/>
    <w:rsid w:val="3314733B"/>
    <w:rsid w:val="331A35B9"/>
    <w:rsid w:val="331D705B"/>
    <w:rsid w:val="33204840"/>
    <w:rsid w:val="33365DA9"/>
    <w:rsid w:val="334152F0"/>
    <w:rsid w:val="3343018A"/>
    <w:rsid w:val="3345527F"/>
    <w:rsid w:val="334B1E4A"/>
    <w:rsid w:val="334D1128"/>
    <w:rsid w:val="3354412F"/>
    <w:rsid w:val="33696B14"/>
    <w:rsid w:val="336D3C21"/>
    <w:rsid w:val="3371216C"/>
    <w:rsid w:val="3373176E"/>
    <w:rsid w:val="33760312"/>
    <w:rsid w:val="337720AD"/>
    <w:rsid w:val="33796EA2"/>
    <w:rsid w:val="3380463D"/>
    <w:rsid w:val="33871598"/>
    <w:rsid w:val="33874DB1"/>
    <w:rsid w:val="339815C8"/>
    <w:rsid w:val="339B639A"/>
    <w:rsid w:val="33A52C51"/>
    <w:rsid w:val="33A67D66"/>
    <w:rsid w:val="33B00BD8"/>
    <w:rsid w:val="33B00C7D"/>
    <w:rsid w:val="33C4014D"/>
    <w:rsid w:val="33C651E6"/>
    <w:rsid w:val="33CA4C58"/>
    <w:rsid w:val="33DF3E3A"/>
    <w:rsid w:val="33E168E8"/>
    <w:rsid w:val="33E25226"/>
    <w:rsid w:val="33E67F47"/>
    <w:rsid w:val="33EB7AD1"/>
    <w:rsid w:val="33EF0AD5"/>
    <w:rsid w:val="33F77540"/>
    <w:rsid w:val="34031A5A"/>
    <w:rsid w:val="34047A2B"/>
    <w:rsid w:val="340E35E5"/>
    <w:rsid w:val="34102871"/>
    <w:rsid w:val="341148F3"/>
    <w:rsid w:val="341158BF"/>
    <w:rsid w:val="341646F7"/>
    <w:rsid w:val="341F2A3E"/>
    <w:rsid w:val="34296808"/>
    <w:rsid w:val="34334629"/>
    <w:rsid w:val="34370CB7"/>
    <w:rsid w:val="34370F59"/>
    <w:rsid w:val="343C10B8"/>
    <w:rsid w:val="343D38B6"/>
    <w:rsid w:val="34497CA8"/>
    <w:rsid w:val="344B4BDE"/>
    <w:rsid w:val="34587799"/>
    <w:rsid w:val="345E4FC7"/>
    <w:rsid w:val="345F2074"/>
    <w:rsid w:val="346A0219"/>
    <w:rsid w:val="34731FE5"/>
    <w:rsid w:val="3473664E"/>
    <w:rsid w:val="347918F9"/>
    <w:rsid w:val="34821DB6"/>
    <w:rsid w:val="34891A14"/>
    <w:rsid w:val="34943987"/>
    <w:rsid w:val="34983900"/>
    <w:rsid w:val="349C325D"/>
    <w:rsid w:val="34AB1CE7"/>
    <w:rsid w:val="34AB6542"/>
    <w:rsid w:val="34B04625"/>
    <w:rsid w:val="34B14DF2"/>
    <w:rsid w:val="34BD617A"/>
    <w:rsid w:val="34BD6AE4"/>
    <w:rsid w:val="34BE095B"/>
    <w:rsid w:val="34BF03C0"/>
    <w:rsid w:val="34BF4E91"/>
    <w:rsid w:val="34C47078"/>
    <w:rsid w:val="34C57F2B"/>
    <w:rsid w:val="34C9321B"/>
    <w:rsid w:val="34CE251B"/>
    <w:rsid w:val="34D141F3"/>
    <w:rsid w:val="34E047A9"/>
    <w:rsid w:val="34ED5149"/>
    <w:rsid w:val="34FF4BD6"/>
    <w:rsid w:val="350110D3"/>
    <w:rsid w:val="350505E1"/>
    <w:rsid w:val="350512C5"/>
    <w:rsid w:val="350513F3"/>
    <w:rsid w:val="350543EF"/>
    <w:rsid w:val="35071AF5"/>
    <w:rsid w:val="35093B42"/>
    <w:rsid w:val="350A630F"/>
    <w:rsid w:val="35126E78"/>
    <w:rsid w:val="351273A3"/>
    <w:rsid w:val="35184B2F"/>
    <w:rsid w:val="351A3E8E"/>
    <w:rsid w:val="351E1EBA"/>
    <w:rsid w:val="351E53B4"/>
    <w:rsid w:val="35202495"/>
    <w:rsid w:val="35267445"/>
    <w:rsid w:val="352A27D3"/>
    <w:rsid w:val="352D544F"/>
    <w:rsid w:val="353163B0"/>
    <w:rsid w:val="35321D42"/>
    <w:rsid w:val="35323B4A"/>
    <w:rsid w:val="353742D9"/>
    <w:rsid w:val="353C1289"/>
    <w:rsid w:val="353C194B"/>
    <w:rsid w:val="35465A56"/>
    <w:rsid w:val="354662BE"/>
    <w:rsid w:val="3547329F"/>
    <w:rsid w:val="354A5908"/>
    <w:rsid w:val="354C690B"/>
    <w:rsid w:val="354E34AE"/>
    <w:rsid w:val="354E6469"/>
    <w:rsid w:val="355005B0"/>
    <w:rsid w:val="3553752B"/>
    <w:rsid w:val="35547A4F"/>
    <w:rsid w:val="35552D22"/>
    <w:rsid w:val="355C4747"/>
    <w:rsid w:val="355E59AC"/>
    <w:rsid w:val="35626347"/>
    <w:rsid w:val="356A6796"/>
    <w:rsid w:val="35797A8E"/>
    <w:rsid w:val="358235B9"/>
    <w:rsid w:val="35977FF3"/>
    <w:rsid w:val="3598192B"/>
    <w:rsid w:val="359C25E7"/>
    <w:rsid w:val="359E1D7F"/>
    <w:rsid w:val="35A0576B"/>
    <w:rsid w:val="35A35C71"/>
    <w:rsid w:val="35A47824"/>
    <w:rsid w:val="35A523CA"/>
    <w:rsid w:val="35A9404B"/>
    <w:rsid w:val="35B0013A"/>
    <w:rsid w:val="35B41B4C"/>
    <w:rsid w:val="35B523F9"/>
    <w:rsid w:val="35BB6E87"/>
    <w:rsid w:val="35BD15CB"/>
    <w:rsid w:val="35C67B7E"/>
    <w:rsid w:val="35C70B39"/>
    <w:rsid w:val="35C87219"/>
    <w:rsid w:val="35D53940"/>
    <w:rsid w:val="35D96401"/>
    <w:rsid w:val="35DE1F6D"/>
    <w:rsid w:val="35DF0F54"/>
    <w:rsid w:val="35E044BE"/>
    <w:rsid w:val="35F249AB"/>
    <w:rsid w:val="35F9152F"/>
    <w:rsid w:val="35FB4374"/>
    <w:rsid w:val="36004C81"/>
    <w:rsid w:val="36020E24"/>
    <w:rsid w:val="3604003B"/>
    <w:rsid w:val="361527A9"/>
    <w:rsid w:val="36191A1A"/>
    <w:rsid w:val="36192A7D"/>
    <w:rsid w:val="361C2879"/>
    <w:rsid w:val="36207CDC"/>
    <w:rsid w:val="36244009"/>
    <w:rsid w:val="36272CED"/>
    <w:rsid w:val="36291E89"/>
    <w:rsid w:val="362C7821"/>
    <w:rsid w:val="363206E4"/>
    <w:rsid w:val="36355ECD"/>
    <w:rsid w:val="363E6FA8"/>
    <w:rsid w:val="36413F0E"/>
    <w:rsid w:val="364C3B1F"/>
    <w:rsid w:val="364E12B3"/>
    <w:rsid w:val="36534CBD"/>
    <w:rsid w:val="36585279"/>
    <w:rsid w:val="365C2BCF"/>
    <w:rsid w:val="365F4C30"/>
    <w:rsid w:val="36650F62"/>
    <w:rsid w:val="366B65AC"/>
    <w:rsid w:val="366E715B"/>
    <w:rsid w:val="36743B46"/>
    <w:rsid w:val="36795BCA"/>
    <w:rsid w:val="367E7F53"/>
    <w:rsid w:val="36803522"/>
    <w:rsid w:val="3683106D"/>
    <w:rsid w:val="3683427F"/>
    <w:rsid w:val="3686557F"/>
    <w:rsid w:val="368A75CD"/>
    <w:rsid w:val="368B28AF"/>
    <w:rsid w:val="36934290"/>
    <w:rsid w:val="36977B2E"/>
    <w:rsid w:val="369D6398"/>
    <w:rsid w:val="36A47D6D"/>
    <w:rsid w:val="36A529DB"/>
    <w:rsid w:val="36A808B8"/>
    <w:rsid w:val="36AE2183"/>
    <w:rsid w:val="36B23ED0"/>
    <w:rsid w:val="36B36FD1"/>
    <w:rsid w:val="36BB76D5"/>
    <w:rsid w:val="36BE29CA"/>
    <w:rsid w:val="36C05849"/>
    <w:rsid w:val="36C4281B"/>
    <w:rsid w:val="36CC1FA1"/>
    <w:rsid w:val="36CC47AC"/>
    <w:rsid w:val="36CD16E9"/>
    <w:rsid w:val="36D320A0"/>
    <w:rsid w:val="36D465A9"/>
    <w:rsid w:val="36D733AA"/>
    <w:rsid w:val="36E63C25"/>
    <w:rsid w:val="36E73850"/>
    <w:rsid w:val="36E93A74"/>
    <w:rsid w:val="36EA4205"/>
    <w:rsid w:val="36EF0F1F"/>
    <w:rsid w:val="36F5486E"/>
    <w:rsid w:val="36F84530"/>
    <w:rsid w:val="36FA3AAE"/>
    <w:rsid w:val="36FC087B"/>
    <w:rsid w:val="36FE4957"/>
    <w:rsid w:val="36FF6EEF"/>
    <w:rsid w:val="37012AB3"/>
    <w:rsid w:val="370B6256"/>
    <w:rsid w:val="370F446D"/>
    <w:rsid w:val="370F7E76"/>
    <w:rsid w:val="371312A9"/>
    <w:rsid w:val="3714695E"/>
    <w:rsid w:val="3715066D"/>
    <w:rsid w:val="371A4610"/>
    <w:rsid w:val="371A602D"/>
    <w:rsid w:val="37201D38"/>
    <w:rsid w:val="372442CC"/>
    <w:rsid w:val="372472E5"/>
    <w:rsid w:val="37290271"/>
    <w:rsid w:val="37371C9C"/>
    <w:rsid w:val="373725AE"/>
    <w:rsid w:val="373728CD"/>
    <w:rsid w:val="373B162B"/>
    <w:rsid w:val="373D5374"/>
    <w:rsid w:val="37423F06"/>
    <w:rsid w:val="37481FA2"/>
    <w:rsid w:val="374B64EB"/>
    <w:rsid w:val="3758143F"/>
    <w:rsid w:val="375B4DE1"/>
    <w:rsid w:val="375E22D6"/>
    <w:rsid w:val="376A4B2C"/>
    <w:rsid w:val="376B4AE3"/>
    <w:rsid w:val="376C30AA"/>
    <w:rsid w:val="377650C4"/>
    <w:rsid w:val="377D64A4"/>
    <w:rsid w:val="37826F63"/>
    <w:rsid w:val="37877238"/>
    <w:rsid w:val="378E4FD5"/>
    <w:rsid w:val="37942B39"/>
    <w:rsid w:val="37A04966"/>
    <w:rsid w:val="37A40E8B"/>
    <w:rsid w:val="37AD2B13"/>
    <w:rsid w:val="37BD6442"/>
    <w:rsid w:val="37BE18E5"/>
    <w:rsid w:val="37C37C1C"/>
    <w:rsid w:val="37CE2B23"/>
    <w:rsid w:val="37CF4AD9"/>
    <w:rsid w:val="37D07EAA"/>
    <w:rsid w:val="37DF24E7"/>
    <w:rsid w:val="37E27B5D"/>
    <w:rsid w:val="37E27BC9"/>
    <w:rsid w:val="37EA017C"/>
    <w:rsid w:val="37EC2AAF"/>
    <w:rsid w:val="37EC5D42"/>
    <w:rsid w:val="37F03EA3"/>
    <w:rsid w:val="37F07FDA"/>
    <w:rsid w:val="37F410B5"/>
    <w:rsid w:val="37F75501"/>
    <w:rsid w:val="37F93AA0"/>
    <w:rsid w:val="37FE20C7"/>
    <w:rsid w:val="3804730B"/>
    <w:rsid w:val="380706FA"/>
    <w:rsid w:val="3807713A"/>
    <w:rsid w:val="380B0962"/>
    <w:rsid w:val="381421AB"/>
    <w:rsid w:val="3815562E"/>
    <w:rsid w:val="381E465A"/>
    <w:rsid w:val="38214BD7"/>
    <w:rsid w:val="38224AA2"/>
    <w:rsid w:val="38290F32"/>
    <w:rsid w:val="382B4E28"/>
    <w:rsid w:val="382B7542"/>
    <w:rsid w:val="3830122E"/>
    <w:rsid w:val="384C6899"/>
    <w:rsid w:val="384E4C6F"/>
    <w:rsid w:val="38691930"/>
    <w:rsid w:val="386C11B8"/>
    <w:rsid w:val="386F447F"/>
    <w:rsid w:val="38712CDA"/>
    <w:rsid w:val="38751C45"/>
    <w:rsid w:val="3877225A"/>
    <w:rsid w:val="387B7013"/>
    <w:rsid w:val="38894F0B"/>
    <w:rsid w:val="388B089F"/>
    <w:rsid w:val="388F5A37"/>
    <w:rsid w:val="38934AE0"/>
    <w:rsid w:val="38977DBF"/>
    <w:rsid w:val="389B5999"/>
    <w:rsid w:val="38A1340A"/>
    <w:rsid w:val="38A75E69"/>
    <w:rsid w:val="38B66376"/>
    <w:rsid w:val="38BA32B3"/>
    <w:rsid w:val="38BA7CFB"/>
    <w:rsid w:val="38BB68D2"/>
    <w:rsid w:val="38CE39A8"/>
    <w:rsid w:val="38D51738"/>
    <w:rsid w:val="38D734DD"/>
    <w:rsid w:val="38DF6194"/>
    <w:rsid w:val="38E02486"/>
    <w:rsid w:val="38E304D0"/>
    <w:rsid w:val="38E356B8"/>
    <w:rsid w:val="38E75891"/>
    <w:rsid w:val="38EB367A"/>
    <w:rsid w:val="38EC218C"/>
    <w:rsid w:val="38EC6E59"/>
    <w:rsid w:val="38ED7A87"/>
    <w:rsid w:val="38EE5959"/>
    <w:rsid w:val="38EF62C9"/>
    <w:rsid w:val="38EF7A13"/>
    <w:rsid w:val="38F061A6"/>
    <w:rsid w:val="38F13F58"/>
    <w:rsid w:val="38F42B69"/>
    <w:rsid w:val="38F47210"/>
    <w:rsid w:val="38FA19EC"/>
    <w:rsid w:val="39015276"/>
    <w:rsid w:val="39033E7D"/>
    <w:rsid w:val="390B44D8"/>
    <w:rsid w:val="390C1AE2"/>
    <w:rsid w:val="390C4D71"/>
    <w:rsid w:val="390E2106"/>
    <w:rsid w:val="3911482C"/>
    <w:rsid w:val="39124917"/>
    <w:rsid w:val="391B45D2"/>
    <w:rsid w:val="391E037A"/>
    <w:rsid w:val="3920228E"/>
    <w:rsid w:val="39267EC3"/>
    <w:rsid w:val="392F1F57"/>
    <w:rsid w:val="393E4F9C"/>
    <w:rsid w:val="39464E3F"/>
    <w:rsid w:val="39471B35"/>
    <w:rsid w:val="395A437F"/>
    <w:rsid w:val="3960010B"/>
    <w:rsid w:val="39635BF8"/>
    <w:rsid w:val="396752B2"/>
    <w:rsid w:val="39722B95"/>
    <w:rsid w:val="397505D1"/>
    <w:rsid w:val="39810814"/>
    <w:rsid w:val="398510FD"/>
    <w:rsid w:val="39851EE5"/>
    <w:rsid w:val="39872BA8"/>
    <w:rsid w:val="398849A4"/>
    <w:rsid w:val="399301E3"/>
    <w:rsid w:val="399738D3"/>
    <w:rsid w:val="39984C82"/>
    <w:rsid w:val="39997BA9"/>
    <w:rsid w:val="39A068B7"/>
    <w:rsid w:val="39A14E5E"/>
    <w:rsid w:val="39A62AAE"/>
    <w:rsid w:val="39B45646"/>
    <w:rsid w:val="39C42435"/>
    <w:rsid w:val="39CD072F"/>
    <w:rsid w:val="39CD7D97"/>
    <w:rsid w:val="39D23417"/>
    <w:rsid w:val="39D927E4"/>
    <w:rsid w:val="39DE21A4"/>
    <w:rsid w:val="39E67B72"/>
    <w:rsid w:val="39E83119"/>
    <w:rsid w:val="39E95CB3"/>
    <w:rsid w:val="39F11388"/>
    <w:rsid w:val="39F85BE8"/>
    <w:rsid w:val="39FD2BE0"/>
    <w:rsid w:val="3A022530"/>
    <w:rsid w:val="3A093AD0"/>
    <w:rsid w:val="3A0B3495"/>
    <w:rsid w:val="3A0D6E79"/>
    <w:rsid w:val="3A113AEA"/>
    <w:rsid w:val="3A187DCA"/>
    <w:rsid w:val="3A1A10DF"/>
    <w:rsid w:val="3A1C282A"/>
    <w:rsid w:val="3A223DB6"/>
    <w:rsid w:val="3A29301F"/>
    <w:rsid w:val="3A2956D7"/>
    <w:rsid w:val="3A2B7E4E"/>
    <w:rsid w:val="3A2E1604"/>
    <w:rsid w:val="3A390C1F"/>
    <w:rsid w:val="3A447B00"/>
    <w:rsid w:val="3A4C3392"/>
    <w:rsid w:val="3A4C56CC"/>
    <w:rsid w:val="3A5149A3"/>
    <w:rsid w:val="3A520985"/>
    <w:rsid w:val="3A5A53E7"/>
    <w:rsid w:val="3A6310D4"/>
    <w:rsid w:val="3A640FE3"/>
    <w:rsid w:val="3A645A7B"/>
    <w:rsid w:val="3A6839AC"/>
    <w:rsid w:val="3A6A40E5"/>
    <w:rsid w:val="3A6F1798"/>
    <w:rsid w:val="3A6F70A7"/>
    <w:rsid w:val="3A7264F8"/>
    <w:rsid w:val="3A735B9C"/>
    <w:rsid w:val="3A736185"/>
    <w:rsid w:val="3A744B94"/>
    <w:rsid w:val="3A756231"/>
    <w:rsid w:val="3A7913A9"/>
    <w:rsid w:val="3A797DB8"/>
    <w:rsid w:val="3A7A5917"/>
    <w:rsid w:val="3A7D78EE"/>
    <w:rsid w:val="3A8167B1"/>
    <w:rsid w:val="3A843338"/>
    <w:rsid w:val="3A8469D0"/>
    <w:rsid w:val="3A8D34BA"/>
    <w:rsid w:val="3A8F38E7"/>
    <w:rsid w:val="3A9C0015"/>
    <w:rsid w:val="3AA72A64"/>
    <w:rsid w:val="3AAE1F3C"/>
    <w:rsid w:val="3AB23D0B"/>
    <w:rsid w:val="3AB60F2E"/>
    <w:rsid w:val="3ABC22FE"/>
    <w:rsid w:val="3AD65F85"/>
    <w:rsid w:val="3AD85EE8"/>
    <w:rsid w:val="3ADB078E"/>
    <w:rsid w:val="3AE20A92"/>
    <w:rsid w:val="3AE561BA"/>
    <w:rsid w:val="3AE80953"/>
    <w:rsid w:val="3AE837D8"/>
    <w:rsid w:val="3AF23756"/>
    <w:rsid w:val="3AF42058"/>
    <w:rsid w:val="3AF63B9E"/>
    <w:rsid w:val="3AF75894"/>
    <w:rsid w:val="3AFB4DDF"/>
    <w:rsid w:val="3AFB7BF1"/>
    <w:rsid w:val="3B001804"/>
    <w:rsid w:val="3B0065DF"/>
    <w:rsid w:val="3B056853"/>
    <w:rsid w:val="3B056DBE"/>
    <w:rsid w:val="3B065F53"/>
    <w:rsid w:val="3B0A456A"/>
    <w:rsid w:val="3B116AA3"/>
    <w:rsid w:val="3B147315"/>
    <w:rsid w:val="3B1D5B57"/>
    <w:rsid w:val="3B2559C8"/>
    <w:rsid w:val="3B27618E"/>
    <w:rsid w:val="3B2F46E6"/>
    <w:rsid w:val="3B3A5FD6"/>
    <w:rsid w:val="3B3C670F"/>
    <w:rsid w:val="3B4340EA"/>
    <w:rsid w:val="3B452A79"/>
    <w:rsid w:val="3B453701"/>
    <w:rsid w:val="3B4570B4"/>
    <w:rsid w:val="3B4B59DA"/>
    <w:rsid w:val="3B525D88"/>
    <w:rsid w:val="3B610833"/>
    <w:rsid w:val="3B6157C0"/>
    <w:rsid w:val="3B660F16"/>
    <w:rsid w:val="3B6E0DCC"/>
    <w:rsid w:val="3B717E3E"/>
    <w:rsid w:val="3B7554C8"/>
    <w:rsid w:val="3B765593"/>
    <w:rsid w:val="3B7A5B38"/>
    <w:rsid w:val="3B7B1BA2"/>
    <w:rsid w:val="3B800A69"/>
    <w:rsid w:val="3B810C51"/>
    <w:rsid w:val="3B813314"/>
    <w:rsid w:val="3B833225"/>
    <w:rsid w:val="3B8D1A72"/>
    <w:rsid w:val="3B8E6F9B"/>
    <w:rsid w:val="3B9B1093"/>
    <w:rsid w:val="3BA31E83"/>
    <w:rsid w:val="3BA32C6E"/>
    <w:rsid w:val="3BA61646"/>
    <w:rsid w:val="3BA625BC"/>
    <w:rsid w:val="3BB01313"/>
    <w:rsid w:val="3BB359CF"/>
    <w:rsid w:val="3BB42BA0"/>
    <w:rsid w:val="3BB73093"/>
    <w:rsid w:val="3BBA7B93"/>
    <w:rsid w:val="3BC42B06"/>
    <w:rsid w:val="3BC8218F"/>
    <w:rsid w:val="3BD252A2"/>
    <w:rsid w:val="3BD85B94"/>
    <w:rsid w:val="3BDA57F0"/>
    <w:rsid w:val="3BDB6A22"/>
    <w:rsid w:val="3BDF07FA"/>
    <w:rsid w:val="3BDF0A62"/>
    <w:rsid w:val="3BE3767F"/>
    <w:rsid w:val="3BE80DE5"/>
    <w:rsid w:val="3BE87609"/>
    <w:rsid w:val="3BE94EC2"/>
    <w:rsid w:val="3BF25588"/>
    <w:rsid w:val="3BF47F24"/>
    <w:rsid w:val="3BF74BF7"/>
    <w:rsid w:val="3BFA1D9E"/>
    <w:rsid w:val="3C015B8B"/>
    <w:rsid w:val="3C05420F"/>
    <w:rsid w:val="3C054F31"/>
    <w:rsid w:val="3C0B137B"/>
    <w:rsid w:val="3C0B3672"/>
    <w:rsid w:val="3C0D5E62"/>
    <w:rsid w:val="3C121BDA"/>
    <w:rsid w:val="3C14237F"/>
    <w:rsid w:val="3C147838"/>
    <w:rsid w:val="3C182D2A"/>
    <w:rsid w:val="3C266697"/>
    <w:rsid w:val="3C2C0930"/>
    <w:rsid w:val="3C2D45C7"/>
    <w:rsid w:val="3C2E6C3B"/>
    <w:rsid w:val="3C411A65"/>
    <w:rsid w:val="3C41460F"/>
    <w:rsid w:val="3C4364F4"/>
    <w:rsid w:val="3C490809"/>
    <w:rsid w:val="3C4A448E"/>
    <w:rsid w:val="3C4D6AD4"/>
    <w:rsid w:val="3C4E5F9A"/>
    <w:rsid w:val="3C5A7F5C"/>
    <w:rsid w:val="3C6352D2"/>
    <w:rsid w:val="3C69593B"/>
    <w:rsid w:val="3C7A24D7"/>
    <w:rsid w:val="3C7C02BE"/>
    <w:rsid w:val="3C8563F0"/>
    <w:rsid w:val="3C873057"/>
    <w:rsid w:val="3C8A14B4"/>
    <w:rsid w:val="3C9C5CEB"/>
    <w:rsid w:val="3CA26F60"/>
    <w:rsid w:val="3CA82E64"/>
    <w:rsid w:val="3CAC1845"/>
    <w:rsid w:val="3CAF1C39"/>
    <w:rsid w:val="3CB60AF6"/>
    <w:rsid w:val="3CB871CA"/>
    <w:rsid w:val="3CC70013"/>
    <w:rsid w:val="3CC91D0A"/>
    <w:rsid w:val="3CCC0017"/>
    <w:rsid w:val="3CD11CFA"/>
    <w:rsid w:val="3CD23EB4"/>
    <w:rsid w:val="3CD37D09"/>
    <w:rsid w:val="3CDC2CDE"/>
    <w:rsid w:val="3CDE06A1"/>
    <w:rsid w:val="3CE21F96"/>
    <w:rsid w:val="3CE32254"/>
    <w:rsid w:val="3CE44354"/>
    <w:rsid w:val="3CEF095E"/>
    <w:rsid w:val="3CF6334F"/>
    <w:rsid w:val="3CFA730C"/>
    <w:rsid w:val="3D000E72"/>
    <w:rsid w:val="3D0F67B8"/>
    <w:rsid w:val="3D175682"/>
    <w:rsid w:val="3D17660E"/>
    <w:rsid w:val="3D176D2F"/>
    <w:rsid w:val="3D1A33C1"/>
    <w:rsid w:val="3D1B0314"/>
    <w:rsid w:val="3D1B076B"/>
    <w:rsid w:val="3D1B4062"/>
    <w:rsid w:val="3D1C1880"/>
    <w:rsid w:val="3D29037D"/>
    <w:rsid w:val="3D347FCD"/>
    <w:rsid w:val="3D355955"/>
    <w:rsid w:val="3D3A2A2A"/>
    <w:rsid w:val="3D3F3DCD"/>
    <w:rsid w:val="3D4446BC"/>
    <w:rsid w:val="3D4503CC"/>
    <w:rsid w:val="3D454853"/>
    <w:rsid w:val="3D465537"/>
    <w:rsid w:val="3D4F58E0"/>
    <w:rsid w:val="3D50472E"/>
    <w:rsid w:val="3D51270F"/>
    <w:rsid w:val="3D5A0AB9"/>
    <w:rsid w:val="3D5B587B"/>
    <w:rsid w:val="3D620B07"/>
    <w:rsid w:val="3D665388"/>
    <w:rsid w:val="3D6B3851"/>
    <w:rsid w:val="3D6C18A8"/>
    <w:rsid w:val="3D6E1B04"/>
    <w:rsid w:val="3D723221"/>
    <w:rsid w:val="3D791370"/>
    <w:rsid w:val="3D7E5FB8"/>
    <w:rsid w:val="3D7F6168"/>
    <w:rsid w:val="3D804B77"/>
    <w:rsid w:val="3D827E15"/>
    <w:rsid w:val="3D885800"/>
    <w:rsid w:val="3D8A0C9D"/>
    <w:rsid w:val="3D8A731D"/>
    <w:rsid w:val="3D923BD2"/>
    <w:rsid w:val="3D93157E"/>
    <w:rsid w:val="3D936277"/>
    <w:rsid w:val="3D956849"/>
    <w:rsid w:val="3D9B380A"/>
    <w:rsid w:val="3D9C4A6B"/>
    <w:rsid w:val="3D9C4F0B"/>
    <w:rsid w:val="3DA325C0"/>
    <w:rsid w:val="3DB349AC"/>
    <w:rsid w:val="3DC42354"/>
    <w:rsid w:val="3DC9492F"/>
    <w:rsid w:val="3DD4028D"/>
    <w:rsid w:val="3DD47F74"/>
    <w:rsid w:val="3DD5295F"/>
    <w:rsid w:val="3DD607E3"/>
    <w:rsid w:val="3DDA147D"/>
    <w:rsid w:val="3DDD435C"/>
    <w:rsid w:val="3DDD54D4"/>
    <w:rsid w:val="3DDF2D5F"/>
    <w:rsid w:val="3DE229D4"/>
    <w:rsid w:val="3DE31572"/>
    <w:rsid w:val="3DE8490C"/>
    <w:rsid w:val="3DEA2B77"/>
    <w:rsid w:val="3DF92C10"/>
    <w:rsid w:val="3E013F51"/>
    <w:rsid w:val="3E0229D4"/>
    <w:rsid w:val="3E047322"/>
    <w:rsid w:val="3E073C7A"/>
    <w:rsid w:val="3E0879B9"/>
    <w:rsid w:val="3E0B2912"/>
    <w:rsid w:val="3E0B746B"/>
    <w:rsid w:val="3E0C5648"/>
    <w:rsid w:val="3E0F0DFB"/>
    <w:rsid w:val="3E0F2211"/>
    <w:rsid w:val="3E113A1D"/>
    <w:rsid w:val="3E305596"/>
    <w:rsid w:val="3E321E64"/>
    <w:rsid w:val="3E39770C"/>
    <w:rsid w:val="3E3D354C"/>
    <w:rsid w:val="3E431046"/>
    <w:rsid w:val="3E4A1B6D"/>
    <w:rsid w:val="3E4C5461"/>
    <w:rsid w:val="3E556C2E"/>
    <w:rsid w:val="3E590196"/>
    <w:rsid w:val="3E733D81"/>
    <w:rsid w:val="3E7868A8"/>
    <w:rsid w:val="3E792277"/>
    <w:rsid w:val="3E797769"/>
    <w:rsid w:val="3E7D4763"/>
    <w:rsid w:val="3E8711A8"/>
    <w:rsid w:val="3E8D11D7"/>
    <w:rsid w:val="3E904B6E"/>
    <w:rsid w:val="3E97387F"/>
    <w:rsid w:val="3E990CA8"/>
    <w:rsid w:val="3EA122CC"/>
    <w:rsid w:val="3EB1348A"/>
    <w:rsid w:val="3EB453E4"/>
    <w:rsid w:val="3EB56CAC"/>
    <w:rsid w:val="3EB656B0"/>
    <w:rsid w:val="3EB87BA7"/>
    <w:rsid w:val="3EBE56F7"/>
    <w:rsid w:val="3EC8277F"/>
    <w:rsid w:val="3EC87D98"/>
    <w:rsid w:val="3ED503AA"/>
    <w:rsid w:val="3ED60D0B"/>
    <w:rsid w:val="3EDC1997"/>
    <w:rsid w:val="3EE366E4"/>
    <w:rsid w:val="3EF3269A"/>
    <w:rsid w:val="3EFA0956"/>
    <w:rsid w:val="3EFB6321"/>
    <w:rsid w:val="3EFE7F2C"/>
    <w:rsid w:val="3F046C96"/>
    <w:rsid w:val="3F0A0DF5"/>
    <w:rsid w:val="3F0B34BF"/>
    <w:rsid w:val="3F0C4EF7"/>
    <w:rsid w:val="3F0E698C"/>
    <w:rsid w:val="3F0E6BD8"/>
    <w:rsid w:val="3F1625C7"/>
    <w:rsid w:val="3F207D44"/>
    <w:rsid w:val="3F2712EE"/>
    <w:rsid w:val="3F29101A"/>
    <w:rsid w:val="3F2A0203"/>
    <w:rsid w:val="3F2A7CF7"/>
    <w:rsid w:val="3F307AC0"/>
    <w:rsid w:val="3F3326F8"/>
    <w:rsid w:val="3F412CD3"/>
    <w:rsid w:val="3F423B0E"/>
    <w:rsid w:val="3F4867B5"/>
    <w:rsid w:val="3F55333D"/>
    <w:rsid w:val="3F5560F1"/>
    <w:rsid w:val="3F5C256D"/>
    <w:rsid w:val="3F5D0B27"/>
    <w:rsid w:val="3F5D7102"/>
    <w:rsid w:val="3F627F45"/>
    <w:rsid w:val="3F734587"/>
    <w:rsid w:val="3F7964B5"/>
    <w:rsid w:val="3F7D1E87"/>
    <w:rsid w:val="3F7E040A"/>
    <w:rsid w:val="3F7E20CE"/>
    <w:rsid w:val="3F7E67A1"/>
    <w:rsid w:val="3F876E08"/>
    <w:rsid w:val="3F9C2014"/>
    <w:rsid w:val="3FB03025"/>
    <w:rsid w:val="3FB12BD5"/>
    <w:rsid w:val="3FB17C9C"/>
    <w:rsid w:val="3FB80946"/>
    <w:rsid w:val="3FB80EFD"/>
    <w:rsid w:val="3FBC5822"/>
    <w:rsid w:val="3FBF14FF"/>
    <w:rsid w:val="3FC22FB9"/>
    <w:rsid w:val="3FC35B4F"/>
    <w:rsid w:val="3FC7540A"/>
    <w:rsid w:val="3FCC7E5D"/>
    <w:rsid w:val="3FCD0B22"/>
    <w:rsid w:val="3FCF534A"/>
    <w:rsid w:val="3FD7239D"/>
    <w:rsid w:val="3FE17341"/>
    <w:rsid w:val="3FE53918"/>
    <w:rsid w:val="3FE61219"/>
    <w:rsid w:val="3FEE4E91"/>
    <w:rsid w:val="3FF05E79"/>
    <w:rsid w:val="400D43F9"/>
    <w:rsid w:val="400E0F00"/>
    <w:rsid w:val="401253D8"/>
    <w:rsid w:val="401363B0"/>
    <w:rsid w:val="401E3B63"/>
    <w:rsid w:val="40255C18"/>
    <w:rsid w:val="402853F5"/>
    <w:rsid w:val="402A3185"/>
    <w:rsid w:val="402D630E"/>
    <w:rsid w:val="40362071"/>
    <w:rsid w:val="40376FAF"/>
    <w:rsid w:val="403A6F01"/>
    <w:rsid w:val="4046080C"/>
    <w:rsid w:val="40477CE0"/>
    <w:rsid w:val="405235AC"/>
    <w:rsid w:val="40551C8B"/>
    <w:rsid w:val="406139E2"/>
    <w:rsid w:val="40630E45"/>
    <w:rsid w:val="40695F1F"/>
    <w:rsid w:val="407006EC"/>
    <w:rsid w:val="40767B68"/>
    <w:rsid w:val="407B0B73"/>
    <w:rsid w:val="407F785E"/>
    <w:rsid w:val="40814DAD"/>
    <w:rsid w:val="408D3E49"/>
    <w:rsid w:val="408E4469"/>
    <w:rsid w:val="408E6654"/>
    <w:rsid w:val="409B392D"/>
    <w:rsid w:val="409B5056"/>
    <w:rsid w:val="409E7D06"/>
    <w:rsid w:val="40AD1AFC"/>
    <w:rsid w:val="40B12322"/>
    <w:rsid w:val="40B214B9"/>
    <w:rsid w:val="40B66293"/>
    <w:rsid w:val="40B874D3"/>
    <w:rsid w:val="40C03BC8"/>
    <w:rsid w:val="40C14AB2"/>
    <w:rsid w:val="40C926B3"/>
    <w:rsid w:val="40CD422A"/>
    <w:rsid w:val="40CD788E"/>
    <w:rsid w:val="40CF0431"/>
    <w:rsid w:val="40D11F33"/>
    <w:rsid w:val="40D52178"/>
    <w:rsid w:val="40D550BE"/>
    <w:rsid w:val="40E51744"/>
    <w:rsid w:val="40E61C65"/>
    <w:rsid w:val="40E67367"/>
    <w:rsid w:val="40EB2AE9"/>
    <w:rsid w:val="40EC0B09"/>
    <w:rsid w:val="40F12C85"/>
    <w:rsid w:val="40F432A2"/>
    <w:rsid w:val="40F91527"/>
    <w:rsid w:val="40FA6DB5"/>
    <w:rsid w:val="40FF1A75"/>
    <w:rsid w:val="41014EC4"/>
    <w:rsid w:val="41023462"/>
    <w:rsid w:val="41053AC9"/>
    <w:rsid w:val="41083832"/>
    <w:rsid w:val="411163EE"/>
    <w:rsid w:val="41127E1B"/>
    <w:rsid w:val="411A630D"/>
    <w:rsid w:val="411C5C4C"/>
    <w:rsid w:val="411E7C4B"/>
    <w:rsid w:val="41225724"/>
    <w:rsid w:val="41267B67"/>
    <w:rsid w:val="412E4336"/>
    <w:rsid w:val="412E7D4B"/>
    <w:rsid w:val="413657DF"/>
    <w:rsid w:val="41395D7E"/>
    <w:rsid w:val="413968E1"/>
    <w:rsid w:val="413C5E9F"/>
    <w:rsid w:val="41413C0A"/>
    <w:rsid w:val="41416F32"/>
    <w:rsid w:val="414368B0"/>
    <w:rsid w:val="41463286"/>
    <w:rsid w:val="414768D0"/>
    <w:rsid w:val="414E5F82"/>
    <w:rsid w:val="414F4203"/>
    <w:rsid w:val="41512B59"/>
    <w:rsid w:val="41540CAC"/>
    <w:rsid w:val="4159689D"/>
    <w:rsid w:val="41606AD7"/>
    <w:rsid w:val="41630510"/>
    <w:rsid w:val="416344DE"/>
    <w:rsid w:val="41660427"/>
    <w:rsid w:val="416649A0"/>
    <w:rsid w:val="416A042F"/>
    <w:rsid w:val="416B49E0"/>
    <w:rsid w:val="41767F6A"/>
    <w:rsid w:val="41847574"/>
    <w:rsid w:val="41854D0D"/>
    <w:rsid w:val="418B5509"/>
    <w:rsid w:val="41945FB2"/>
    <w:rsid w:val="41973F91"/>
    <w:rsid w:val="419B5B48"/>
    <w:rsid w:val="41A027A8"/>
    <w:rsid w:val="41A45A0E"/>
    <w:rsid w:val="41A6281C"/>
    <w:rsid w:val="41B21C0B"/>
    <w:rsid w:val="41C151E6"/>
    <w:rsid w:val="41C16A7E"/>
    <w:rsid w:val="41C441CD"/>
    <w:rsid w:val="41C90BDF"/>
    <w:rsid w:val="41CC1295"/>
    <w:rsid w:val="41CF1F84"/>
    <w:rsid w:val="41D14098"/>
    <w:rsid w:val="41E01E28"/>
    <w:rsid w:val="41E97431"/>
    <w:rsid w:val="41F07069"/>
    <w:rsid w:val="41F80A33"/>
    <w:rsid w:val="41F83881"/>
    <w:rsid w:val="41FA5B3A"/>
    <w:rsid w:val="41FE4949"/>
    <w:rsid w:val="41FE7E01"/>
    <w:rsid w:val="420E40B5"/>
    <w:rsid w:val="420F3DF7"/>
    <w:rsid w:val="42110E30"/>
    <w:rsid w:val="4216574C"/>
    <w:rsid w:val="421972E8"/>
    <w:rsid w:val="421C7CED"/>
    <w:rsid w:val="42201C8D"/>
    <w:rsid w:val="4222022A"/>
    <w:rsid w:val="42252394"/>
    <w:rsid w:val="42285C9F"/>
    <w:rsid w:val="422E3C86"/>
    <w:rsid w:val="422F4F26"/>
    <w:rsid w:val="423258F3"/>
    <w:rsid w:val="42335037"/>
    <w:rsid w:val="423533CA"/>
    <w:rsid w:val="4237292B"/>
    <w:rsid w:val="423C5B7D"/>
    <w:rsid w:val="42432326"/>
    <w:rsid w:val="424515E5"/>
    <w:rsid w:val="42523F42"/>
    <w:rsid w:val="42561F78"/>
    <w:rsid w:val="426721FC"/>
    <w:rsid w:val="42677C0A"/>
    <w:rsid w:val="42686FD0"/>
    <w:rsid w:val="427027CC"/>
    <w:rsid w:val="42707498"/>
    <w:rsid w:val="42794725"/>
    <w:rsid w:val="42796093"/>
    <w:rsid w:val="427A5E2E"/>
    <w:rsid w:val="427D2760"/>
    <w:rsid w:val="428373ED"/>
    <w:rsid w:val="42877975"/>
    <w:rsid w:val="42927325"/>
    <w:rsid w:val="429674D2"/>
    <w:rsid w:val="429949FA"/>
    <w:rsid w:val="429D4898"/>
    <w:rsid w:val="42A07800"/>
    <w:rsid w:val="42A11CB6"/>
    <w:rsid w:val="42A90543"/>
    <w:rsid w:val="42A91F80"/>
    <w:rsid w:val="42AB109C"/>
    <w:rsid w:val="42AC73B8"/>
    <w:rsid w:val="42AE6D49"/>
    <w:rsid w:val="42B36AE2"/>
    <w:rsid w:val="42B73A0B"/>
    <w:rsid w:val="42CB5DA9"/>
    <w:rsid w:val="42CC6012"/>
    <w:rsid w:val="42CE303B"/>
    <w:rsid w:val="42D46CE3"/>
    <w:rsid w:val="42DB5108"/>
    <w:rsid w:val="42E27E6E"/>
    <w:rsid w:val="42E60F6A"/>
    <w:rsid w:val="42E80753"/>
    <w:rsid w:val="42ED2030"/>
    <w:rsid w:val="42ED33FE"/>
    <w:rsid w:val="42EE3EF0"/>
    <w:rsid w:val="42EF74EF"/>
    <w:rsid w:val="42F016FB"/>
    <w:rsid w:val="42F276DA"/>
    <w:rsid w:val="42FE31E5"/>
    <w:rsid w:val="42FE62DE"/>
    <w:rsid w:val="43070B01"/>
    <w:rsid w:val="43077F4D"/>
    <w:rsid w:val="430E2045"/>
    <w:rsid w:val="430E5448"/>
    <w:rsid w:val="431071B4"/>
    <w:rsid w:val="431406B3"/>
    <w:rsid w:val="4314590F"/>
    <w:rsid w:val="431A124B"/>
    <w:rsid w:val="431B2968"/>
    <w:rsid w:val="43247A3C"/>
    <w:rsid w:val="43290047"/>
    <w:rsid w:val="43325313"/>
    <w:rsid w:val="433F131C"/>
    <w:rsid w:val="434427F9"/>
    <w:rsid w:val="434B56FF"/>
    <w:rsid w:val="434B7961"/>
    <w:rsid w:val="43650652"/>
    <w:rsid w:val="43657C28"/>
    <w:rsid w:val="436B502A"/>
    <w:rsid w:val="436F5BD4"/>
    <w:rsid w:val="43750D34"/>
    <w:rsid w:val="43784833"/>
    <w:rsid w:val="437956D4"/>
    <w:rsid w:val="437B3008"/>
    <w:rsid w:val="43875E20"/>
    <w:rsid w:val="43882229"/>
    <w:rsid w:val="438E6C0F"/>
    <w:rsid w:val="439304C1"/>
    <w:rsid w:val="4393679B"/>
    <w:rsid w:val="43941F4E"/>
    <w:rsid w:val="4394623E"/>
    <w:rsid w:val="439B6D2D"/>
    <w:rsid w:val="439C6CCB"/>
    <w:rsid w:val="439C6D08"/>
    <w:rsid w:val="439E1C36"/>
    <w:rsid w:val="43A626DB"/>
    <w:rsid w:val="43A66B11"/>
    <w:rsid w:val="43AC036E"/>
    <w:rsid w:val="43B00161"/>
    <w:rsid w:val="43B219FE"/>
    <w:rsid w:val="43B310D5"/>
    <w:rsid w:val="43B43053"/>
    <w:rsid w:val="43B473EA"/>
    <w:rsid w:val="43B76FCC"/>
    <w:rsid w:val="43B77CCD"/>
    <w:rsid w:val="43B851BD"/>
    <w:rsid w:val="43B868C2"/>
    <w:rsid w:val="43B931BB"/>
    <w:rsid w:val="43C07573"/>
    <w:rsid w:val="43C5153F"/>
    <w:rsid w:val="43CD5968"/>
    <w:rsid w:val="43D040E8"/>
    <w:rsid w:val="43D666A2"/>
    <w:rsid w:val="43DA2319"/>
    <w:rsid w:val="43DF48B3"/>
    <w:rsid w:val="43E018B4"/>
    <w:rsid w:val="43E626C2"/>
    <w:rsid w:val="43ED5D5F"/>
    <w:rsid w:val="43EE1E37"/>
    <w:rsid w:val="43F34E19"/>
    <w:rsid w:val="43F43700"/>
    <w:rsid w:val="43F60514"/>
    <w:rsid w:val="43F776F7"/>
    <w:rsid w:val="43F92E20"/>
    <w:rsid w:val="43FA0706"/>
    <w:rsid w:val="44000C6B"/>
    <w:rsid w:val="440508DD"/>
    <w:rsid w:val="440B1556"/>
    <w:rsid w:val="440F3C95"/>
    <w:rsid w:val="441022B9"/>
    <w:rsid w:val="4411532F"/>
    <w:rsid w:val="44156A97"/>
    <w:rsid w:val="441A0C69"/>
    <w:rsid w:val="442235B1"/>
    <w:rsid w:val="44250B1C"/>
    <w:rsid w:val="442665BE"/>
    <w:rsid w:val="44282CF4"/>
    <w:rsid w:val="44376861"/>
    <w:rsid w:val="44391EFE"/>
    <w:rsid w:val="443D691B"/>
    <w:rsid w:val="444356FC"/>
    <w:rsid w:val="444410A6"/>
    <w:rsid w:val="444472E4"/>
    <w:rsid w:val="44454702"/>
    <w:rsid w:val="4450030D"/>
    <w:rsid w:val="445128E1"/>
    <w:rsid w:val="44530424"/>
    <w:rsid w:val="44534EB9"/>
    <w:rsid w:val="44561084"/>
    <w:rsid w:val="445649F1"/>
    <w:rsid w:val="4467729A"/>
    <w:rsid w:val="446A05DD"/>
    <w:rsid w:val="446D07FF"/>
    <w:rsid w:val="446F63C7"/>
    <w:rsid w:val="447236C5"/>
    <w:rsid w:val="44756D2F"/>
    <w:rsid w:val="44797BF8"/>
    <w:rsid w:val="447F5F53"/>
    <w:rsid w:val="448639C8"/>
    <w:rsid w:val="448917B4"/>
    <w:rsid w:val="448A6576"/>
    <w:rsid w:val="448D7AC4"/>
    <w:rsid w:val="448F518C"/>
    <w:rsid w:val="449A4990"/>
    <w:rsid w:val="449F5365"/>
    <w:rsid w:val="44A47519"/>
    <w:rsid w:val="44A60A54"/>
    <w:rsid w:val="44A77EFC"/>
    <w:rsid w:val="44AA1069"/>
    <w:rsid w:val="44AB4E55"/>
    <w:rsid w:val="44AB4EAA"/>
    <w:rsid w:val="44B52D77"/>
    <w:rsid w:val="44BB0EE1"/>
    <w:rsid w:val="44BF3905"/>
    <w:rsid w:val="44C442F0"/>
    <w:rsid w:val="44CD7DA7"/>
    <w:rsid w:val="44D5061C"/>
    <w:rsid w:val="44D53135"/>
    <w:rsid w:val="44DA29F7"/>
    <w:rsid w:val="44DF484E"/>
    <w:rsid w:val="44E0542B"/>
    <w:rsid w:val="44E0623D"/>
    <w:rsid w:val="44E0713A"/>
    <w:rsid w:val="44E6204B"/>
    <w:rsid w:val="44E62901"/>
    <w:rsid w:val="44E81CEF"/>
    <w:rsid w:val="44E96513"/>
    <w:rsid w:val="44EA5D4B"/>
    <w:rsid w:val="44EE35EE"/>
    <w:rsid w:val="44F823D3"/>
    <w:rsid w:val="44FD65CC"/>
    <w:rsid w:val="44FE65F6"/>
    <w:rsid w:val="4501431E"/>
    <w:rsid w:val="45042174"/>
    <w:rsid w:val="450D13CB"/>
    <w:rsid w:val="450E5A6E"/>
    <w:rsid w:val="45183DB1"/>
    <w:rsid w:val="451A7E4F"/>
    <w:rsid w:val="451D5B72"/>
    <w:rsid w:val="451E6025"/>
    <w:rsid w:val="4526448D"/>
    <w:rsid w:val="45300159"/>
    <w:rsid w:val="4531597B"/>
    <w:rsid w:val="453904F2"/>
    <w:rsid w:val="4539335C"/>
    <w:rsid w:val="453A3623"/>
    <w:rsid w:val="453D78E6"/>
    <w:rsid w:val="454043FC"/>
    <w:rsid w:val="454A6902"/>
    <w:rsid w:val="4553250D"/>
    <w:rsid w:val="4556066D"/>
    <w:rsid w:val="45606B96"/>
    <w:rsid w:val="45621BB0"/>
    <w:rsid w:val="45622D38"/>
    <w:rsid w:val="456A5992"/>
    <w:rsid w:val="456E7536"/>
    <w:rsid w:val="456F0429"/>
    <w:rsid w:val="45721809"/>
    <w:rsid w:val="45810AC5"/>
    <w:rsid w:val="4584582D"/>
    <w:rsid w:val="458C3BA6"/>
    <w:rsid w:val="459007E1"/>
    <w:rsid w:val="45984800"/>
    <w:rsid w:val="45994DBE"/>
    <w:rsid w:val="459A46ED"/>
    <w:rsid w:val="459B26C5"/>
    <w:rsid w:val="459E6606"/>
    <w:rsid w:val="45A34024"/>
    <w:rsid w:val="45A61F9B"/>
    <w:rsid w:val="45A8275D"/>
    <w:rsid w:val="45A9108F"/>
    <w:rsid w:val="45B97132"/>
    <w:rsid w:val="45C054E8"/>
    <w:rsid w:val="45D26754"/>
    <w:rsid w:val="45D329EF"/>
    <w:rsid w:val="45D50F2A"/>
    <w:rsid w:val="45DA1BEC"/>
    <w:rsid w:val="45DC5F6C"/>
    <w:rsid w:val="45E62173"/>
    <w:rsid w:val="45E82A8F"/>
    <w:rsid w:val="45EB20E9"/>
    <w:rsid w:val="45F52076"/>
    <w:rsid w:val="45F83CBF"/>
    <w:rsid w:val="45FF2DC3"/>
    <w:rsid w:val="45FF6ED0"/>
    <w:rsid w:val="460654D5"/>
    <w:rsid w:val="46065F98"/>
    <w:rsid w:val="4608624A"/>
    <w:rsid w:val="460C180B"/>
    <w:rsid w:val="460C2B9C"/>
    <w:rsid w:val="46104233"/>
    <w:rsid w:val="46154E9C"/>
    <w:rsid w:val="46287C37"/>
    <w:rsid w:val="462F10F0"/>
    <w:rsid w:val="46361F7E"/>
    <w:rsid w:val="463833B1"/>
    <w:rsid w:val="464A2274"/>
    <w:rsid w:val="464F371A"/>
    <w:rsid w:val="465546CC"/>
    <w:rsid w:val="4656072E"/>
    <w:rsid w:val="46577A0C"/>
    <w:rsid w:val="46592443"/>
    <w:rsid w:val="466037D7"/>
    <w:rsid w:val="46640DB7"/>
    <w:rsid w:val="46646DE5"/>
    <w:rsid w:val="46690630"/>
    <w:rsid w:val="466B7E53"/>
    <w:rsid w:val="466E0329"/>
    <w:rsid w:val="466E476B"/>
    <w:rsid w:val="46742157"/>
    <w:rsid w:val="46792784"/>
    <w:rsid w:val="46822DDC"/>
    <w:rsid w:val="46843CC4"/>
    <w:rsid w:val="46865926"/>
    <w:rsid w:val="4687304E"/>
    <w:rsid w:val="468F653F"/>
    <w:rsid w:val="46934486"/>
    <w:rsid w:val="46964683"/>
    <w:rsid w:val="46991B15"/>
    <w:rsid w:val="46A20C49"/>
    <w:rsid w:val="46A846B3"/>
    <w:rsid w:val="46AA6E3C"/>
    <w:rsid w:val="46AC2B55"/>
    <w:rsid w:val="46AE370F"/>
    <w:rsid w:val="46AE6D64"/>
    <w:rsid w:val="46AF70D7"/>
    <w:rsid w:val="46B35346"/>
    <w:rsid w:val="46B55F5A"/>
    <w:rsid w:val="46B84ED6"/>
    <w:rsid w:val="46BF6361"/>
    <w:rsid w:val="46C06317"/>
    <w:rsid w:val="46C5077F"/>
    <w:rsid w:val="46C91B69"/>
    <w:rsid w:val="46D471B1"/>
    <w:rsid w:val="46D62D9B"/>
    <w:rsid w:val="46DF0140"/>
    <w:rsid w:val="46E579BD"/>
    <w:rsid w:val="46E62C2C"/>
    <w:rsid w:val="46EE1188"/>
    <w:rsid w:val="46EE70F1"/>
    <w:rsid w:val="47034913"/>
    <w:rsid w:val="47072063"/>
    <w:rsid w:val="470A188C"/>
    <w:rsid w:val="470B7999"/>
    <w:rsid w:val="470D0477"/>
    <w:rsid w:val="471E0C65"/>
    <w:rsid w:val="47355651"/>
    <w:rsid w:val="473D3B1C"/>
    <w:rsid w:val="473F021C"/>
    <w:rsid w:val="4741331D"/>
    <w:rsid w:val="474A5D8F"/>
    <w:rsid w:val="47516AC7"/>
    <w:rsid w:val="475315BB"/>
    <w:rsid w:val="47582DE1"/>
    <w:rsid w:val="475B3459"/>
    <w:rsid w:val="475F2D6A"/>
    <w:rsid w:val="476204E5"/>
    <w:rsid w:val="47657FF7"/>
    <w:rsid w:val="47713C6F"/>
    <w:rsid w:val="478538FE"/>
    <w:rsid w:val="478C78AE"/>
    <w:rsid w:val="47943581"/>
    <w:rsid w:val="479B28D0"/>
    <w:rsid w:val="479E0795"/>
    <w:rsid w:val="47A0109E"/>
    <w:rsid w:val="47A21685"/>
    <w:rsid w:val="47AD7374"/>
    <w:rsid w:val="47B52F6C"/>
    <w:rsid w:val="47BA0E61"/>
    <w:rsid w:val="47C268E3"/>
    <w:rsid w:val="47C45853"/>
    <w:rsid w:val="47D53FC8"/>
    <w:rsid w:val="47D66761"/>
    <w:rsid w:val="47D817E6"/>
    <w:rsid w:val="47E73A7A"/>
    <w:rsid w:val="47E92252"/>
    <w:rsid w:val="47E96C1B"/>
    <w:rsid w:val="47EE62C1"/>
    <w:rsid w:val="47F9057E"/>
    <w:rsid w:val="47F95C11"/>
    <w:rsid w:val="47FC1152"/>
    <w:rsid w:val="480034D2"/>
    <w:rsid w:val="480300A9"/>
    <w:rsid w:val="480B3CBA"/>
    <w:rsid w:val="480B7547"/>
    <w:rsid w:val="480E3923"/>
    <w:rsid w:val="48100CD5"/>
    <w:rsid w:val="48101AA5"/>
    <w:rsid w:val="48143A9F"/>
    <w:rsid w:val="481B200E"/>
    <w:rsid w:val="481E3513"/>
    <w:rsid w:val="48252844"/>
    <w:rsid w:val="48265076"/>
    <w:rsid w:val="48297858"/>
    <w:rsid w:val="482C41D7"/>
    <w:rsid w:val="482E1FEA"/>
    <w:rsid w:val="48356C86"/>
    <w:rsid w:val="483827F9"/>
    <w:rsid w:val="483B3AF5"/>
    <w:rsid w:val="483E4CDC"/>
    <w:rsid w:val="484D26F2"/>
    <w:rsid w:val="485478D0"/>
    <w:rsid w:val="485816C2"/>
    <w:rsid w:val="48601B0D"/>
    <w:rsid w:val="48613153"/>
    <w:rsid w:val="48694BFC"/>
    <w:rsid w:val="486F16F4"/>
    <w:rsid w:val="48886E76"/>
    <w:rsid w:val="488B7E3B"/>
    <w:rsid w:val="488C4BBC"/>
    <w:rsid w:val="48920A64"/>
    <w:rsid w:val="48927FDD"/>
    <w:rsid w:val="489815C3"/>
    <w:rsid w:val="489A40BE"/>
    <w:rsid w:val="48A365C2"/>
    <w:rsid w:val="48A4445C"/>
    <w:rsid w:val="48A74ABC"/>
    <w:rsid w:val="48AB6879"/>
    <w:rsid w:val="48B8145F"/>
    <w:rsid w:val="48B87031"/>
    <w:rsid w:val="48B975E8"/>
    <w:rsid w:val="48C525E7"/>
    <w:rsid w:val="48D02DFA"/>
    <w:rsid w:val="48D254DD"/>
    <w:rsid w:val="48D33621"/>
    <w:rsid w:val="48DC53C6"/>
    <w:rsid w:val="48E03F47"/>
    <w:rsid w:val="48E048BE"/>
    <w:rsid w:val="48F455D9"/>
    <w:rsid w:val="48F630A0"/>
    <w:rsid w:val="48FE365D"/>
    <w:rsid w:val="48FF3613"/>
    <w:rsid w:val="49022E1E"/>
    <w:rsid w:val="49052C3A"/>
    <w:rsid w:val="4906709D"/>
    <w:rsid w:val="490847B2"/>
    <w:rsid w:val="49117EB7"/>
    <w:rsid w:val="491B5141"/>
    <w:rsid w:val="49221EF3"/>
    <w:rsid w:val="492523A5"/>
    <w:rsid w:val="49263CE8"/>
    <w:rsid w:val="492B03AC"/>
    <w:rsid w:val="492C5BC2"/>
    <w:rsid w:val="492F6448"/>
    <w:rsid w:val="493654D2"/>
    <w:rsid w:val="49392F93"/>
    <w:rsid w:val="493C4E3E"/>
    <w:rsid w:val="493F46AE"/>
    <w:rsid w:val="4944579D"/>
    <w:rsid w:val="49461A42"/>
    <w:rsid w:val="494A62F3"/>
    <w:rsid w:val="494A7785"/>
    <w:rsid w:val="49517495"/>
    <w:rsid w:val="49556B1B"/>
    <w:rsid w:val="495D1634"/>
    <w:rsid w:val="49643656"/>
    <w:rsid w:val="496753CD"/>
    <w:rsid w:val="49683F16"/>
    <w:rsid w:val="496C1F95"/>
    <w:rsid w:val="496E7C99"/>
    <w:rsid w:val="49724868"/>
    <w:rsid w:val="49733198"/>
    <w:rsid w:val="49763075"/>
    <w:rsid w:val="49766393"/>
    <w:rsid w:val="49793037"/>
    <w:rsid w:val="49795031"/>
    <w:rsid w:val="497B40F9"/>
    <w:rsid w:val="497B4BC6"/>
    <w:rsid w:val="49882154"/>
    <w:rsid w:val="49A84DEB"/>
    <w:rsid w:val="49A96CB4"/>
    <w:rsid w:val="49AD33F8"/>
    <w:rsid w:val="49B10F5E"/>
    <w:rsid w:val="49B474E3"/>
    <w:rsid w:val="49B63626"/>
    <w:rsid w:val="49BD7208"/>
    <w:rsid w:val="49CC6D33"/>
    <w:rsid w:val="49CD3F8C"/>
    <w:rsid w:val="49D06FD0"/>
    <w:rsid w:val="49DC48BD"/>
    <w:rsid w:val="49E97894"/>
    <w:rsid w:val="49EA41B0"/>
    <w:rsid w:val="49EB1C11"/>
    <w:rsid w:val="49EB3F76"/>
    <w:rsid w:val="49ED405E"/>
    <w:rsid w:val="49EE406D"/>
    <w:rsid w:val="49F809C6"/>
    <w:rsid w:val="49F91D38"/>
    <w:rsid w:val="49FB087F"/>
    <w:rsid w:val="49FF0A09"/>
    <w:rsid w:val="4A03305F"/>
    <w:rsid w:val="4A061668"/>
    <w:rsid w:val="4A0A13C3"/>
    <w:rsid w:val="4A0C1434"/>
    <w:rsid w:val="4A0E4CA1"/>
    <w:rsid w:val="4A1F5622"/>
    <w:rsid w:val="4A204E61"/>
    <w:rsid w:val="4A20686C"/>
    <w:rsid w:val="4A2429C4"/>
    <w:rsid w:val="4A2E7B65"/>
    <w:rsid w:val="4A3904A0"/>
    <w:rsid w:val="4A416F68"/>
    <w:rsid w:val="4A483E93"/>
    <w:rsid w:val="4A4A7644"/>
    <w:rsid w:val="4A4D325D"/>
    <w:rsid w:val="4A502EEC"/>
    <w:rsid w:val="4A5448A6"/>
    <w:rsid w:val="4A5526B2"/>
    <w:rsid w:val="4A585566"/>
    <w:rsid w:val="4A5A5192"/>
    <w:rsid w:val="4A5E1585"/>
    <w:rsid w:val="4A617140"/>
    <w:rsid w:val="4A62741F"/>
    <w:rsid w:val="4A64766F"/>
    <w:rsid w:val="4A6A7073"/>
    <w:rsid w:val="4A6F5575"/>
    <w:rsid w:val="4A7D4D03"/>
    <w:rsid w:val="4A806167"/>
    <w:rsid w:val="4A85490E"/>
    <w:rsid w:val="4A893443"/>
    <w:rsid w:val="4A8D6A59"/>
    <w:rsid w:val="4A984EBA"/>
    <w:rsid w:val="4AA077A9"/>
    <w:rsid w:val="4AA427B7"/>
    <w:rsid w:val="4AB01104"/>
    <w:rsid w:val="4AB05887"/>
    <w:rsid w:val="4AC233BA"/>
    <w:rsid w:val="4AC77135"/>
    <w:rsid w:val="4ACA4223"/>
    <w:rsid w:val="4ACC3033"/>
    <w:rsid w:val="4ADD352B"/>
    <w:rsid w:val="4ADF6E5C"/>
    <w:rsid w:val="4AE64520"/>
    <w:rsid w:val="4AE90DC2"/>
    <w:rsid w:val="4AEB6F83"/>
    <w:rsid w:val="4AEC1387"/>
    <w:rsid w:val="4AF3647F"/>
    <w:rsid w:val="4AF91269"/>
    <w:rsid w:val="4AFC1731"/>
    <w:rsid w:val="4AFE2D46"/>
    <w:rsid w:val="4B000F68"/>
    <w:rsid w:val="4B02635B"/>
    <w:rsid w:val="4B047A40"/>
    <w:rsid w:val="4B0A317F"/>
    <w:rsid w:val="4B0E0A94"/>
    <w:rsid w:val="4B0F4399"/>
    <w:rsid w:val="4B136921"/>
    <w:rsid w:val="4B1B4316"/>
    <w:rsid w:val="4B23606E"/>
    <w:rsid w:val="4B256A31"/>
    <w:rsid w:val="4B2B1060"/>
    <w:rsid w:val="4B377EBE"/>
    <w:rsid w:val="4B39156F"/>
    <w:rsid w:val="4B3C23B1"/>
    <w:rsid w:val="4B423D0E"/>
    <w:rsid w:val="4B426464"/>
    <w:rsid w:val="4B442EC1"/>
    <w:rsid w:val="4B4517F0"/>
    <w:rsid w:val="4B464598"/>
    <w:rsid w:val="4B4C663A"/>
    <w:rsid w:val="4B5353F4"/>
    <w:rsid w:val="4B545D50"/>
    <w:rsid w:val="4B55662F"/>
    <w:rsid w:val="4B612ABD"/>
    <w:rsid w:val="4B640BD6"/>
    <w:rsid w:val="4B681B5B"/>
    <w:rsid w:val="4B715C8B"/>
    <w:rsid w:val="4B7B1170"/>
    <w:rsid w:val="4B7D0414"/>
    <w:rsid w:val="4B7E7DE4"/>
    <w:rsid w:val="4B894D09"/>
    <w:rsid w:val="4B8E5C15"/>
    <w:rsid w:val="4B9238BF"/>
    <w:rsid w:val="4BA40779"/>
    <w:rsid w:val="4BA7008B"/>
    <w:rsid w:val="4BA863D2"/>
    <w:rsid w:val="4BAD2417"/>
    <w:rsid w:val="4BB1134F"/>
    <w:rsid w:val="4BB20D3A"/>
    <w:rsid w:val="4BB22E91"/>
    <w:rsid w:val="4BB27974"/>
    <w:rsid w:val="4BB34525"/>
    <w:rsid w:val="4BBA6168"/>
    <w:rsid w:val="4BC14412"/>
    <w:rsid w:val="4BC70550"/>
    <w:rsid w:val="4BC81E13"/>
    <w:rsid w:val="4BC85E05"/>
    <w:rsid w:val="4BC90D8A"/>
    <w:rsid w:val="4BCC6683"/>
    <w:rsid w:val="4BD03E76"/>
    <w:rsid w:val="4BD05280"/>
    <w:rsid w:val="4BD341AB"/>
    <w:rsid w:val="4BD86D98"/>
    <w:rsid w:val="4BDF59DB"/>
    <w:rsid w:val="4BE26583"/>
    <w:rsid w:val="4BE9221D"/>
    <w:rsid w:val="4BE943A1"/>
    <w:rsid w:val="4BEC248F"/>
    <w:rsid w:val="4BF173FF"/>
    <w:rsid w:val="4BF34414"/>
    <w:rsid w:val="4BF36557"/>
    <w:rsid w:val="4BF425A3"/>
    <w:rsid w:val="4BF859FE"/>
    <w:rsid w:val="4BFA33EE"/>
    <w:rsid w:val="4BFA4AC4"/>
    <w:rsid w:val="4C011344"/>
    <w:rsid w:val="4C013CC3"/>
    <w:rsid w:val="4C0872D5"/>
    <w:rsid w:val="4C0F0910"/>
    <w:rsid w:val="4C120837"/>
    <w:rsid w:val="4C151BE6"/>
    <w:rsid w:val="4C1D5BF2"/>
    <w:rsid w:val="4C217379"/>
    <w:rsid w:val="4C235F6D"/>
    <w:rsid w:val="4C2662A1"/>
    <w:rsid w:val="4C2C3B80"/>
    <w:rsid w:val="4C34766B"/>
    <w:rsid w:val="4C382E91"/>
    <w:rsid w:val="4C395343"/>
    <w:rsid w:val="4C3F4060"/>
    <w:rsid w:val="4C4C5E5A"/>
    <w:rsid w:val="4C513F56"/>
    <w:rsid w:val="4C53206A"/>
    <w:rsid w:val="4C56505B"/>
    <w:rsid w:val="4C5C37F5"/>
    <w:rsid w:val="4C5C5183"/>
    <w:rsid w:val="4C5D3772"/>
    <w:rsid w:val="4C5F4229"/>
    <w:rsid w:val="4C5F5A6A"/>
    <w:rsid w:val="4C6009ED"/>
    <w:rsid w:val="4C6B23B9"/>
    <w:rsid w:val="4C6D4ECB"/>
    <w:rsid w:val="4C764040"/>
    <w:rsid w:val="4C7727CC"/>
    <w:rsid w:val="4C7868DE"/>
    <w:rsid w:val="4C7A5B00"/>
    <w:rsid w:val="4C8563B2"/>
    <w:rsid w:val="4C9574B4"/>
    <w:rsid w:val="4C992AE6"/>
    <w:rsid w:val="4CA73932"/>
    <w:rsid w:val="4CAA37EF"/>
    <w:rsid w:val="4CAF4359"/>
    <w:rsid w:val="4CB846B0"/>
    <w:rsid w:val="4CBC2389"/>
    <w:rsid w:val="4CBF07CC"/>
    <w:rsid w:val="4CC07E11"/>
    <w:rsid w:val="4CC52A50"/>
    <w:rsid w:val="4CC65679"/>
    <w:rsid w:val="4CCC3042"/>
    <w:rsid w:val="4CCD0A4D"/>
    <w:rsid w:val="4CCE2DA9"/>
    <w:rsid w:val="4CD04AD1"/>
    <w:rsid w:val="4CD51866"/>
    <w:rsid w:val="4CE63912"/>
    <w:rsid w:val="4CED7960"/>
    <w:rsid w:val="4CEE775F"/>
    <w:rsid w:val="4CF52899"/>
    <w:rsid w:val="4CFA4FB8"/>
    <w:rsid w:val="4D044C26"/>
    <w:rsid w:val="4D067D3B"/>
    <w:rsid w:val="4D0C7F6B"/>
    <w:rsid w:val="4D123B22"/>
    <w:rsid w:val="4D136105"/>
    <w:rsid w:val="4D1D6971"/>
    <w:rsid w:val="4D213508"/>
    <w:rsid w:val="4D23205D"/>
    <w:rsid w:val="4D240D02"/>
    <w:rsid w:val="4D255966"/>
    <w:rsid w:val="4D265A33"/>
    <w:rsid w:val="4D275571"/>
    <w:rsid w:val="4D28221E"/>
    <w:rsid w:val="4D294ABF"/>
    <w:rsid w:val="4D2A6193"/>
    <w:rsid w:val="4D32493B"/>
    <w:rsid w:val="4D3306A3"/>
    <w:rsid w:val="4D332B9E"/>
    <w:rsid w:val="4D374381"/>
    <w:rsid w:val="4D493BD2"/>
    <w:rsid w:val="4D4D475D"/>
    <w:rsid w:val="4D4F4A35"/>
    <w:rsid w:val="4D520CA9"/>
    <w:rsid w:val="4D5C73A1"/>
    <w:rsid w:val="4D643F7E"/>
    <w:rsid w:val="4D6838CB"/>
    <w:rsid w:val="4D6D261C"/>
    <w:rsid w:val="4D71035B"/>
    <w:rsid w:val="4D746DD5"/>
    <w:rsid w:val="4D773218"/>
    <w:rsid w:val="4D7C7027"/>
    <w:rsid w:val="4D8331FA"/>
    <w:rsid w:val="4D835D0A"/>
    <w:rsid w:val="4D863FCF"/>
    <w:rsid w:val="4D8B654E"/>
    <w:rsid w:val="4D8E116E"/>
    <w:rsid w:val="4D906F30"/>
    <w:rsid w:val="4D965288"/>
    <w:rsid w:val="4D9675E8"/>
    <w:rsid w:val="4D973718"/>
    <w:rsid w:val="4D9A5042"/>
    <w:rsid w:val="4D9C7AC6"/>
    <w:rsid w:val="4DA126F3"/>
    <w:rsid w:val="4DA75699"/>
    <w:rsid w:val="4DB519CB"/>
    <w:rsid w:val="4DB61909"/>
    <w:rsid w:val="4DBF55C0"/>
    <w:rsid w:val="4DC21731"/>
    <w:rsid w:val="4DC97D58"/>
    <w:rsid w:val="4DCA6230"/>
    <w:rsid w:val="4DCC1EA4"/>
    <w:rsid w:val="4DCC6294"/>
    <w:rsid w:val="4DCF296D"/>
    <w:rsid w:val="4DCF3F85"/>
    <w:rsid w:val="4DD00011"/>
    <w:rsid w:val="4DD0325A"/>
    <w:rsid w:val="4DD217A6"/>
    <w:rsid w:val="4DD477F8"/>
    <w:rsid w:val="4DD76823"/>
    <w:rsid w:val="4DDF01ED"/>
    <w:rsid w:val="4DE06E13"/>
    <w:rsid w:val="4DE548F5"/>
    <w:rsid w:val="4DE603FA"/>
    <w:rsid w:val="4DE66E63"/>
    <w:rsid w:val="4DE80BCC"/>
    <w:rsid w:val="4DF66CF7"/>
    <w:rsid w:val="4DF71029"/>
    <w:rsid w:val="4DF72EA8"/>
    <w:rsid w:val="4DF736E9"/>
    <w:rsid w:val="4DF92338"/>
    <w:rsid w:val="4DFB487C"/>
    <w:rsid w:val="4DFC6472"/>
    <w:rsid w:val="4DFE481B"/>
    <w:rsid w:val="4E007D98"/>
    <w:rsid w:val="4E0641CD"/>
    <w:rsid w:val="4E1117A7"/>
    <w:rsid w:val="4E154B01"/>
    <w:rsid w:val="4E167C6B"/>
    <w:rsid w:val="4E1B44C8"/>
    <w:rsid w:val="4E1F099B"/>
    <w:rsid w:val="4E2F4899"/>
    <w:rsid w:val="4E373A96"/>
    <w:rsid w:val="4E390989"/>
    <w:rsid w:val="4E3D215E"/>
    <w:rsid w:val="4E402984"/>
    <w:rsid w:val="4E427B75"/>
    <w:rsid w:val="4E456CF7"/>
    <w:rsid w:val="4E5451CB"/>
    <w:rsid w:val="4E5974B7"/>
    <w:rsid w:val="4E5B39DF"/>
    <w:rsid w:val="4E624B2A"/>
    <w:rsid w:val="4E6D17E5"/>
    <w:rsid w:val="4E7373DB"/>
    <w:rsid w:val="4E803928"/>
    <w:rsid w:val="4E834E0D"/>
    <w:rsid w:val="4E855A8D"/>
    <w:rsid w:val="4E897566"/>
    <w:rsid w:val="4E897C51"/>
    <w:rsid w:val="4E8A7102"/>
    <w:rsid w:val="4E8C110D"/>
    <w:rsid w:val="4E8E08D6"/>
    <w:rsid w:val="4E8F2D7A"/>
    <w:rsid w:val="4E992DE9"/>
    <w:rsid w:val="4E9B3A64"/>
    <w:rsid w:val="4EA1142B"/>
    <w:rsid w:val="4EA43BC6"/>
    <w:rsid w:val="4EB32EA9"/>
    <w:rsid w:val="4EB513EA"/>
    <w:rsid w:val="4EB94D60"/>
    <w:rsid w:val="4ECD0E56"/>
    <w:rsid w:val="4ED4297C"/>
    <w:rsid w:val="4EDA0B9B"/>
    <w:rsid w:val="4EE27DF5"/>
    <w:rsid w:val="4EE561A6"/>
    <w:rsid w:val="4EE57FCE"/>
    <w:rsid w:val="4EE74974"/>
    <w:rsid w:val="4EEB7161"/>
    <w:rsid w:val="4EEC71D6"/>
    <w:rsid w:val="4EED2019"/>
    <w:rsid w:val="4EFC6ACD"/>
    <w:rsid w:val="4F004102"/>
    <w:rsid w:val="4F037680"/>
    <w:rsid w:val="4F0D7E3C"/>
    <w:rsid w:val="4F145032"/>
    <w:rsid w:val="4F164766"/>
    <w:rsid w:val="4F1709B0"/>
    <w:rsid w:val="4F175411"/>
    <w:rsid w:val="4F212518"/>
    <w:rsid w:val="4F255C13"/>
    <w:rsid w:val="4F2A1E67"/>
    <w:rsid w:val="4F31025B"/>
    <w:rsid w:val="4F316029"/>
    <w:rsid w:val="4F336F33"/>
    <w:rsid w:val="4F364E08"/>
    <w:rsid w:val="4F372175"/>
    <w:rsid w:val="4F39719B"/>
    <w:rsid w:val="4F3A402D"/>
    <w:rsid w:val="4F425463"/>
    <w:rsid w:val="4F514125"/>
    <w:rsid w:val="4F564CC9"/>
    <w:rsid w:val="4F6323AB"/>
    <w:rsid w:val="4F677C06"/>
    <w:rsid w:val="4F6B360F"/>
    <w:rsid w:val="4F6B791B"/>
    <w:rsid w:val="4F6D127C"/>
    <w:rsid w:val="4F716C7A"/>
    <w:rsid w:val="4F7A0403"/>
    <w:rsid w:val="4F8F1EDB"/>
    <w:rsid w:val="4F9031C8"/>
    <w:rsid w:val="4F932273"/>
    <w:rsid w:val="4F987149"/>
    <w:rsid w:val="4F9D2523"/>
    <w:rsid w:val="4F9F5E29"/>
    <w:rsid w:val="4FA3657F"/>
    <w:rsid w:val="4FA464BB"/>
    <w:rsid w:val="4FA7132D"/>
    <w:rsid w:val="4FAF47D8"/>
    <w:rsid w:val="4FB17907"/>
    <w:rsid w:val="4FB61810"/>
    <w:rsid w:val="4FBB189C"/>
    <w:rsid w:val="4FBB2334"/>
    <w:rsid w:val="4FBB2997"/>
    <w:rsid w:val="4FBB7BA7"/>
    <w:rsid w:val="4FC51669"/>
    <w:rsid w:val="4FC73581"/>
    <w:rsid w:val="4FD0735B"/>
    <w:rsid w:val="4FD25AC1"/>
    <w:rsid w:val="4FDA2099"/>
    <w:rsid w:val="4FDF7818"/>
    <w:rsid w:val="4FE86518"/>
    <w:rsid w:val="4FEB6FD4"/>
    <w:rsid w:val="4FED45EA"/>
    <w:rsid w:val="4FED7241"/>
    <w:rsid w:val="4FEF533D"/>
    <w:rsid w:val="4FF4301A"/>
    <w:rsid w:val="4FF96423"/>
    <w:rsid w:val="4FFC45DE"/>
    <w:rsid w:val="4FFD07D3"/>
    <w:rsid w:val="4FFE23D2"/>
    <w:rsid w:val="4FFE4516"/>
    <w:rsid w:val="50031B62"/>
    <w:rsid w:val="500860DF"/>
    <w:rsid w:val="500A17D6"/>
    <w:rsid w:val="501837E8"/>
    <w:rsid w:val="502026EB"/>
    <w:rsid w:val="502B69E0"/>
    <w:rsid w:val="502F271D"/>
    <w:rsid w:val="502F784A"/>
    <w:rsid w:val="50301431"/>
    <w:rsid w:val="5030328D"/>
    <w:rsid w:val="50335183"/>
    <w:rsid w:val="50373E89"/>
    <w:rsid w:val="503B4E5F"/>
    <w:rsid w:val="504319EA"/>
    <w:rsid w:val="50472BEF"/>
    <w:rsid w:val="5051251E"/>
    <w:rsid w:val="50536ABA"/>
    <w:rsid w:val="50545F1C"/>
    <w:rsid w:val="50554B14"/>
    <w:rsid w:val="50594366"/>
    <w:rsid w:val="505C2547"/>
    <w:rsid w:val="505D591E"/>
    <w:rsid w:val="50730792"/>
    <w:rsid w:val="507E3831"/>
    <w:rsid w:val="50897263"/>
    <w:rsid w:val="508E1E88"/>
    <w:rsid w:val="50B44D2D"/>
    <w:rsid w:val="50B6699C"/>
    <w:rsid w:val="50BC2D18"/>
    <w:rsid w:val="50BC5CAF"/>
    <w:rsid w:val="50C1441B"/>
    <w:rsid w:val="50C64F0D"/>
    <w:rsid w:val="50CB4427"/>
    <w:rsid w:val="50D5278D"/>
    <w:rsid w:val="50D8798A"/>
    <w:rsid w:val="50D90D44"/>
    <w:rsid w:val="50DB10B2"/>
    <w:rsid w:val="50DD014E"/>
    <w:rsid w:val="50DE7253"/>
    <w:rsid w:val="50E12AA1"/>
    <w:rsid w:val="50E12CAF"/>
    <w:rsid w:val="50EA73AE"/>
    <w:rsid w:val="50ED7CD9"/>
    <w:rsid w:val="50F61864"/>
    <w:rsid w:val="50FB1699"/>
    <w:rsid w:val="51052E35"/>
    <w:rsid w:val="510A7971"/>
    <w:rsid w:val="510F188F"/>
    <w:rsid w:val="51104578"/>
    <w:rsid w:val="511057AD"/>
    <w:rsid w:val="511D528C"/>
    <w:rsid w:val="51211216"/>
    <w:rsid w:val="512C5FF9"/>
    <w:rsid w:val="5134432A"/>
    <w:rsid w:val="51345387"/>
    <w:rsid w:val="513B412B"/>
    <w:rsid w:val="51474695"/>
    <w:rsid w:val="514D38AE"/>
    <w:rsid w:val="515B6F75"/>
    <w:rsid w:val="515F5B4C"/>
    <w:rsid w:val="5160152A"/>
    <w:rsid w:val="51604EA1"/>
    <w:rsid w:val="51674012"/>
    <w:rsid w:val="51683979"/>
    <w:rsid w:val="5169092D"/>
    <w:rsid w:val="516A0414"/>
    <w:rsid w:val="516F75A3"/>
    <w:rsid w:val="517226F0"/>
    <w:rsid w:val="51770CA4"/>
    <w:rsid w:val="51794061"/>
    <w:rsid w:val="5179553C"/>
    <w:rsid w:val="51824B54"/>
    <w:rsid w:val="51825138"/>
    <w:rsid w:val="5183354D"/>
    <w:rsid w:val="51880D43"/>
    <w:rsid w:val="518B5AF5"/>
    <w:rsid w:val="518B78F0"/>
    <w:rsid w:val="51907559"/>
    <w:rsid w:val="519162BF"/>
    <w:rsid w:val="519716B3"/>
    <w:rsid w:val="519B5C01"/>
    <w:rsid w:val="51AB5A87"/>
    <w:rsid w:val="51B43752"/>
    <w:rsid w:val="51B47821"/>
    <w:rsid w:val="51BA41CF"/>
    <w:rsid w:val="51BE14DD"/>
    <w:rsid w:val="51BE7B76"/>
    <w:rsid w:val="51C05AAB"/>
    <w:rsid w:val="51C41D64"/>
    <w:rsid w:val="51D213FA"/>
    <w:rsid w:val="51D64118"/>
    <w:rsid w:val="51DB7BA9"/>
    <w:rsid w:val="51DF2E75"/>
    <w:rsid w:val="51E2642D"/>
    <w:rsid w:val="51E87B5A"/>
    <w:rsid w:val="51EB77DD"/>
    <w:rsid w:val="51F02D50"/>
    <w:rsid w:val="51FC3690"/>
    <w:rsid w:val="51FD0B2A"/>
    <w:rsid w:val="51FD3203"/>
    <w:rsid w:val="51FD5E72"/>
    <w:rsid w:val="5208143C"/>
    <w:rsid w:val="520B420E"/>
    <w:rsid w:val="520F5004"/>
    <w:rsid w:val="521068D7"/>
    <w:rsid w:val="521B6409"/>
    <w:rsid w:val="521E12D6"/>
    <w:rsid w:val="522012A9"/>
    <w:rsid w:val="522234B4"/>
    <w:rsid w:val="52236517"/>
    <w:rsid w:val="52302601"/>
    <w:rsid w:val="52307094"/>
    <w:rsid w:val="5234271C"/>
    <w:rsid w:val="523E4983"/>
    <w:rsid w:val="523F01F1"/>
    <w:rsid w:val="52467E8E"/>
    <w:rsid w:val="524C7C53"/>
    <w:rsid w:val="52501807"/>
    <w:rsid w:val="52524661"/>
    <w:rsid w:val="52581601"/>
    <w:rsid w:val="526372C4"/>
    <w:rsid w:val="526451F2"/>
    <w:rsid w:val="52663DA2"/>
    <w:rsid w:val="526F3D2B"/>
    <w:rsid w:val="5271206F"/>
    <w:rsid w:val="52715E4F"/>
    <w:rsid w:val="52734B6F"/>
    <w:rsid w:val="527A2B67"/>
    <w:rsid w:val="527A6C9F"/>
    <w:rsid w:val="527B459E"/>
    <w:rsid w:val="527C4A3A"/>
    <w:rsid w:val="527C4B84"/>
    <w:rsid w:val="527D236E"/>
    <w:rsid w:val="52867D8C"/>
    <w:rsid w:val="528961FA"/>
    <w:rsid w:val="5293373C"/>
    <w:rsid w:val="529906F6"/>
    <w:rsid w:val="52A41E30"/>
    <w:rsid w:val="52AE496B"/>
    <w:rsid w:val="52B15AEE"/>
    <w:rsid w:val="52B94D34"/>
    <w:rsid w:val="52BB6EA1"/>
    <w:rsid w:val="52BD2FBE"/>
    <w:rsid w:val="52BE360F"/>
    <w:rsid w:val="52C0001E"/>
    <w:rsid w:val="52C103B4"/>
    <w:rsid w:val="52C323D1"/>
    <w:rsid w:val="52C56591"/>
    <w:rsid w:val="52C94183"/>
    <w:rsid w:val="52D013D5"/>
    <w:rsid w:val="52D477E1"/>
    <w:rsid w:val="52E5361F"/>
    <w:rsid w:val="52EE2DAD"/>
    <w:rsid w:val="52F06DE9"/>
    <w:rsid w:val="52F53DC7"/>
    <w:rsid w:val="52FB1A8B"/>
    <w:rsid w:val="530B067B"/>
    <w:rsid w:val="530E486D"/>
    <w:rsid w:val="53141A8E"/>
    <w:rsid w:val="531879D2"/>
    <w:rsid w:val="53197FDB"/>
    <w:rsid w:val="532137D9"/>
    <w:rsid w:val="53215334"/>
    <w:rsid w:val="532642B5"/>
    <w:rsid w:val="532763C1"/>
    <w:rsid w:val="532C1C7D"/>
    <w:rsid w:val="533A2FD8"/>
    <w:rsid w:val="533C1CBE"/>
    <w:rsid w:val="533D36A8"/>
    <w:rsid w:val="533E3ACC"/>
    <w:rsid w:val="534258AD"/>
    <w:rsid w:val="53462E60"/>
    <w:rsid w:val="5347416B"/>
    <w:rsid w:val="535035C3"/>
    <w:rsid w:val="53560B70"/>
    <w:rsid w:val="53594500"/>
    <w:rsid w:val="535C0879"/>
    <w:rsid w:val="535F19CB"/>
    <w:rsid w:val="535F7688"/>
    <w:rsid w:val="53602093"/>
    <w:rsid w:val="53674466"/>
    <w:rsid w:val="5370080A"/>
    <w:rsid w:val="53795E7B"/>
    <w:rsid w:val="537B749F"/>
    <w:rsid w:val="537C684F"/>
    <w:rsid w:val="53842846"/>
    <w:rsid w:val="53853FE9"/>
    <w:rsid w:val="538F7BF4"/>
    <w:rsid w:val="53981886"/>
    <w:rsid w:val="53A007A5"/>
    <w:rsid w:val="53A65CF3"/>
    <w:rsid w:val="53AB0815"/>
    <w:rsid w:val="53AD01EC"/>
    <w:rsid w:val="53B76AFC"/>
    <w:rsid w:val="53C15472"/>
    <w:rsid w:val="53C3436F"/>
    <w:rsid w:val="53C44015"/>
    <w:rsid w:val="53C44E87"/>
    <w:rsid w:val="53CC0CFD"/>
    <w:rsid w:val="53CE787B"/>
    <w:rsid w:val="53DB0120"/>
    <w:rsid w:val="53E7760C"/>
    <w:rsid w:val="53EA783B"/>
    <w:rsid w:val="53EC5261"/>
    <w:rsid w:val="53EC7657"/>
    <w:rsid w:val="53F63D2B"/>
    <w:rsid w:val="53FA377C"/>
    <w:rsid w:val="540C670F"/>
    <w:rsid w:val="54111BDE"/>
    <w:rsid w:val="54132E2A"/>
    <w:rsid w:val="54146961"/>
    <w:rsid w:val="541A615A"/>
    <w:rsid w:val="541D0416"/>
    <w:rsid w:val="541E5972"/>
    <w:rsid w:val="542C3EAE"/>
    <w:rsid w:val="54331315"/>
    <w:rsid w:val="54395FE7"/>
    <w:rsid w:val="543B134E"/>
    <w:rsid w:val="543B3155"/>
    <w:rsid w:val="54402CE5"/>
    <w:rsid w:val="5446737B"/>
    <w:rsid w:val="5449093D"/>
    <w:rsid w:val="5460226B"/>
    <w:rsid w:val="5466564E"/>
    <w:rsid w:val="54724AA8"/>
    <w:rsid w:val="54787AB7"/>
    <w:rsid w:val="547D3B20"/>
    <w:rsid w:val="547D7D39"/>
    <w:rsid w:val="548463A3"/>
    <w:rsid w:val="548601E9"/>
    <w:rsid w:val="54890354"/>
    <w:rsid w:val="548B523B"/>
    <w:rsid w:val="54910D61"/>
    <w:rsid w:val="54942A53"/>
    <w:rsid w:val="549717EF"/>
    <w:rsid w:val="549C00FC"/>
    <w:rsid w:val="549C5189"/>
    <w:rsid w:val="54A7765B"/>
    <w:rsid w:val="54AD617C"/>
    <w:rsid w:val="54B16B3E"/>
    <w:rsid w:val="54B43469"/>
    <w:rsid w:val="54B81FA0"/>
    <w:rsid w:val="54B903ED"/>
    <w:rsid w:val="54BA2C5A"/>
    <w:rsid w:val="54BE58C1"/>
    <w:rsid w:val="54C314DA"/>
    <w:rsid w:val="54CD10D6"/>
    <w:rsid w:val="54D64681"/>
    <w:rsid w:val="54D73C51"/>
    <w:rsid w:val="54DD41D3"/>
    <w:rsid w:val="54E42F4C"/>
    <w:rsid w:val="54E50D99"/>
    <w:rsid w:val="54E51C6D"/>
    <w:rsid w:val="54E57C21"/>
    <w:rsid w:val="54E869B5"/>
    <w:rsid w:val="54E97EFE"/>
    <w:rsid w:val="54EA30A5"/>
    <w:rsid w:val="54EB5EE5"/>
    <w:rsid w:val="54FF115C"/>
    <w:rsid w:val="54FF47D6"/>
    <w:rsid w:val="55023120"/>
    <w:rsid w:val="55051E41"/>
    <w:rsid w:val="550679C2"/>
    <w:rsid w:val="550A346E"/>
    <w:rsid w:val="550D445B"/>
    <w:rsid w:val="551035CF"/>
    <w:rsid w:val="55120DA5"/>
    <w:rsid w:val="55192AD9"/>
    <w:rsid w:val="551D341D"/>
    <w:rsid w:val="55213E61"/>
    <w:rsid w:val="55260925"/>
    <w:rsid w:val="55264456"/>
    <w:rsid w:val="5531527C"/>
    <w:rsid w:val="55316C2E"/>
    <w:rsid w:val="553C4A8E"/>
    <w:rsid w:val="554053A6"/>
    <w:rsid w:val="55420BA7"/>
    <w:rsid w:val="55437154"/>
    <w:rsid w:val="554D25CC"/>
    <w:rsid w:val="554D7CEE"/>
    <w:rsid w:val="554F471D"/>
    <w:rsid w:val="55530693"/>
    <w:rsid w:val="555444AE"/>
    <w:rsid w:val="55642426"/>
    <w:rsid w:val="556D016D"/>
    <w:rsid w:val="556F620B"/>
    <w:rsid w:val="55737168"/>
    <w:rsid w:val="558253F5"/>
    <w:rsid w:val="55845C9F"/>
    <w:rsid w:val="559B4664"/>
    <w:rsid w:val="55A101DD"/>
    <w:rsid w:val="55A34EB3"/>
    <w:rsid w:val="55A968F4"/>
    <w:rsid w:val="55B52475"/>
    <w:rsid w:val="55B57A9B"/>
    <w:rsid w:val="55C033B6"/>
    <w:rsid w:val="55C471E2"/>
    <w:rsid w:val="55C751D1"/>
    <w:rsid w:val="55C835FD"/>
    <w:rsid w:val="55CA57A4"/>
    <w:rsid w:val="55CB6789"/>
    <w:rsid w:val="55CC1834"/>
    <w:rsid w:val="55DA59DF"/>
    <w:rsid w:val="55F842D8"/>
    <w:rsid w:val="55F857F3"/>
    <w:rsid w:val="55FB173E"/>
    <w:rsid w:val="55FC75B6"/>
    <w:rsid w:val="55FC75CE"/>
    <w:rsid w:val="55FD2AD0"/>
    <w:rsid w:val="55FE1A21"/>
    <w:rsid w:val="55FE72EB"/>
    <w:rsid w:val="55FF7A68"/>
    <w:rsid w:val="560121F7"/>
    <w:rsid w:val="560523D2"/>
    <w:rsid w:val="5605622E"/>
    <w:rsid w:val="56083638"/>
    <w:rsid w:val="560856BA"/>
    <w:rsid w:val="560926F9"/>
    <w:rsid w:val="560D35F6"/>
    <w:rsid w:val="56104CA4"/>
    <w:rsid w:val="5618328F"/>
    <w:rsid w:val="562373CF"/>
    <w:rsid w:val="56254812"/>
    <w:rsid w:val="562B410C"/>
    <w:rsid w:val="562E4000"/>
    <w:rsid w:val="56327C6D"/>
    <w:rsid w:val="563818BF"/>
    <w:rsid w:val="563B4C39"/>
    <w:rsid w:val="564373D8"/>
    <w:rsid w:val="56472BEA"/>
    <w:rsid w:val="56473EE5"/>
    <w:rsid w:val="565A26DD"/>
    <w:rsid w:val="566672FA"/>
    <w:rsid w:val="566C4BDA"/>
    <w:rsid w:val="56710052"/>
    <w:rsid w:val="56730D25"/>
    <w:rsid w:val="56730D9A"/>
    <w:rsid w:val="56794A10"/>
    <w:rsid w:val="567E6E65"/>
    <w:rsid w:val="56811261"/>
    <w:rsid w:val="568C072B"/>
    <w:rsid w:val="568C0E70"/>
    <w:rsid w:val="568D2AD3"/>
    <w:rsid w:val="568F115D"/>
    <w:rsid w:val="5690072F"/>
    <w:rsid w:val="56A91C76"/>
    <w:rsid w:val="56AD6F15"/>
    <w:rsid w:val="56BA7977"/>
    <w:rsid w:val="56BC5801"/>
    <w:rsid w:val="56BD5D14"/>
    <w:rsid w:val="56BF6517"/>
    <w:rsid w:val="56C20DE7"/>
    <w:rsid w:val="56C4310B"/>
    <w:rsid w:val="56C66A52"/>
    <w:rsid w:val="56D8092F"/>
    <w:rsid w:val="56D8486C"/>
    <w:rsid w:val="56DE26A3"/>
    <w:rsid w:val="56E02C97"/>
    <w:rsid w:val="56E0382B"/>
    <w:rsid w:val="56E25BD7"/>
    <w:rsid w:val="56E40687"/>
    <w:rsid w:val="56E822E6"/>
    <w:rsid w:val="56E83841"/>
    <w:rsid w:val="56ED004C"/>
    <w:rsid w:val="56F52FC7"/>
    <w:rsid w:val="56F54F7F"/>
    <w:rsid w:val="56FA718C"/>
    <w:rsid w:val="56FE290F"/>
    <w:rsid w:val="570037FA"/>
    <w:rsid w:val="57071473"/>
    <w:rsid w:val="570A01C3"/>
    <w:rsid w:val="5710154E"/>
    <w:rsid w:val="57116A00"/>
    <w:rsid w:val="57131CCD"/>
    <w:rsid w:val="571331B4"/>
    <w:rsid w:val="571478F1"/>
    <w:rsid w:val="57163E22"/>
    <w:rsid w:val="571C66B0"/>
    <w:rsid w:val="571D17D2"/>
    <w:rsid w:val="572158C9"/>
    <w:rsid w:val="5727138D"/>
    <w:rsid w:val="57277C80"/>
    <w:rsid w:val="57282DE2"/>
    <w:rsid w:val="573A529A"/>
    <w:rsid w:val="573E55FC"/>
    <w:rsid w:val="573F7AE4"/>
    <w:rsid w:val="5747212A"/>
    <w:rsid w:val="575135D0"/>
    <w:rsid w:val="57567941"/>
    <w:rsid w:val="57602736"/>
    <w:rsid w:val="577306AD"/>
    <w:rsid w:val="577C4DB5"/>
    <w:rsid w:val="577E5C04"/>
    <w:rsid w:val="578869B8"/>
    <w:rsid w:val="578E4B51"/>
    <w:rsid w:val="57911F4B"/>
    <w:rsid w:val="57930A30"/>
    <w:rsid w:val="579866AD"/>
    <w:rsid w:val="579C13F5"/>
    <w:rsid w:val="57A1565E"/>
    <w:rsid w:val="57AA226C"/>
    <w:rsid w:val="57AB29D0"/>
    <w:rsid w:val="57AB3443"/>
    <w:rsid w:val="57B422F7"/>
    <w:rsid w:val="57B96237"/>
    <w:rsid w:val="57BE7D37"/>
    <w:rsid w:val="57C729C2"/>
    <w:rsid w:val="57C85944"/>
    <w:rsid w:val="57CE5E7E"/>
    <w:rsid w:val="57D17EA4"/>
    <w:rsid w:val="57D51680"/>
    <w:rsid w:val="57D66260"/>
    <w:rsid w:val="57DB1FCB"/>
    <w:rsid w:val="57E04B9D"/>
    <w:rsid w:val="57E622DC"/>
    <w:rsid w:val="57E8487C"/>
    <w:rsid w:val="57EA6666"/>
    <w:rsid w:val="57EC1005"/>
    <w:rsid w:val="57F310E7"/>
    <w:rsid w:val="57FF38C8"/>
    <w:rsid w:val="58002BB3"/>
    <w:rsid w:val="58013066"/>
    <w:rsid w:val="58056758"/>
    <w:rsid w:val="580A7647"/>
    <w:rsid w:val="58163F1A"/>
    <w:rsid w:val="58211B6C"/>
    <w:rsid w:val="58246DBA"/>
    <w:rsid w:val="58250FE1"/>
    <w:rsid w:val="582B4710"/>
    <w:rsid w:val="58337C5E"/>
    <w:rsid w:val="583E34FA"/>
    <w:rsid w:val="58415CCD"/>
    <w:rsid w:val="584B0738"/>
    <w:rsid w:val="58592BBB"/>
    <w:rsid w:val="58597CB3"/>
    <w:rsid w:val="5860062E"/>
    <w:rsid w:val="5869259F"/>
    <w:rsid w:val="586A4B3F"/>
    <w:rsid w:val="58771BEC"/>
    <w:rsid w:val="58810DBE"/>
    <w:rsid w:val="588C2AD3"/>
    <w:rsid w:val="588C4896"/>
    <w:rsid w:val="58923812"/>
    <w:rsid w:val="58971EDE"/>
    <w:rsid w:val="58AA723E"/>
    <w:rsid w:val="58B05B4A"/>
    <w:rsid w:val="58B825EB"/>
    <w:rsid w:val="58C758DF"/>
    <w:rsid w:val="58E212E5"/>
    <w:rsid w:val="58E5059D"/>
    <w:rsid w:val="58EE2FD9"/>
    <w:rsid w:val="58F51BDC"/>
    <w:rsid w:val="58F75E22"/>
    <w:rsid w:val="59040C9F"/>
    <w:rsid w:val="590A195B"/>
    <w:rsid w:val="590C1130"/>
    <w:rsid w:val="591C036C"/>
    <w:rsid w:val="592A5745"/>
    <w:rsid w:val="59363447"/>
    <w:rsid w:val="593A54B4"/>
    <w:rsid w:val="593B5413"/>
    <w:rsid w:val="59411BE4"/>
    <w:rsid w:val="594232D1"/>
    <w:rsid w:val="59430F9F"/>
    <w:rsid w:val="59480C65"/>
    <w:rsid w:val="594A3A98"/>
    <w:rsid w:val="594B4EEC"/>
    <w:rsid w:val="59542010"/>
    <w:rsid w:val="595935D7"/>
    <w:rsid w:val="595C174C"/>
    <w:rsid w:val="59676576"/>
    <w:rsid w:val="596D0D0B"/>
    <w:rsid w:val="59715901"/>
    <w:rsid w:val="597225BC"/>
    <w:rsid w:val="597E6F28"/>
    <w:rsid w:val="597F0524"/>
    <w:rsid w:val="598551F0"/>
    <w:rsid w:val="598B3271"/>
    <w:rsid w:val="598C1F83"/>
    <w:rsid w:val="59A471FD"/>
    <w:rsid w:val="59A62CCD"/>
    <w:rsid w:val="59AF3720"/>
    <w:rsid w:val="59C51933"/>
    <w:rsid w:val="59C662C9"/>
    <w:rsid w:val="59D65364"/>
    <w:rsid w:val="59DA1FE8"/>
    <w:rsid w:val="59DA5280"/>
    <w:rsid w:val="59DB6CD0"/>
    <w:rsid w:val="59DD38F2"/>
    <w:rsid w:val="59DF6C6A"/>
    <w:rsid w:val="59DF7CAC"/>
    <w:rsid w:val="59E6029A"/>
    <w:rsid w:val="59EB4A90"/>
    <w:rsid w:val="59F0267D"/>
    <w:rsid w:val="59F13109"/>
    <w:rsid w:val="59F503BF"/>
    <w:rsid w:val="59FB45BA"/>
    <w:rsid w:val="59FE66AA"/>
    <w:rsid w:val="5A0B2937"/>
    <w:rsid w:val="5A0B6A09"/>
    <w:rsid w:val="5A13638E"/>
    <w:rsid w:val="5A152E96"/>
    <w:rsid w:val="5A1B5737"/>
    <w:rsid w:val="5A1E223C"/>
    <w:rsid w:val="5A242E87"/>
    <w:rsid w:val="5A2760C5"/>
    <w:rsid w:val="5A326377"/>
    <w:rsid w:val="5A3A2BF2"/>
    <w:rsid w:val="5A403526"/>
    <w:rsid w:val="5A4E04C5"/>
    <w:rsid w:val="5A523834"/>
    <w:rsid w:val="5A566236"/>
    <w:rsid w:val="5A5852DF"/>
    <w:rsid w:val="5A585632"/>
    <w:rsid w:val="5A5859FE"/>
    <w:rsid w:val="5A5A00BB"/>
    <w:rsid w:val="5A5D3286"/>
    <w:rsid w:val="5A5F59C8"/>
    <w:rsid w:val="5A606706"/>
    <w:rsid w:val="5A6564F7"/>
    <w:rsid w:val="5A6F48D6"/>
    <w:rsid w:val="5A700DDB"/>
    <w:rsid w:val="5A7919E2"/>
    <w:rsid w:val="5A7D1825"/>
    <w:rsid w:val="5A81213B"/>
    <w:rsid w:val="5A8E738C"/>
    <w:rsid w:val="5A8E7E72"/>
    <w:rsid w:val="5A941E82"/>
    <w:rsid w:val="5A9A47D3"/>
    <w:rsid w:val="5A9E1CDF"/>
    <w:rsid w:val="5A9E6CB0"/>
    <w:rsid w:val="5AA02B16"/>
    <w:rsid w:val="5AA70DE3"/>
    <w:rsid w:val="5AB82E23"/>
    <w:rsid w:val="5ABF2E0D"/>
    <w:rsid w:val="5AC06D3D"/>
    <w:rsid w:val="5AC643F8"/>
    <w:rsid w:val="5ACA5B13"/>
    <w:rsid w:val="5ACF42A5"/>
    <w:rsid w:val="5AD145E0"/>
    <w:rsid w:val="5AD84379"/>
    <w:rsid w:val="5AD93A31"/>
    <w:rsid w:val="5ADB5314"/>
    <w:rsid w:val="5ADD3032"/>
    <w:rsid w:val="5AE50A89"/>
    <w:rsid w:val="5AE84F4D"/>
    <w:rsid w:val="5AEA6207"/>
    <w:rsid w:val="5AEB7000"/>
    <w:rsid w:val="5AF710F1"/>
    <w:rsid w:val="5AF80C1C"/>
    <w:rsid w:val="5B040343"/>
    <w:rsid w:val="5B043542"/>
    <w:rsid w:val="5B0566AD"/>
    <w:rsid w:val="5B081DDC"/>
    <w:rsid w:val="5B120413"/>
    <w:rsid w:val="5B183F28"/>
    <w:rsid w:val="5B190114"/>
    <w:rsid w:val="5B204CEE"/>
    <w:rsid w:val="5B2542B1"/>
    <w:rsid w:val="5B2559E9"/>
    <w:rsid w:val="5B2B376B"/>
    <w:rsid w:val="5B325EC9"/>
    <w:rsid w:val="5B332897"/>
    <w:rsid w:val="5B3F28A0"/>
    <w:rsid w:val="5B4800AB"/>
    <w:rsid w:val="5B495E8B"/>
    <w:rsid w:val="5B521B28"/>
    <w:rsid w:val="5B59543F"/>
    <w:rsid w:val="5B633D6B"/>
    <w:rsid w:val="5B64412A"/>
    <w:rsid w:val="5B660DC4"/>
    <w:rsid w:val="5B671EA8"/>
    <w:rsid w:val="5B753957"/>
    <w:rsid w:val="5B777347"/>
    <w:rsid w:val="5B781921"/>
    <w:rsid w:val="5B7E617D"/>
    <w:rsid w:val="5B84167F"/>
    <w:rsid w:val="5B8421F9"/>
    <w:rsid w:val="5B8F3381"/>
    <w:rsid w:val="5B8F3FCB"/>
    <w:rsid w:val="5B9810F6"/>
    <w:rsid w:val="5B9E3E5F"/>
    <w:rsid w:val="5BA33305"/>
    <w:rsid w:val="5BA55667"/>
    <w:rsid w:val="5BBC312B"/>
    <w:rsid w:val="5BD01973"/>
    <w:rsid w:val="5BD27723"/>
    <w:rsid w:val="5BE82358"/>
    <w:rsid w:val="5BE93F6C"/>
    <w:rsid w:val="5BEF6400"/>
    <w:rsid w:val="5BF56E8F"/>
    <w:rsid w:val="5BF84BFF"/>
    <w:rsid w:val="5BF8618B"/>
    <w:rsid w:val="5BFA0908"/>
    <w:rsid w:val="5C0D1CBC"/>
    <w:rsid w:val="5C0D68F9"/>
    <w:rsid w:val="5C0E42C5"/>
    <w:rsid w:val="5C0F59D5"/>
    <w:rsid w:val="5C134FAF"/>
    <w:rsid w:val="5C184469"/>
    <w:rsid w:val="5C1B6D05"/>
    <w:rsid w:val="5C20246E"/>
    <w:rsid w:val="5C271D2C"/>
    <w:rsid w:val="5C34216D"/>
    <w:rsid w:val="5C3527D4"/>
    <w:rsid w:val="5C373789"/>
    <w:rsid w:val="5C3E5AD9"/>
    <w:rsid w:val="5C3F48B8"/>
    <w:rsid w:val="5C415A9C"/>
    <w:rsid w:val="5C482E67"/>
    <w:rsid w:val="5C4B7AA8"/>
    <w:rsid w:val="5C4D387C"/>
    <w:rsid w:val="5C4D7D95"/>
    <w:rsid w:val="5C4F5358"/>
    <w:rsid w:val="5C4F5D23"/>
    <w:rsid w:val="5C573379"/>
    <w:rsid w:val="5C5A767C"/>
    <w:rsid w:val="5C621988"/>
    <w:rsid w:val="5C64343E"/>
    <w:rsid w:val="5C6632C9"/>
    <w:rsid w:val="5C6850BE"/>
    <w:rsid w:val="5C6E6700"/>
    <w:rsid w:val="5C6F5AEE"/>
    <w:rsid w:val="5C742128"/>
    <w:rsid w:val="5C747B1B"/>
    <w:rsid w:val="5C757357"/>
    <w:rsid w:val="5C7B24AE"/>
    <w:rsid w:val="5C7B6E4B"/>
    <w:rsid w:val="5C7E29F1"/>
    <w:rsid w:val="5C85759A"/>
    <w:rsid w:val="5C9161D8"/>
    <w:rsid w:val="5C925055"/>
    <w:rsid w:val="5C986842"/>
    <w:rsid w:val="5CA178C3"/>
    <w:rsid w:val="5CA36D0C"/>
    <w:rsid w:val="5CA946AC"/>
    <w:rsid w:val="5CAC1998"/>
    <w:rsid w:val="5CAC6113"/>
    <w:rsid w:val="5CAE0827"/>
    <w:rsid w:val="5CAF09BE"/>
    <w:rsid w:val="5CB42DD9"/>
    <w:rsid w:val="5CB61716"/>
    <w:rsid w:val="5CBC3E18"/>
    <w:rsid w:val="5CBF0A34"/>
    <w:rsid w:val="5CC25F0D"/>
    <w:rsid w:val="5CCB7305"/>
    <w:rsid w:val="5CD06BA7"/>
    <w:rsid w:val="5CD21FF7"/>
    <w:rsid w:val="5CD234B8"/>
    <w:rsid w:val="5CD40530"/>
    <w:rsid w:val="5CD57B99"/>
    <w:rsid w:val="5CD65D84"/>
    <w:rsid w:val="5CD86933"/>
    <w:rsid w:val="5CDB42E8"/>
    <w:rsid w:val="5CDC5D78"/>
    <w:rsid w:val="5CEC03BA"/>
    <w:rsid w:val="5CF33318"/>
    <w:rsid w:val="5CF97C2A"/>
    <w:rsid w:val="5CFA66F6"/>
    <w:rsid w:val="5CFB6093"/>
    <w:rsid w:val="5D052215"/>
    <w:rsid w:val="5D1E28FF"/>
    <w:rsid w:val="5D221549"/>
    <w:rsid w:val="5D26703E"/>
    <w:rsid w:val="5D2D76B5"/>
    <w:rsid w:val="5D304E73"/>
    <w:rsid w:val="5D36126F"/>
    <w:rsid w:val="5D3614FF"/>
    <w:rsid w:val="5D3E4695"/>
    <w:rsid w:val="5D3E65B6"/>
    <w:rsid w:val="5D4E4792"/>
    <w:rsid w:val="5D505E7F"/>
    <w:rsid w:val="5D53265C"/>
    <w:rsid w:val="5D535585"/>
    <w:rsid w:val="5D555784"/>
    <w:rsid w:val="5D564011"/>
    <w:rsid w:val="5D5821FA"/>
    <w:rsid w:val="5D5E2E96"/>
    <w:rsid w:val="5D5E7374"/>
    <w:rsid w:val="5D646FB5"/>
    <w:rsid w:val="5D653092"/>
    <w:rsid w:val="5D6D0F6B"/>
    <w:rsid w:val="5D6F4DB9"/>
    <w:rsid w:val="5D7008F0"/>
    <w:rsid w:val="5D7461ED"/>
    <w:rsid w:val="5D7767DA"/>
    <w:rsid w:val="5D81316C"/>
    <w:rsid w:val="5D860423"/>
    <w:rsid w:val="5D8B5D40"/>
    <w:rsid w:val="5D923DF6"/>
    <w:rsid w:val="5D9429BF"/>
    <w:rsid w:val="5D9E460C"/>
    <w:rsid w:val="5DA37A16"/>
    <w:rsid w:val="5DA71C37"/>
    <w:rsid w:val="5DA7628A"/>
    <w:rsid w:val="5DAB0E18"/>
    <w:rsid w:val="5DAD0F36"/>
    <w:rsid w:val="5DAD6987"/>
    <w:rsid w:val="5DAE5FB4"/>
    <w:rsid w:val="5DAE6E46"/>
    <w:rsid w:val="5DB13B87"/>
    <w:rsid w:val="5DB5639B"/>
    <w:rsid w:val="5DB62660"/>
    <w:rsid w:val="5DB95883"/>
    <w:rsid w:val="5DC17630"/>
    <w:rsid w:val="5DC44F32"/>
    <w:rsid w:val="5DC55E66"/>
    <w:rsid w:val="5DCB374B"/>
    <w:rsid w:val="5DD10FFC"/>
    <w:rsid w:val="5DD15184"/>
    <w:rsid w:val="5DD359F1"/>
    <w:rsid w:val="5DD370D6"/>
    <w:rsid w:val="5DD43396"/>
    <w:rsid w:val="5DD66419"/>
    <w:rsid w:val="5DDE4472"/>
    <w:rsid w:val="5DE77CF3"/>
    <w:rsid w:val="5DEA7708"/>
    <w:rsid w:val="5DEB02EB"/>
    <w:rsid w:val="5DED2F61"/>
    <w:rsid w:val="5DEE248E"/>
    <w:rsid w:val="5DF52985"/>
    <w:rsid w:val="5E0101F6"/>
    <w:rsid w:val="5E0848E5"/>
    <w:rsid w:val="5E123FDF"/>
    <w:rsid w:val="5E13427D"/>
    <w:rsid w:val="5E14021C"/>
    <w:rsid w:val="5E167D04"/>
    <w:rsid w:val="5E1A1A53"/>
    <w:rsid w:val="5E1B353D"/>
    <w:rsid w:val="5E1E7393"/>
    <w:rsid w:val="5E2410E2"/>
    <w:rsid w:val="5E257792"/>
    <w:rsid w:val="5E2915EF"/>
    <w:rsid w:val="5E2D3D29"/>
    <w:rsid w:val="5E456257"/>
    <w:rsid w:val="5E4802E5"/>
    <w:rsid w:val="5E4E3A5C"/>
    <w:rsid w:val="5E520053"/>
    <w:rsid w:val="5E575C93"/>
    <w:rsid w:val="5E5E2BC0"/>
    <w:rsid w:val="5E5E65DE"/>
    <w:rsid w:val="5E6650BE"/>
    <w:rsid w:val="5E6C4A4C"/>
    <w:rsid w:val="5E6F09DA"/>
    <w:rsid w:val="5E7468B2"/>
    <w:rsid w:val="5E74781D"/>
    <w:rsid w:val="5E7A2442"/>
    <w:rsid w:val="5E843146"/>
    <w:rsid w:val="5E857ACB"/>
    <w:rsid w:val="5E8808CC"/>
    <w:rsid w:val="5E8828C7"/>
    <w:rsid w:val="5E917A48"/>
    <w:rsid w:val="5E97541A"/>
    <w:rsid w:val="5E9C43FB"/>
    <w:rsid w:val="5E9C4C56"/>
    <w:rsid w:val="5EA03A7F"/>
    <w:rsid w:val="5EA22C6B"/>
    <w:rsid w:val="5EA37C40"/>
    <w:rsid w:val="5EA821C5"/>
    <w:rsid w:val="5EB06783"/>
    <w:rsid w:val="5EB3616F"/>
    <w:rsid w:val="5EB40D74"/>
    <w:rsid w:val="5EB62CB9"/>
    <w:rsid w:val="5EB63872"/>
    <w:rsid w:val="5EB95CA0"/>
    <w:rsid w:val="5EBA6A4C"/>
    <w:rsid w:val="5EBD3DD6"/>
    <w:rsid w:val="5EC3617C"/>
    <w:rsid w:val="5ECA61AF"/>
    <w:rsid w:val="5ECE6710"/>
    <w:rsid w:val="5ED10B7E"/>
    <w:rsid w:val="5ED152C7"/>
    <w:rsid w:val="5EDB1218"/>
    <w:rsid w:val="5EDE14E7"/>
    <w:rsid w:val="5EE04929"/>
    <w:rsid w:val="5EE07617"/>
    <w:rsid w:val="5EE15FFA"/>
    <w:rsid w:val="5EEE3675"/>
    <w:rsid w:val="5EF270CC"/>
    <w:rsid w:val="5EFC7806"/>
    <w:rsid w:val="5F0442BB"/>
    <w:rsid w:val="5F182752"/>
    <w:rsid w:val="5F1F0384"/>
    <w:rsid w:val="5F2031A1"/>
    <w:rsid w:val="5F206D33"/>
    <w:rsid w:val="5F211264"/>
    <w:rsid w:val="5F213B00"/>
    <w:rsid w:val="5F217648"/>
    <w:rsid w:val="5F3152BD"/>
    <w:rsid w:val="5F345639"/>
    <w:rsid w:val="5F4124CE"/>
    <w:rsid w:val="5F554CF2"/>
    <w:rsid w:val="5F577B76"/>
    <w:rsid w:val="5F5B11C4"/>
    <w:rsid w:val="5F602C06"/>
    <w:rsid w:val="5F664F5C"/>
    <w:rsid w:val="5F67114A"/>
    <w:rsid w:val="5F6803FC"/>
    <w:rsid w:val="5F68254E"/>
    <w:rsid w:val="5F6E2D4F"/>
    <w:rsid w:val="5F6F1E84"/>
    <w:rsid w:val="5F7537D2"/>
    <w:rsid w:val="5F75569A"/>
    <w:rsid w:val="5F760DA1"/>
    <w:rsid w:val="5F7925F4"/>
    <w:rsid w:val="5F797690"/>
    <w:rsid w:val="5F8052EE"/>
    <w:rsid w:val="5F82052C"/>
    <w:rsid w:val="5F8876AD"/>
    <w:rsid w:val="5F8A68DF"/>
    <w:rsid w:val="5F8E094D"/>
    <w:rsid w:val="5F9051A1"/>
    <w:rsid w:val="5F944A76"/>
    <w:rsid w:val="5F975B18"/>
    <w:rsid w:val="5F9A1F88"/>
    <w:rsid w:val="5F9E2199"/>
    <w:rsid w:val="5FA23604"/>
    <w:rsid w:val="5FA637F7"/>
    <w:rsid w:val="5FB10E49"/>
    <w:rsid w:val="5FBC324E"/>
    <w:rsid w:val="5FBD7452"/>
    <w:rsid w:val="5FBE6425"/>
    <w:rsid w:val="5FC655E4"/>
    <w:rsid w:val="5FCC3242"/>
    <w:rsid w:val="5FD35448"/>
    <w:rsid w:val="5FD75B40"/>
    <w:rsid w:val="5FDB53A9"/>
    <w:rsid w:val="5FDC42C7"/>
    <w:rsid w:val="5FDF7DD1"/>
    <w:rsid w:val="5FF06077"/>
    <w:rsid w:val="6000291C"/>
    <w:rsid w:val="600078D7"/>
    <w:rsid w:val="600225BA"/>
    <w:rsid w:val="60055CDD"/>
    <w:rsid w:val="60085FFE"/>
    <w:rsid w:val="600A4E36"/>
    <w:rsid w:val="600A7C66"/>
    <w:rsid w:val="600D5F4D"/>
    <w:rsid w:val="600E2084"/>
    <w:rsid w:val="60145159"/>
    <w:rsid w:val="601A4831"/>
    <w:rsid w:val="6021348D"/>
    <w:rsid w:val="602239B4"/>
    <w:rsid w:val="602E2215"/>
    <w:rsid w:val="602F2C21"/>
    <w:rsid w:val="60304EAD"/>
    <w:rsid w:val="60310F5E"/>
    <w:rsid w:val="6037255D"/>
    <w:rsid w:val="60545B82"/>
    <w:rsid w:val="605647F9"/>
    <w:rsid w:val="605860E9"/>
    <w:rsid w:val="60590412"/>
    <w:rsid w:val="605933E9"/>
    <w:rsid w:val="605C16F1"/>
    <w:rsid w:val="605F6935"/>
    <w:rsid w:val="606168BA"/>
    <w:rsid w:val="606B2DAF"/>
    <w:rsid w:val="606D5471"/>
    <w:rsid w:val="60781D63"/>
    <w:rsid w:val="607A283B"/>
    <w:rsid w:val="607A693F"/>
    <w:rsid w:val="607F50F0"/>
    <w:rsid w:val="60880F0D"/>
    <w:rsid w:val="60897FAC"/>
    <w:rsid w:val="608B2253"/>
    <w:rsid w:val="608B5D14"/>
    <w:rsid w:val="608F3E94"/>
    <w:rsid w:val="609043BB"/>
    <w:rsid w:val="60942905"/>
    <w:rsid w:val="60964D8C"/>
    <w:rsid w:val="609B7CD3"/>
    <w:rsid w:val="609C1472"/>
    <w:rsid w:val="60A139AB"/>
    <w:rsid w:val="60A80AF7"/>
    <w:rsid w:val="60A92F21"/>
    <w:rsid w:val="60AB0E13"/>
    <w:rsid w:val="60AC50B8"/>
    <w:rsid w:val="60B064FA"/>
    <w:rsid w:val="60B13A00"/>
    <w:rsid w:val="60B33107"/>
    <w:rsid w:val="60B63A99"/>
    <w:rsid w:val="60B8657C"/>
    <w:rsid w:val="60B959AC"/>
    <w:rsid w:val="60BD0DA8"/>
    <w:rsid w:val="60C21245"/>
    <w:rsid w:val="60C84B2B"/>
    <w:rsid w:val="60C960EE"/>
    <w:rsid w:val="60CD3F74"/>
    <w:rsid w:val="60DA59E5"/>
    <w:rsid w:val="60DB165A"/>
    <w:rsid w:val="60E07A83"/>
    <w:rsid w:val="60E279B2"/>
    <w:rsid w:val="60F71E66"/>
    <w:rsid w:val="60FE7EA9"/>
    <w:rsid w:val="60FF4C34"/>
    <w:rsid w:val="61000339"/>
    <w:rsid w:val="610C7A46"/>
    <w:rsid w:val="611A0761"/>
    <w:rsid w:val="611A2421"/>
    <w:rsid w:val="611C109A"/>
    <w:rsid w:val="61224800"/>
    <w:rsid w:val="612406F7"/>
    <w:rsid w:val="612777AE"/>
    <w:rsid w:val="612B23DC"/>
    <w:rsid w:val="612B478F"/>
    <w:rsid w:val="612B7D3D"/>
    <w:rsid w:val="612C7B4F"/>
    <w:rsid w:val="6131025F"/>
    <w:rsid w:val="61315045"/>
    <w:rsid w:val="61376576"/>
    <w:rsid w:val="61381805"/>
    <w:rsid w:val="613B2C8C"/>
    <w:rsid w:val="613E44C1"/>
    <w:rsid w:val="6142587F"/>
    <w:rsid w:val="61477BAD"/>
    <w:rsid w:val="614B5D47"/>
    <w:rsid w:val="614E561F"/>
    <w:rsid w:val="6154353F"/>
    <w:rsid w:val="6154788D"/>
    <w:rsid w:val="61584192"/>
    <w:rsid w:val="615C5318"/>
    <w:rsid w:val="616049DA"/>
    <w:rsid w:val="61635610"/>
    <w:rsid w:val="616E17D3"/>
    <w:rsid w:val="617457B4"/>
    <w:rsid w:val="617566F8"/>
    <w:rsid w:val="617641DC"/>
    <w:rsid w:val="61786CF4"/>
    <w:rsid w:val="61793E64"/>
    <w:rsid w:val="617F1050"/>
    <w:rsid w:val="617F2FCE"/>
    <w:rsid w:val="61840DCB"/>
    <w:rsid w:val="61846BBC"/>
    <w:rsid w:val="6186393C"/>
    <w:rsid w:val="61885BE0"/>
    <w:rsid w:val="61930BAD"/>
    <w:rsid w:val="619320C9"/>
    <w:rsid w:val="619B6FDA"/>
    <w:rsid w:val="619E5C92"/>
    <w:rsid w:val="61A9505D"/>
    <w:rsid w:val="61B076F0"/>
    <w:rsid w:val="61B466F9"/>
    <w:rsid w:val="61BA395A"/>
    <w:rsid w:val="61BF6EBD"/>
    <w:rsid w:val="61C02370"/>
    <w:rsid w:val="61D20CBB"/>
    <w:rsid w:val="61D337F3"/>
    <w:rsid w:val="61D42208"/>
    <w:rsid w:val="61D534E7"/>
    <w:rsid w:val="61D76CC1"/>
    <w:rsid w:val="61EA14A9"/>
    <w:rsid w:val="61EC3D17"/>
    <w:rsid w:val="61EC40F8"/>
    <w:rsid w:val="61EC5545"/>
    <w:rsid w:val="61FE56BB"/>
    <w:rsid w:val="62070CC1"/>
    <w:rsid w:val="62090DEA"/>
    <w:rsid w:val="621D394A"/>
    <w:rsid w:val="621E4ED7"/>
    <w:rsid w:val="621E5D8C"/>
    <w:rsid w:val="62250885"/>
    <w:rsid w:val="623C46D1"/>
    <w:rsid w:val="623D0373"/>
    <w:rsid w:val="6241571F"/>
    <w:rsid w:val="62432540"/>
    <w:rsid w:val="62464BF2"/>
    <w:rsid w:val="624917BF"/>
    <w:rsid w:val="624D79EF"/>
    <w:rsid w:val="624F6088"/>
    <w:rsid w:val="625B2DED"/>
    <w:rsid w:val="625B3BFE"/>
    <w:rsid w:val="625F10EE"/>
    <w:rsid w:val="626710A2"/>
    <w:rsid w:val="62682336"/>
    <w:rsid w:val="626D714D"/>
    <w:rsid w:val="627320D5"/>
    <w:rsid w:val="62780C09"/>
    <w:rsid w:val="627F2AD2"/>
    <w:rsid w:val="62827F50"/>
    <w:rsid w:val="628316EC"/>
    <w:rsid w:val="62831F57"/>
    <w:rsid w:val="62832F90"/>
    <w:rsid w:val="628343FA"/>
    <w:rsid w:val="62834982"/>
    <w:rsid w:val="6287475A"/>
    <w:rsid w:val="628C7F52"/>
    <w:rsid w:val="629A631F"/>
    <w:rsid w:val="62A423DF"/>
    <w:rsid w:val="62A4262D"/>
    <w:rsid w:val="62A6600B"/>
    <w:rsid w:val="62A8443D"/>
    <w:rsid w:val="62AC27DA"/>
    <w:rsid w:val="62AF4C6E"/>
    <w:rsid w:val="62B65C78"/>
    <w:rsid w:val="62B80183"/>
    <w:rsid w:val="62BC38D6"/>
    <w:rsid w:val="62C54A13"/>
    <w:rsid w:val="62C574D2"/>
    <w:rsid w:val="62C75F60"/>
    <w:rsid w:val="62C855B9"/>
    <w:rsid w:val="62D3286D"/>
    <w:rsid w:val="62D51CD7"/>
    <w:rsid w:val="62E50B71"/>
    <w:rsid w:val="62E55F14"/>
    <w:rsid w:val="62ED3078"/>
    <w:rsid w:val="62EF6D8D"/>
    <w:rsid w:val="62F125C9"/>
    <w:rsid w:val="62F90156"/>
    <w:rsid w:val="630543B3"/>
    <w:rsid w:val="63061EA5"/>
    <w:rsid w:val="630905A4"/>
    <w:rsid w:val="631343EE"/>
    <w:rsid w:val="631C2A0A"/>
    <w:rsid w:val="631C6480"/>
    <w:rsid w:val="631D3BD9"/>
    <w:rsid w:val="63227ACF"/>
    <w:rsid w:val="63275C4A"/>
    <w:rsid w:val="63286F5E"/>
    <w:rsid w:val="63293D5C"/>
    <w:rsid w:val="63344821"/>
    <w:rsid w:val="63473452"/>
    <w:rsid w:val="634750BC"/>
    <w:rsid w:val="634C3801"/>
    <w:rsid w:val="634D5FBD"/>
    <w:rsid w:val="63521168"/>
    <w:rsid w:val="6365765A"/>
    <w:rsid w:val="636A3072"/>
    <w:rsid w:val="6373587F"/>
    <w:rsid w:val="63805021"/>
    <w:rsid w:val="638139D7"/>
    <w:rsid w:val="638C6421"/>
    <w:rsid w:val="638D6EDD"/>
    <w:rsid w:val="639573FF"/>
    <w:rsid w:val="63993F1C"/>
    <w:rsid w:val="639C6D0C"/>
    <w:rsid w:val="639D72A6"/>
    <w:rsid w:val="63A96EA4"/>
    <w:rsid w:val="63AB45FC"/>
    <w:rsid w:val="63AD4780"/>
    <w:rsid w:val="63B94723"/>
    <w:rsid w:val="63BC31CC"/>
    <w:rsid w:val="63BC5BAB"/>
    <w:rsid w:val="63C75B75"/>
    <w:rsid w:val="63CC5528"/>
    <w:rsid w:val="63D97C8C"/>
    <w:rsid w:val="63EB1B7A"/>
    <w:rsid w:val="63F13246"/>
    <w:rsid w:val="63F34247"/>
    <w:rsid w:val="63F811E6"/>
    <w:rsid w:val="63F86C3B"/>
    <w:rsid w:val="63F93046"/>
    <w:rsid w:val="63FA1BE0"/>
    <w:rsid w:val="63FF5E58"/>
    <w:rsid w:val="640256AE"/>
    <w:rsid w:val="64045D16"/>
    <w:rsid w:val="640A07AD"/>
    <w:rsid w:val="640D633E"/>
    <w:rsid w:val="641C7F46"/>
    <w:rsid w:val="64257C6D"/>
    <w:rsid w:val="6427374E"/>
    <w:rsid w:val="643C3678"/>
    <w:rsid w:val="643D72FC"/>
    <w:rsid w:val="64416383"/>
    <w:rsid w:val="64417A35"/>
    <w:rsid w:val="64465AE1"/>
    <w:rsid w:val="644E7CE1"/>
    <w:rsid w:val="64527083"/>
    <w:rsid w:val="646543E9"/>
    <w:rsid w:val="64672FAE"/>
    <w:rsid w:val="64685687"/>
    <w:rsid w:val="646B6450"/>
    <w:rsid w:val="646D2585"/>
    <w:rsid w:val="646E6D6D"/>
    <w:rsid w:val="647761DB"/>
    <w:rsid w:val="647B59BF"/>
    <w:rsid w:val="647D1FD0"/>
    <w:rsid w:val="648A7C94"/>
    <w:rsid w:val="648E1C76"/>
    <w:rsid w:val="648E2075"/>
    <w:rsid w:val="64911C79"/>
    <w:rsid w:val="64934E96"/>
    <w:rsid w:val="64946734"/>
    <w:rsid w:val="649E4F39"/>
    <w:rsid w:val="64A20820"/>
    <w:rsid w:val="64A2588F"/>
    <w:rsid w:val="64A509B9"/>
    <w:rsid w:val="64A86E9D"/>
    <w:rsid w:val="64AD4499"/>
    <w:rsid w:val="64B1645F"/>
    <w:rsid w:val="64B51FF5"/>
    <w:rsid w:val="64B7505C"/>
    <w:rsid w:val="64BA35F0"/>
    <w:rsid w:val="64C17B33"/>
    <w:rsid w:val="64CC7A33"/>
    <w:rsid w:val="64D00A1A"/>
    <w:rsid w:val="64D4059A"/>
    <w:rsid w:val="64D61138"/>
    <w:rsid w:val="64D67720"/>
    <w:rsid w:val="64D7426E"/>
    <w:rsid w:val="64DB4740"/>
    <w:rsid w:val="64E15998"/>
    <w:rsid w:val="64E217C9"/>
    <w:rsid w:val="64EA2357"/>
    <w:rsid w:val="64EA2BCC"/>
    <w:rsid w:val="64F10A16"/>
    <w:rsid w:val="64F27CB2"/>
    <w:rsid w:val="64F465B8"/>
    <w:rsid w:val="64F97411"/>
    <w:rsid w:val="64FB1440"/>
    <w:rsid w:val="65015DDC"/>
    <w:rsid w:val="6504669E"/>
    <w:rsid w:val="6505046A"/>
    <w:rsid w:val="650817E2"/>
    <w:rsid w:val="650A699E"/>
    <w:rsid w:val="651726BF"/>
    <w:rsid w:val="651905B2"/>
    <w:rsid w:val="651910DA"/>
    <w:rsid w:val="651D2680"/>
    <w:rsid w:val="6522374B"/>
    <w:rsid w:val="65290532"/>
    <w:rsid w:val="652C5E2F"/>
    <w:rsid w:val="65326A42"/>
    <w:rsid w:val="653369E4"/>
    <w:rsid w:val="653618F5"/>
    <w:rsid w:val="65362604"/>
    <w:rsid w:val="65381594"/>
    <w:rsid w:val="653C4510"/>
    <w:rsid w:val="653E6955"/>
    <w:rsid w:val="65401EAC"/>
    <w:rsid w:val="65512C72"/>
    <w:rsid w:val="65526927"/>
    <w:rsid w:val="65561A00"/>
    <w:rsid w:val="65605868"/>
    <w:rsid w:val="65614F21"/>
    <w:rsid w:val="65642DDB"/>
    <w:rsid w:val="65667FDE"/>
    <w:rsid w:val="65686725"/>
    <w:rsid w:val="656E07CC"/>
    <w:rsid w:val="656F068D"/>
    <w:rsid w:val="65736488"/>
    <w:rsid w:val="657900E4"/>
    <w:rsid w:val="657A02DE"/>
    <w:rsid w:val="65802368"/>
    <w:rsid w:val="658027EB"/>
    <w:rsid w:val="65851C2E"/>
    <w:rsid w:val="658600C2"/>
    <w:rsid w:val="65881E67"/>
    <w:rsid w:val="65893BFE"/>
    <w:rsid w:val="6591603B"/>
    <w:rsid w:val="65922395"/>
    <w:rsid w:val="6594728B"/>
    <w:rsid w:val="659A4D69"/>
    <w:rsid w:val="659A4E5A"/>
    <w:rsid w:val="659D0931"/>
    <w:rsid w:val="65A22395"/>
    <w:rsid w:val="65AC2687"/>
    <w:rsid w:val="65B25E5B"/>
    <w:rsid w:val="65B53EC4"/>
    <w:rsid w:val="65C04864"/>
    <w:rsid w:val="65C204C7"/>
    <w:rsid w:val="65D23647"/>
    <w:rsid w:val="65D363DA"/>
    <w:rsid w:val="65D41E2A"/>
    <w:rsid w:val="65D816E7"/>
    <w:rsid w:val="65DD4380"/>
    <w:rsid w:val="65E1130C"/>
    <w:rsid w:val="65EA5953"/>
    <w:rsid w:val="65EE366D"/>
    <w:rsid w:val="65F42734"/>
    <w:rsid w:val="65F779DF"/>
    <w:rsid w:val="65F84424"/>
    <w:rsid w:val="65F915FA"/>
    <w:rsid w:val="65FF3573"/>
    <w:rsid w:val="66016F4B"/>
    <w:rsid w:val="6602641E"/>
    <w:rsid w:val="66080EEE"/>
    <w:rsid w:val="660F296A"/>
    <w:rsid w:val="66113A91"/>
    <w:rsid w:val="66182F85"/>
    <w:rsid w:val="661832BD"/>
    <w:rsid w:val="661C480A"/>
    <w:rsid w:val="661D39EA"/>
    <w:rsid w:val="66227972"/>
    <w:rsid w:val="6625794D"/>
    <w:rsid w:val="662918E7"/>
    <w:rsid w:val="66294047"/>
    <w:rsid w:val="662B143D"/>
    <w:rsid w:val="662C5FAB"/>
    <w:rsid w:val="662C7CEB"/>
    <w:rsid w:val="662D772A"/>
    <w:rsid w:val="662E1DE4"/>
    <w:rsid w:val="66393FAD"/>
    <w:rsid w:val="664349A6"/>
    <w:rsid w:val="66435739"/>
    <w:rsid w:val="66445F2C"/>
    <w:rsid w:val="66586F85"/>
    <w:rsid w:val="666379BB"/>
    <w:rsid w:val="666500D3"/>
    <w:rsid w:val="6666508A"/>
    <w:rsid w:val="66694473"/>
    <w:rsid w:val="666A6888"/>
    <w:rsid w:val="66725514"/>
    <w:rsid w:val="66727FCF"/>
    <w:rsid w:val="667E2BC3"/>
    <w:rsid w:val="66851C81"/>
    <w:rsid w:val="668629F7"/>
    <w:rsid w:val="668B2D43"/>
    <w:rsid w:val="66902FCE"/>
    <w:rsid w:val="6693135E"/>
    <w:rsid w:val="669F4F7F"/>
    <w:rsid w:val="66A82DB7"/>
    <w:rsid w:val="66AE413C"/>
    <w:rsid w:val="66B10FB5"/>
    <w:rsid w:val="66B45AAE"/>
    <w:rsid w:val="66BB1E72"/>
    <w:rsid w:val="66C13A47"/>
    <w:rsid w:val="66C548CA"/>
    <w:rsid w:val="66CD2244"/>
    <w:rsid w:val="66D32DD9"/>
    <w:rsid w:val="66D75CB1"/>
    <w:rsid w:val="66DA0F49"/>
    <w:rsid w:val="66DB7717"/>
    <w:rsid w:val="66E77AF6"/>
    <w:rsid w:val="66F17C59"/>
    <w:rsid w:val="66FC202A"/>
    <w:rsid w:val="67017E27"/>
    <w:rsid w:val="670229AD"/>
    <w:rsid w:val="6705286D"/>
    <w:rsid w:val="670871BD"/>
    <w:rsid w:val="670955D4"/>
    <w:rsid w:val="67184FB5"/>
    <w:rsid w:val="671B212E"/>
    <w:rsid w:val="671D391E"/>
    <w:rsid w:val="67242AA0"/>
    <w:rsid w:val="6724595F"/>
    <w:rsid w:val="6725765D"/>
    <w:rsid w:val="672A1382"/>
    <w:rsid w:val="672D3D1C"/>
    <w:rsid w:val="672E51BA"/>
    <w:rsid w:val="673F2FD5"/>
    <w:rsid w:val="674728FC"/>
    <w:rsid w:val="67491373"/>
    <w:rsid w:val="67496F6B"/>
    <w:rsid w:val="67584871"/>
    <w:rsid w:val="6760765E"/>
    <w:rsid w:val="67610413"/>
    <w:rsid w:val="67625EEE"/>
    <w:rsid w:val="67677F6D"/>
    <w:rsid w:val="67684D55"/>
    <w:rsid w:val="67694F83"/>
    <w:rsid w:val="676B782B"/>
    <w:rsid w:val="676C5136"/>
    <w:rsid w:val="676F769F"/>
    <w:rsid w:val="677222BF"/>
    <w:rsid w:val="67787C71"/>
    <w:rsid w:val="67842197"/>
    <w:rsid w:val="678C6087"/>
    <w:rsid w:val="678E4A84"/>
    <w:rsid w:val="67941123"/>
    <w:rsid w:val="67986377"/>
    <w:rsid w:val="679D1763"/>
    <w:rsid w:val="679E06D8"/>
    <w:rsid w:val="679F1588"/>
    <w:rsid w:val="67A70E0F"/>
    <w:rsid w:val="67A77BF9"/>
    <w:rsid w:val="67B279E6"/>
    <w:rsid w:val="67B337B4"/>
    <w:rsid w:val="67B52CAF"/>
    <w:rsid w:val="67B80385"/>
    <w:rsid w:val="67BA72B4"/>
    <w:rsid w:val="67CE21CE"/>
    <w:rsid w:val="67CF3348"/>
    <w:rsid w:val="67D3667C"/>
    <w:rsid w:val="67D559EF"/>
    <w:rsid w:val="67DB45C9"/>
    <w:rsid w:val="67DF448D"/>
    <w:rsid w:val="67E06413"/>
    <w:rsid w:val="67E4342B"/>
    <w:rsid w:val="67EB3969"/>
    <w:rsid w:val="67EC48A5"/>
    <w:rsid w:val="67EF4FA8"/>
    <w:rsid w:val="67F83A50"/>
    <w:rsid w:val="67FC746A"/>
    <w:rsid w:val="68054AE9"/>
    <w:rsid w:val="68124BAB"/>
    <w:rsid w:val="68133A05"/>
    <w:rsid w:val="681654A0"/>
    <w:rsid w:val="68184FA9"/>
    <w:rsid w:val="681F27AC"/>
    <w:rsid w:val="682014D9"/>
    <w:rsid w:val="68250A72"/>
    <w:rsid w:val="68372A16"/>
    <w:rsid w:val="68395D72"/>
    <w:rsid w:val="683B0DF8"/>
    <w:rsid w:val="68404E52"/>
    <w:rsid w:val="6848045B"/>
    <w:rsid w:val="684B43CC"/>
    <w:rsid w:val="684F5F72"/>
    <w:rsid w:val="68506128"/>
    <w:rsid w:val="68530B6E"/>
    <w:rsid w:val="68555E01"/>
    <w:rsid w:val="687565A4"/>
    <w:rsid w:val="687D6AA7"/>
    <w:rsid w:val="687F138C"/>
    <w:rsid w:val="688112E9"/>
    <w:rsid w:val="68867C95"/>
    <w:rsid w:val="688C72C2"/>
    <w:rsid w:val="68923F9B"/>
    <w:rsid w:val="68A1214A"/>
    <w:rsid w:val="68A13585"/>
    <w:rsid w:val="68A17008"/>
    <w:rsid w:val="68A9670D"/>
    <w:rsid w:val="68AB40B2"/>
    <w:rsid w:val="68B03555"/>
    <w:rsid w:val="68B348F1"/>
    <w:rsid w:val="68B53E16"/>
    <w:rsid w:val="68BB0A96"/>
    <w:rsid w:val="68BC0CC2"/>
    <w:rsid w:val="68BC7278"/>
    <w:rsid w:val="68BD42D8"/>
    <w:rsid w:val="68C5799D"/>
    <w:rsid w:val="68C77036"/>
    <w:rsid w:val="68C864A6"/>
    <w:rsid w:val="68CC3614"/>
    <w:rsid w:val="68CD5D36"/>
    <w:rsid w:val="68D4375E"/>
    <w:rsid w:val="68DD6137"/>
    <w:rsid w:val="68DF322B"/>
    <w:rsid w:val="68E505DF"/>
    <w:rsid w:val="68E54C34"/>
    <w:rsid w:val="68EA49BF"/>
    <w:rsid w:val="68EB402A"/>
    <w:rsid w:val="68EB7B4D"/>
    <w:rsid w:val="68EC1526"/>
    <w:rsid w:val="68FD0F87"/>
    <w:rsid w:val="68FD2F65"/>
    <w:rsid w:val="6902007B"/>
    <w:rsid w:val="69033F10"/>
    <w:rsid w:val="690A53BE"/>
    <w:rsid w:val="69116EAE"/>
    <w:rsid w:val="69166B47"/>
    <w:rsid w:val="692473AB"/>
    <w:rsid w:val="692A1FD7"/>
    <w:rsid w:val="69322E3E"/>
    <w:rsid w:val="69343BBB"/>
    <w:rsid w:val="693720AD"/>
    <w:rsid w:val="693A257F"/>
    <w:rsid w:val="693C15FC"/>
    <w:rsid w:val="693E2585"/>
    <w:rsid w:val="69414CA1"/>
    <w:rsid w:val="6942115E"/>
    <w:rsid w:val="69442DA6"/>
    <w:rsid w:val="694A6B1D"/>
    <w:rsid w:val="694B03D6"/>
    <w:rsid w:val="695366D9"/>
    <w:rsid w:val="6955614B"/>
    <w:rsid w:val="6958534D"/>
    <w:rsid w:val="69666CCB"/>
    <w:rsid w:val="696A2CC7"/>
    <w:rsid w:val="697666F7"/>
    <w:rsid w:val="698D5FEA"/>
    <w:rsid w:val="699350F3"/>
    <w:rsid w:val="69950815"/>
    <w:rsid w:val="699C4620"/>
    <w:rsid w:val="69A07C4E"/>
    <w:rsid w:val="69A07C71"/>
    <w:rsid w:val="69A373BB"/>
    <w:rsid w:val="69B30DFE"/>
    <w:rsid w:val="69BC754E"/>
    <w:rsid w:val="69BD4C71"/>
    <w:rsid w:val="69CE485B"/>
    <w:rsid w:val="69D20A0A"/>
    <w:rsid w:val="69D3500E"/>
    <w:rsid w:val="69D811A1"/>
    <w:rsid w:val="69E17D5A"/>
    <w:rsid w:val="69E631F3"/>
    <w:rsid w:val="69F40AEF"/>
    <w:rsid w:val="69F50A5F"/>
    <w:rsid w:val="6A0102DD"/>
    <w:rsid w:val="6A041F39"/>
    <w:rsid w:val="6A06103D"/>
    <w:rsid w:val="6A157F66"/>
    <w:rsid w:val="6A1C452C"/>
    <w:rsid w:val="6A226076"/>
    <w:rsid w:val="6A232D00"/>
    <w:rsid w:val="6A262C5F"/>
    <w:rsid w:val="6A2A29BD"/>
    <w:rsid w:val="6A2A6E45"/>
    <w:rsid w:val="6A2E67A2"/>
    <w:rsid w:val="6A304D4B"/>
    <w:rsid w:val="6A396DDA"/>
    <w:rsid w:val="6A411767"/>
    <w:rsid w:val="6A45110E"/>
    <w:rsid w:val="6A460634"/>
    <w:rsid w:val="6A467DE0"/>
    <w:rsid w:val="6A47127C"/>
    <w:rsid w:val="6A521117"/>
    <w:rsid w:val="6A521D87"/>
    <w:rsid w:val="6A54017F"/>
    <w:rsid w:val="6A5E07C3"/>
    <w:rsid w:val="6A605BE9"/>
    <w:rsid w:val="6A6228BD"/>
    <w:rsid w:val="6A69617A"/>
    <w:rsid w:val="6A796620"/>
    <w:rsid w:val="6A844C84"/>
    <w:rsid w:val="6A857E5C"/>
    <w:rsid w:val="6A865ACC"/>
    <w:rsid w:val="6A8B6320"/>
    <w:rsid w:val="6A990DE6"/>
    <w:rsid w:val="6A9A5C74"/>
    <w:rsid w:val="6A9B6CDB"/>
    <w:rsid w:val="6AB01060"/>
    <w:rsid w:val="6AB04998"/>
    <w:rsid w:val="6ABB2316"/>
    <w:rsid w:val="6ABC2C10"/>
    <w:rsid w:val="6ABD1F20"/>
    <w:rsid w:val="6ABF5337"/>
    <w:rsid w:val="6AC12E45"/>
    <w:rsid w:val="6ACB5A4F"/>
    <w:rsid w:val="6AD13AB7"/>
    <w:rsid w:val="6AD666F4"/>
    <w:rsid w:val="6ADA3A1F"/>
    <w:rsid w:val="6ADC2BC5"/>
    <w:rsid w:val="6ADE41B0"/>
    <w:rsid w:val="6AE12C6E"/>
    <w:rsid w:val="6AEA6E19"/>
    <w:rsid w:val="6AED4D23"/>
    <w:rsid w:val="6AF12F1E"/>
    <w:rsid w:val="6AF52A57"/>
    <w:rsid w:val="6AF56669"/>
    <w:rsid w:val="6AF73763"/>
    <w:rsid w:val="6AF853A8"/>
    <w:rsid w:val="6B000A05"/>
    <w:rsid w:val="6B045729"/>
    <w:rsid w:val="6B0D782A"/>
    <w:rsid w:val="6B1674F2"/>
    <w:rsid w:val="6B2013EA"/>
    <w:rsid w:val="6B2704D2"/>
    <w:rsid w:val="6B2C1E50"/>
    <w:rsid w:val="6B331893"/>
    <w:rsid w:val="6B364E11"/>
    <w:rsid w:val="6B3E0FF0"/>
    <w:rsid w:val="6B45105A"/>
    <w:rsid w:val="6B480DB9"/>
    <w:rsid w:val="6B4920AB"/>
    <w:rsid w:val="6B502924"/>
    <w:rsid w:val="6B5551C3"/>
    <w:rsid w:val="6B641B68"/>
    <w:rsid w:val="6B6D5AFA"/>
    <w:rsid w:val="6B6E2D37"/>
    <w:rsid w:val="6B7175D4"/>
    <w:rsid w:val="6B733C4A"/>
    <w:rsid w:val="6B74103C"/>
    <w:rsid w:val="6B7724E8"/>
    <w:rsid w:val="6B78767A"/>
    <w:rsid w:val="6B7D2CE0"/>
    <w:rsid w:val="6B803DED"/>
    <w:rsid w:val="6B81694F"/>
    <w:rsid w:val="6B84314D"/>
    <w:rsid w:val="6B872C78"/>
    <w:rsid w:val="6B8C7694"/>
    <w:rsid w:val="6B8F640C"/>
    <w:rsid w:val="6B975BBF"/>
    <w:rsid w:val="6B975C34"/>
    <w:rsid w:val="6B99314D"/>
    <w:rsid w:val="6BA1281C"/>
    <w:rsid w:val="6BA37F00"/>
    <w:rsid w:val="6BA471E8"/>
    <w:rsid w:val="6BB63D0F"/>
    <w:rsid w:val="6BBE75D0"/>
    <w:rsid w:val="6BBF4C74"/>
    <w:rsid w:val="6BC00A03"/>
    <w:rsid w:val="6BC12A56"/>
    <w:rsid w:val="6BC4615A"/>
    <w:rsid w:val="6BC55F2D"/>
    <w:rsid w:val="6BC85F40"/>
    <w:rsid w:val="6BC86D40"/>
    <w:rsid w:val="6BCA01ED"/>
    <w:rsid w:val="6BD1735F"/>
    <w:rsid w:val="6BD3176B"/>
    <w:rsid w:val="6BD33F31"/>
    <w:rsid w:val="6BD97AAF"/>
    <w:rsid w:val="6BE17630"/>
    <w:rsid w:val="6BE2048B"/>
    <w:rsid w:val="6BE600E2"/>
    <w:rsid w:val="6BEA6D2E"/>
    <w:rsid w:val="6BEF1800"/>
    <w:rsid w:val="6BEF301D"/>
    <w:rsid w:val="6BF25F94"/>
    <w:rsid w:val="6BF556D9"/>
    <w:rsid w:val="6BF569FC"/>
    <w:rsid w:val="6BFB0939"/>
    <w:rsid w:val="6C070BAC"/>
    <w:rsid w:val="6C0A093A"/>
    <w:rsid w:val="6C0A170C"/>
    <w:rsid w:val="6C0D1863"/>
    <w:rsid w:val="6C0E1D4E"/>
    <w:rsid w:val="6C104C55"/>
    <w:rsid w:val="6C1550BC"/>
    <w:rsid w:val="6C1B7258"/>
    <w:rsid w:val="6C1C18B7"/>
    <w:rsid w:val="6C1C6A26"/>
    <w:rsid w:val="6C212759"/>
    <w:rsid w:val="6C274AA5"/>
    <w:rsid w:val="6C280AE7"/>
    <w:rsid w:val="6C2A4F36"/>
    <w:rsid w:val="6C2E4710"/>
    <w:rsid w:val="6C323B46"/>
    <w:rsid w:val="6C3B6A8E"/>
    <w:rsid w:val="6C3C008C"/>
    <w:rsid w:val="6C3F7FE4"/>
    <w:rsid w:val="6C4B69F2"/>
    <w:rsid w:val="6C506634"/>
    <w:rsid w:val="6C510EF2"/>
    <w:rsid w:val="6C5F61C0"/>
    <w:rsid w:val="6C601912"/>
    <w:rsid w:val="6C665142"/>
    <w:rsid w:val="6C7346AE"/>
    <w:rsid w:val="6C740FEE"/>
    <w:rsid w:val="6C7F1031"/>
    <w:rsid w:val="6C8245AE"/>
    <w:rsid w:val="6C8574E6"/>
    <w:rsid w:val="6C871472"/>
    <w:rsid w:val="6C8D2244"/>
    <w:rsid w:val="6C982281"/>
    <w:rsid w:val="6C9C5FF2"/>
    <w:rsid w:val="6C9C6853"/>
    <w:rsid w:val="6C9D6713"/>
    <w:rsid w:val="6CA079E7"/>
    <w:rsid w:val="6CA37925"/>
    <w:rsid w:val="6CA45C03"/>
    <w:rsid w:val="6CA50057"/>
    <w:rsid w:val="6CA63E72"/>
    <w:rsid w:val="6CAF5320"/>
    <w:rsid w:val="6CB41ED9"/>
    <w:rsid w:val="6CBC61B1"/>
    <w:rsid w:val="6CBF1D0D"/>
    <w:rsid w:val="6CBF72DC"/>
    <w:rsid w:val="6CD13DE1"/>
    <w:rsid w:val="6CD27DA9"/>
    <w:rsid w:val="6CDB0A04"/>
    <w:rsid w:val="6CDC03B4"/>
    <w:rsid w:val="6CDC3D4D"/>
    <w:rsid w:val="6CE631B8"/>
    <w:rsid w:val="6CEC7832"/>
    <w:rsid w:val="6CED51E6"/>
    <w:rsid w:val="6CEE141C"/>
    <w:rsid w:val="6CEE2E83"/>
    <w:rsid w:val="6CF85ED9"/>
    <w:rsid w:val="6CFC1365"/>
    <w:rsid w:val="6CFF371E"/>
    <w:rsid w:val="6D066A5C"/>
    <w:rsid w:val="6D0D33FE"/>
    <w:rsid w:val="6D2E6F97"/>
    <w:rsid w:val="6D2F24E4"/>
    <w:rsid w:val="6D3B642E"/>
    <w:rsid w:val="6D450121"/>
    <w:rsid w:val="6D455E77"/>
    <w:rsid w:val="6D4F236B"/>
    <w:rsid w:val="6D4F2AF4"/>
    <w:rsid w:val="6D511094"/>
    <w:rsid w:val="6D5221D5"/>
    <w:rsid w:val="6D596667"/>
    <w:rsid w:val="6D5B24D7"/>
    <w:rsid w:val="6D63068A"/>
    <w:rsid w:val="6D654EC4"/>
    <w:rsid w:val="6D6A2C10"/>
    <w:rsid w:val="6D6C6F68"/>
    <w:rsid w:val="6D706A41"/>
    <w:rsid w:val="6D785B8E"/>
    <w:rsid w:val="6D7B6F34"/>
    <w:rsid w:val="6D866447"/>
    <w:rsid w:val="6D8A22B7"/>
    <w:rsid w:val="6D8D68D6"/>
    <w:rsid w:val="6D8F308C"/>
    <w:rsid w:val="6D936FBA"/>
    <w:rsid w:val="6D9C7AD1"/>
    <w:rsid w:val="6DA412DA"/>
    <w:rsid w:val="6DA64D2A"/>
    <w:rsid w:val="6DA76A4B"/>
    <w:rsid w:val="6DA931A8"/>
    <w:rsid w:val="6DAB46CC"/>
    <w:rsid w:val="6DAB4829"/>
    <w:rsid w:val="6DB13F7C"/>
    <w:rsid w:val="6DB167FB"/>
    <w:rsid w:val="6DBA2E71"/>
    <w:rsid w:val="6DBB4FB1"/>
    <w:rsid w:val="6DBE507C"/>
    <w:rsid w:val="6DC94525"/>
    <w:rsid w:val="6DC97E22"/>
    <w:rsid w:val="6DD208C2"/>
    <w:rsid w:val="6DD27D4F"/>
    <w:rsid w:val="6DD36828"/>
    <w:rsid w:val="6DD61290"/>
    <w:rsid w:val="6DDB5BD3"/>
    <w:rsid w:val="6DE02CC1"/>
    <w:rsid w:val="6DE25D6A"/>
    <w:rsid w:val="6DE440B8"/>
    <w:rsid w:val="6DE52D41"/>
    <w:rsid w:val="6DEE0037"/>
    <w:rsid w:val="6DF07FB0"/>
    <w:rsid w:val="6DFA3C82"/>
    <w:rsid w:val="6DFB5DFA"/>
    <w:rsid w:val="6DFD2DCD"/>
    <w:rsid w:val="6E0104BB"/>
    <w:rsid w:val="6E110301"/>
    <w:rsid w:val="6E112732"/>
    <w:rsid w:val="6E222DEB"/>
    <w:rsid w:val="6E2448BF"/>
    <w:rsid w:val="6E25340B"/>
    <w:rsid w:val="6E295B4C"/>
    <w:rsid w:val="6E326705"/>
    <w:rsid w:val="6E33023A"/>
    <w:rsid w:val="6E340D75"/>
    <w:rsid w:val="6E3737B0"/>
    <w:rsid w:val="6E384EEE"/>
    <w:rsid w:val="6E386719"/>
    <w:rsid w:val="6E393FE4"/>
    <w:rsid w:val="6E3C7DC4"/>
    <w:rsid w:val="6E3F60E7"/>
    <w:rsid w:val="6E453EFB"/>
    <w:rsid w:val="6E484424"/>
    <w:rsid w:val="6E48454C"/>
    <w:rsid w:val="6E49217F"/>
    <w:rsid w:val="6E4A3115"/>
    <w:rsid w:val="6E4B1E02"/>
    <w:rsid w:val="6E4F0141"/>
    <w:rsid w:val="6E534249"/>
    <w:rsid w:val="6E5A3F52"/>
    <w:rsid w:val="6E5A4F5D"/>
    <w:rsid w:val="6E5B08EE"/>
    <w:rsid w:val="6E5B6C56"/>
    <w:rsid w:val="6E621B6A"/>
    <w:rsid w:val="6E6C6F01"/>
    <w:rsid w:val="6E6E5824"/>
    <w:rsid w:val="6E7122AD"/>
    <w:rsid w:val="6E714533"/>
    <w:rsid w:val="6E74189A"/>
    <w:rsid w:val="6E756735"/>
    <w:rsid w:val="6E774CAB"/>
    <w:rsid w:val="6E7E52D2"/>
    <w:rsid w:val="6E86225B"/>
    <w:rsid w:val="6E8A33E2"/>
    <w:rsid w:val="6E8B590E"/>
    <w:rsid w:val="6E8D1531"/>
    <w:rsid w:val="6E8E698A"/>
    <w:rsid w:val="6E9443A1"/>
    <w:rsid w:val="6E94756F"/>
    <w:rsid w:val="6E970562"/>
    <w:rsid w:val="6E970EF1"/>
    <w:rsid w:val="6E974729"/>
    <w:rsid w:val="6E9949FD"/>
    <w:rsid w:val="6EA51EF8"/>
    <w:rsid w:val="6EBB1AF3"/>
    <w:rsid w:val="6EC12A50"/>
    <w:rsid w:val="6EC249CB"/>
    <w:rsid w:val="6EC818A9"/>
    <w:rsid w:val="6ECD124A"/>
    <w:rsid w:val="6ECD3116"/>
    <w:rsid w:val="6ED40BE9"/>
    <w:rsid w:val="6ED45C35"/>
    <w:rsid w:val="6EDE2127"/>
    <w:rsid w:val="6EE532A5"/>
    <w:rsid w:val="6EE70C01"/>
    <w:rsid w:val="6EEE6FFB"/>
    <w:rsid w:val="6EF02AFD"/>
    <w:rsid w:val="6EF52778"/>
    <w:rsid w:val="6EF9225D"/>
    <w:rsid w:val="6EFD1F1F"/>
    <w:rsid w:val="6F0060E8"/>
    <w:rsid w:val="6F052EFE"/>
    <w:rsid w:val="6F085E6C"/>
    <w:rsid w:val="6F0B197E"/>
    <w:rsid w:val="6F0D2007"/>
    <w:rsid w:val="6F0E23F9"/>
    <w:rsid w:val="6F122E01"/>
    <w:rsid w:val="6F1251EB"/>
    <w:rsid w:val="6F1513F1"/>
    <w:rsid w:val="6F175F74"/>
    <w:rsid w:val="6F274EB9"/>
    <w:rsid w:val="6F2F4D45"/>
    <w:rsid w:val="6F3107EB"/>
    <w:rsid w:val="6F3201BB"/>
    <w:rsid w:val="6F406C3B"/>
    <w:rsid w:val="6F42675E"/>
    <w:rsid w:val="6F436779"/>
    <w:rsid w:val="6F464621"/>
    <w:rsid w:val="6F481D19"/>
    <w:rsid w:val="6F577DA2"/>
    <w:rsid w:val="6F5844E1"/>
    <w:rsid w:val="6F630687"/>
    <w:rsid w:val="6F67273C"/>
    <w:rsid w:val="6F692F98"/>
    <w:rsid w:val="6F71080A"/>
    <w:rsid w:val="6F71498D"/>
    <w:rsid w:val="6F7A658D"/>
    <w:rsid w:val="6F853D07"/>
    <w:rsid w:val="6F8656D6"/>
    <w:rsid w:val="6F8814D8"/>
    <w:rsid w:val="6F8951EA"/>
    <w:rsid w:val="6F8D580E"/>
    <w:rsid w:val="6F900A86"/>
    <w:rsid w:val="6F960948"/>
    <w:rsid w:val="6FAE0519"/>
    <w:rsid w:val="6FB106E7"/>
    <w:rsid w:val="6FB574F3"/>
    <w:rsid w:val="6FB845DD"/>
    <w:rsid w:val="6FB933F2"/>
    <w:rsid w:val="6FBD78BA"/>
    <w:rsid w:val="6FBF31C1"/>
    <w:rsid w:val="6FC93A35"/>
    <w:rsid w:val="6FDA1F2A"/>
    <w:rsid w:val="6FDC3460"/>
    <w:rsid w:val="6FDD43D7"/>
    <w:rsid w:val="6FE314E2"/>
    <w:rsid w:val="6FEB4FFC"/>
    <w:rsid w:val="6FF1115C"/>
    <w:rsid w:val="6FF37BFE"/>
    <w:rsid w:val="6FF9501C"/>
    <w:rsid w:val="70014952"/>
    <w:rsid w:val="700B7F53"/>
    <w:rsid w:val="700C1AAD"/>
    <w:rsid w:val="70123702"/>
    <w:rsid w:val="70123B53"/>
    <w:rsid w:val="701C4B5A"/>
    <w:rsid w:val="701F75B0"/>
    <w:rsid w:val="702108F0"/>
    <w:rsid w:val="702112F5"/>
    <w:rsid w:val="702C1836"/>
    <w:rsid w:val="703069C4"/>
    <w:rsid w:val="70397AD9"/>
    <w:rsid w:val="703B0DE5"/>
    <w:rsid w:val="703D5568"/>
    <w:rsid w:val="704472F6"/>
    <w:rsid w:val="704705DE"/>
    <w:rsid w:val="70481606"/>
    <w:rsid w:val="704A0EDC"/>
    <w:rsid w:val="704C679B"/>
    <w:rsid w:val="704E7F20"/>
    <w:rsid w:val="705F19C0"/>
    <w:rsid w:val="70615124"/>
    <w:rsid w:val="70626F9E"/>
    <w:rsid w:val="70641AA1"/>
    <w:rsid w:val="706B7FE4"/>
    <w:rsid w:val="706D6AFB"/>
    <w:rsid w:val="7073014D"/>
    <w:rsid w:val="70763C67"/>
    <w:rsid w:val="707B5573"/>
    <w:rsid w:val="70821C73"/>
    <w:rsid w:val="7084156E"/>
    <w:rsid w:val="70867E17"/>
    <w:rsid w:val="70873B0D"/>
    <w:rsid w:val="70925DFD"/>
    <w:rsid w:val="7094035D"/>
    <w:rsid w:val="70945979"/>
    <w:rsid w:val="70963FD2"/>
    <w:rsid w:val="709F7F5B"/>
    <w:rsid w:val="70A47C9A"/>
    <w:rsid w:val="70A64E4C"/>
    <w:rsid w:val="70A84778"/>
    <w:rsid w:val="70A84F1A"/>
    <w:rsid w:val="70AE73F0"/>
    <w:rsid w:val="70B03466"/>
    <w:rsid w:val="70B03795"/>
    <w:rsid w:val="70BC0E9C"/>
    <w:rsid w:val="70BF0EEE"/>
    <w:rsid w:val="70C44334"/>
    <w:rsid w:val="70CA2BE0"/>
    <w:rsid w:val="70CB272F"/>
    <w:rsid w:val="70CF2A7C"/>
    <w:rsid w:val="70D85466"/>
    <w:rsid w:val="70DA4066"/>
    <w:rsid w:val="70DC0993"/>
    <w:rsid w:val="70DF02DE"/>
    <w:rsid w:val="70E31042"/>
    <w:rsid w:val="70E957FE"/>
    <w:rsid w:val="70EC2331"/>
    <w:rsid w:val="70F10AAB"/>
    <w:rsid w:val="70F34C26"/>
    <w:rsid w:val="70F753B0"/>
    <w:rsid w:val="70F75BB4"/>
    <w:rsid w:val="70FC48D3"/>
    <w:rsid w:val="70FE06D9"/>
    <w:rsid w:val="71044AC1"/>
    <w:rsid w:val="7106656B"/>
    <w:rsid w:val="710E18C8"/>
    <w:rsid w:val="711261FF"/>
    <w:rsid w:val="71147AC3"/>
    <w:rsid w:val="711A29A3"/>
    <w:rsid w:val="711D234E"/>
    <w:rsid w:val="712756BD"/>
    <w:rsid w:val="71281771"/>
    <w:rsid w:val="71285F27"/>
    <w:rsid w:val="712F1196"/>
    <w:rsid w:val="71306538"/>
    <w:rsid w:val="71313A38"/>
    <w:rsid w:val="71363BBD"/>
    <w:rsid w:val="713A4FB4"/>
    <w:rsid w:val="71432071"/>
    <w:rsid w:val="71435776"/>
    <w:rsid w:val="714621FD"/>
    <w:rsid w:val="71486400"/>
    <w:rsid w:val="714A51D5"/>
    <w:rsid w:val="7154369C"/>
    <w:rsid w:val="71626FC2"/>
    <w:rsid w:val="7168590C"/>
    <w:rsid w:val="71694849"/>
    <w:rsid w:val="716E395C"/>
    <w:rsid w:val="7170041E"/>
    <w:rsid w:val="717B47A4"/>
    <w:rsid w:val="71884ABB"/>
    <w:rsid w:val="71890550"/>
    <w:rsid w:val="71914A52"/>
    <w:rsid w:val="71937B63"/>
    <w:rsid w:val="71947B59"/>
    <w:rsid w:val="7195364D"/>
    <w:rsid w:val="71A34481"/>
    <w:rsid w:val="71A71C58"/>
    <w:rsid w:val="71AE79FA"/>
    <w:rsid w:val="71B672EC"/>
    <w:rsid w:val="71B756C0"/>
    <w:rsid w:val="71B87CF9"/>
    <w:rsid w:val="71BB4273"/>
    <w:rsid w:val="71BC0467"/>
    <w:rsid w:val="71BD11B1"/>
    <w:rsid w:val="71C43C96"/>
    <w:rsid w:val="71D45FF1"/>
    <w:rsid w:val="71DC2285"/>
    <w:rsid w:val="71E15769"/>
    <w:rsid w:val="71E93027"/>
    <w:rsid w:val="71EB5C80"/>
    <w:rsid w:val="71F3589D"/>
    <w:rsid w:val="71F63D0F"/>
    <w:rsid w:val="720748AD"/>
    <w:rsid w:val="720C37E2"/>
    <w:rsid w:val="7213346E"/>
    <w:rsid w:val="72151062"/>
    <w:rsid w:val="72156CC2"/>
    <w:rsid w:val="721877E0"/>
    <w:rsid w:val="72207940"/>
    <w:rsid w:val="72230EAA"/>
    <w:rsid w:val="722623C4"/>
    <w:rsid w:val="72283659"/>
    <w:rsid w:val="722946D1"/>
    <w:rsid w:val="72322631"/>
    <w:rsid w:val="72355D8D"/>
    <w:rsid w:val="72370D18"/>
    <w:rsid w:val="7239362C"/>
    <w:rsid w:val="723A3841"/>
    <w:rsid w:val="72405012"/>
    <w:rsid w:val="724D1244"/>
    <w:rsid w:val="725A151A"/>
    <w:rsid w:val="72644C34"/>
    <w:rsid w:val="72646E64"/>
    <w:rsid w:val="726F60CC"/>
    <w:rsid w:val="7272034D"/>
    <w:rsid w:val="7275704F"/>
    <w:rsid w:val="72783AF5"/>
    <w:rsid w:val="72830B25"/>
    <w:rsid w:val="72854D74"/>
    <w:rsid w:val="72861860"/>
    <w:rsid w:val="72875B6B"/>
    <w:rsid w:val="729069F5"/>
    <w:rsid w:val="72935416"/>
    <w:rsid w:val="729515CC"/>
    <w:rsid w:val="729D76D4"/>
    <w:rsid w:val="72A307AB"/>
    <w:rsid w:val="72A73EF1"/>
    <w:rsid w:val="72B510B3"/>
    <w:rsid w:val="72B850F5"/>
    <w:rsid w:val="72BB3916"/>
    <w:rsid w:val="72BD5877"/>
    <w:rsid w:val="72C0051A"/>
    <w:rsid w:val="72C82294"/>
    <w:rsid w:val="72CE6C55"/>
    <w:rsid w:val="72D33EE3"/>
    <w:rsid w:val="72D61F79"/>
    <w:rsid w:val="72D65D4A"/>
    <w:rsid w:val="72E04284"/>
    <w:rsid w:val="72E12307"/>
    <w:rsid w:val="72E84779"/>
    <w:rsid w:val="72E94A03"/>
    <w:rsid w:val="72EA4D74"/>
    <w:rsid w:val="72F477FF"/>
    <w:rsid w:val="72F66376"/>
    <w:rsid w:val="72F91511"/>
    <w:rsid w:val="730357EE"/>
    <w:rsid w:val="730515B0"/>
    <w:rsid w:val="73073923"/>
    <w:rsid w:val="73074890"/>
    <w:rsid w:val="730C4F79"/>
    <w:rsid w:val="730E4F24"/>
    <w:rsid w:val="730E72C1"/>
    <w:rsid w:val="731259A3"/>
    <w:rsid w:val="73195122"/>
    <w:rsid w:val="73196914"/>
    <w:rsid w:val="731B2790"/>
    <w:rsid w:val="73231991"/>
    <w:rsid w:val="7323423C"/>
    <w:rsid w:val="732366D3"/>
    <w:rsid w:val="732766E2"/>
    <w:rsid w:val="733045B4"/>
    <w:rsid w:val="73322BD9"/>
    <w:rsid w:val="73376222"/>
    <w:rsid w:val="733A22A8"/>
    <w:rsid w:val="734423E2"/>
    <w:rsid w:val="73483D77"/>
    <w:rsid w:val="734C3A2C"/>
    <w:rsid w:val="734E3165"/>
    <w:rsid w:val="734E40F1"/>
    <w:rsid w:val="7354399A"/>
    <w:rsid w:val="735B62B3"/>
    <w:rsid w:val="73620BF8"/>
    <w:rsid w:val="736360E7"/>
    <w:rsid w:val="73664373"/>
    <w:rsid w:val="736D1230"/>
    <w:rsid w:val="73747C82"/>
    <w:rsid w:val="737606A5"/>
    <w:rsid w:val="7379551E"/>
    <w:rsid w:val="737E1AC0"/>
    <w:rsid w:val="73871BEB"/>
    <w:rsid w:val="73873911"/>
    <w:rsid w:val="738C16D2"/>
    <w:rsid w:val="738D522F"/>
    <w:rsid w:val="738F0AD7"/>
    <w:rsid w:val="738F7EDE"/>
    <w:rsid w:val="739C79EA"/>
    <w:rsid w:val="739F1D6B"/>
    <w:rsid w:val="73A35D11"/>
    <w:rsid w:val="73A53030"/>
    <w:rsid w:val="73A92787"/>
    <w:rsid w:val="73AA2461"/>
    <w:rsid w:val="73AA7B93"/>
    <w:rsid w:val="73B93355"/>
    <w:rsid w:val="73BF1C74"/>
    <w:rsid w:val="73C52A9F"/>
    <w:rsid w:val="73C55B7E"/>
    <w:rsid w:val="73D14923"/>
    <w:rsid w:val="73DB3EED"/>
    <w:rsid w:val="73E1122C"/>
    <w:rsid w:val="73E13790"/>
    <w:rsid w:val="73F157B3"/>
    <w:rsid w:val="74072D55"/>
    <w:rsid w:val="740D09C5"/>
    <w:rsid w:val="740D0EF7"/>
    <w:rsid w:val="74103EC1"/>
    <w:rsid w:val="741077F1"/>
    <w:rsid w:val="741079F0"/>
    <w:rsid w:val="74112CC9"/>
    <w:rsid w:val="7416356A"/>
    <w:rsid w:val="741732A4"/>
    <w:rsid w:val="74186A2A"/>
    <w:rsid w:val="74204FBB"/>
    <w:rsid w:val="742170EF"/>
    <w:rsid w:val="742812A5"/>
    <w:rsid w:val="74286015"/>
    <w:rsid w:val="74300567"/>
    <w:rsid w:val="74310F95"/>
    <w:rsid w:val="74380FF8"/>
    <w:rsid w:val="74433200"/>
    <w:rsid w:val="74433F12"/>
    <w:rsid w:val="7443682B"/>
    <w:rsid w:val="74477E06"/>
    <w:rsid w:val="74485F7C"/>
    <w:rsid w:val="744A065C"/>
    <w:rsid w:val="744A2224"/>
    <w:rsid w:val="744C55AD"/>
    <w:rsid w:val="744F1751"/>
    <w:rsid w:val="745F6915"/>
    <w:rsid w:val="74644E47"/>
    <w:rsid w:val="7467282E"/>
    <w:rsid w:val="7471116C"/>
    <w:rsid w:val="74735449"/>
    <w:rsid w:val="7473565F"/>
    <w:rsid w:val="74792299"/>
    <w:rsid w:val="747B3790"/>
    <w:rsid w:val="74823850"/>
    <w:rsid w:val="74827AA8"/>
    <w:rsid w:val="748535AC"/>
    <w:rsid w:val="748F51CD"/>
    <w:rsid w:val="74A30BAF"/>
    <w:rsid w:val="74A97AB0"/>
    <w:rsid w:val="74AE130D"/>
    <w:rsid w:val="74B340F5"/>
    <w:rsid w:val="74B45AF7"/>
    <w:rsid w:val="74BF4E24"/>
    <w:rsid w:val="74C051CC"/>
    <w:rsid w:val="74C85F19"/>
    <w:rsid w:val="74D00111"/>
    <w:rsid w:val="74D01B9E"/>
    <w:rsid w:val="74D358F9"/>
    <w:rsid w:val="74D53EC8"/>
    <w:rsid w:val="74D75E16"/>
    <w:rsid w:val="74DB04A8"/>
    <w:rsid w:val="74E33C8A"/>
    <w:rsid w:val="74E6745D"/>
    <w:rsid w:val="74E7169D"/>
    <w:rsid w:val="74E93280"/>
    <w:rsid w:val="74E97435"/>
    <w:rsid w:val="74EE733D"/>
    <w:rsid w:val="74F11C76"/>
    <w:rsid w:val="74F40A1C"/>
    <w:rsid w:val="74FE0E22"/>
    <w:rsid w:val="74FF28E9"/>
    <w:rsid w:val="74FF41DD"/>
    <w:rsid w:val="75065385"/>
    <w:rsid w:val="750B5164"/>
    <w:rsid w:val="750F7C10"/>
    <w:rsid w:val="751265B4"/>
    <w:rsid w:val="751621EE"/>
    <w:rsid w:val="752333F4"/>
    <w:rsid w:val="752F0A3E"/>
    <w:rsid w:val="753B031C"/>
    <w:rsid w:val="753C2DAC"/>
    <w:rsid w:val="753E6EFB"/>
    <w:rsid w:val="753F7BB1"/>
    <w:rsid w:val="75407247"/>
    <w:rsid w:val="75450410"/>
    <w:rsid w:val="754601E1"/>
    <w:rsid w:val="755071AF"/>
    <w:rsid w:val="75555328"/>
    <w:rsid w:val="755F0C29"/>
    <w:rsid w:val="755F1CA2"/>
    <w:rsid w:val="75692C39"/>
    <w:rsid w:val="75695C6E"/>
    <w:rsid w:val="756972D5"/>
    <w:rsid w:val="756E3A33"/>
    <w:rsid w:val="756F4108"/>
    <w:rsid w:val="757C53F9"/>
    <w:rsid w:val="757D295A"/>
    <w:rsid w:val="757D2C94"/>
    <w:rsid w:val="75837377"/>
    <w:rsid w:val="758725B2"/>
    <w:rsid w:val="7588298E"/>
    <w:rsid w:val="758F63C0"/>
    <w:rsid w:val="759053BD"/>
    <w:rsid w:val="7591681F"/>
    <w:rsid w:val="75972CD7"/>
    <w:rsid w:val="759739FC"/>
    <w:rsid w:val="75980658"/>
    <w:rsid w:val="759C7D71"/>
    <w:rsid w:val="759D1995"/>
    <w:rsid w:val="75A02E27"/>
    <w:rsid w:val="75A37C0D"/>
    <w:rsid w:val="75A37D50"/>
    <w:rsid w:val="75A75B9E"/>
    <w:rsid w:val="75A75CB1"/>
    <w:rsid w:val="75B07C02"/>
    <w:rsid w:val="75B10717"/>
    <w:rsid w:val="75B746CC"/>
    <w:rsid w:val="75BA5ABA"/>
    <w:rsid w:val="75BB6F91"/>
    <w:rsid w:val="75BF7C22"/>
    <w:rsid w:val="75C15777"/>
    <w:rsid w:val="75DC4D0A"/>
    <w:rsid w:val="75DD6AAF"/>
    <w:rsid w:val="75E2215D"/>
    <w:rsid w:val="75E57E8C"/>
    <w:rsid w:val="75E71491"/>
    <w:rsid w:val="75E90372"/>
    <w:rsid w:val="75ED27FF"/>
    <w:rsid w:val="75ED6A11"/>
    <w:rsid w:val="75F157F1"/>
    <w:rsid w:val="75FA4B8F"/>
    <w:rsid w:val="75FE178F"/>
    <w:rsid w:val="7608263A"/>
    <w:rsid w:val="760B256B"/>
    <w:rsid w:val="760B4054"/>
    <w:rsid w:val="761404BC"/>
    <w:rsid w:val="7617799E"/>
    <w:rsid w:val="76190456"/>
    <w:rsid w:val="761A3D77"/>
    <w:rsid w:val="761C1193"/>
    <w:rsid w:val="76211648"/>
    <w:rsid w:val="76217453"/>
    <w:rsid w:val="762204E2"/>
    <w:rsid w:val="76242719"/>
    <w:rsid w:val="7632464A"/>
    <w:rsid w:val="76347EF8"/>
    <w:rsid w:val="763718EC"/>
    <w:rsid w:val="76405C00"/>
    <w:rsid w:val="764506D6"/>
    <w:rsid w:val="76462217"/>
    <w:rsid w:val="76495486"/>
    <w:rsid w:val="764B20CC"/>
    <w:rsid w:val="765A460A"/>
    <w:rsid w:val="76633837"/>
    <w:rsid w:val="766F0F9D"/>
    <w:rsid w:val="76711929"/>
    <w:rsid w:val="76717AF9"/>
    <w:rsid w:val="76720BC3"/>
    <w:rsid w:val="767E7D3E"/>
    <w:rsid w:val="767F0A28"/>
    <w:rsid w:val="767F628B"/>
    <w:rsid w:val="76837F13"/>
    <w:rsid w:val="768D2771"/>
    <w:rsid w:val="769C10F0"/>
    <w:rsid w:val="769D1B86"/>
    <w:rsid w:val="76A166C4"/>
    <w:rsid w:val="76AB4BCD"/>
    <w:rsid w:val="76AC7B90"/>
    <w:rsid w:val="76B3002A"/>
    <w:rsid w:val="76B34860"/>
    <w:rsid w:val="76BB7678"/>
    <w:rsid w:val="76BE1EF6"/>
    <w:rsid w:val="76C06AFD"/>
    <w:rsid w:val="76C23CD7"/>
    <w:rsid w:val="76C76A0C"/>
    <w:rsid w:val="76D01345"/>
    <w:rsid w:val="76D0549E"/>
    <w:rsid w:val="76D24E17"/>
    <w:rsid w:val="76D87025"/>
    <w:rsid w:val="76D91558"/>
    <w:rsid w:val="76DC01B8"/>
    <w:rsid w:val="76DF52F1"/>
    <w:rsid w:val="76E562D8"/>
    <w:rsid w:val="76F060CD"/>
    <w:rsid w:val="76F07212"/>
    <w:rsid w:val="76F25D1E"/>
    <w:rsid w:val="76F760AF"/>
    <w:rsid w:val="770172DC"/>
    <w:rsid w:val="77021EBB"/>
    <w:rsid w:val="77051062"/>
    <w:rsid w:val="77090FE9"/>
    <w:rsid w:val="7711169C"/>
    <w:rsid w:val="771E21B4"/>
    <w:rsid w:val="771E6E15"/>
    <w:rsid w:val="77230C23"/>
    <w:rsid w:val="772958E1"/>
    <w:rsid w:val="77295990"/>
    <w:rsid w:val="773062B8"/>
    <w:rsid w:val="77322B04"/>
    <w:rsid w:val="773844BE"/>
    <w:rsid w:val="77391D99"/>
    <w:rsid w:val="77393110"/>
    <w:rsid w:val="773A2CFF"/>
    <w:rsid w:val="773C44D5"/>
    <w:rsid w:val="773E3310"/>
    <w:rsid w:val="774D4BB9"/>
    <w:rsid w:val="774F28AA"/>
    <w:rsid w:val="775413E5"/>
    <w:rsid w:val="77592225"/>
    <w:rsid w:val="775978C3"/>
    <w:rsid w:val="775B24C0"/>
    <w:rsid w:val="775E2406"/>
    <w:rsid w:val="77600628"/>
    <w:rsid w:val="77642336"/>
    <w:rsid w:val="776749E6"/>
    <w:rsid w:val="776D1B34"/>
    <w:rsid w:val="776D49F4"/>
    <w:rsid w:val="776D514F"/>
    <w:rsid w:val="7772322B"/>
    <w:rsid w:val="777849A6"/>
    <w:rsid w:val="777B5838"/>
    <w:rsid w:val="777E0588"/>
    <w:rsid w:val="7783170E"/>
    <w:rsid w:val="778655DC"/>
    <w:rsid w:val="77870F3E"/>
    <w:rsid w:val="778833A9"/>
    <w:rsid w:val="77977DE9"/>
    <w:rsid w:val="779C165A"/>
    <w:rsid w:val="779D0621"/>
    <w:rsid w:val="77A35ABC"/>
    <w:rsid w:val="77AA17BC"/>
    <w:rsid w:val="77AE5CCD"/>
    <w:rsid w:val="77B36485"/>
    <w:rsid w:val="77BB2498"/>
    <w:rsid w:val="77BD55FB"/>
    <w:rsid w:val="77C8522A"/>
    <w:rsid w:val="77CA0789"/>
    <w:rsid w:val="77CA4EFD"/>
    <w:rsid w:val="77CF6CB5"/>
    <w:rsid w:val="77D25A69"/>
    <w:rsid w:val="77D74109"/>
    <w:rsid w:val="77D90C39"/>
    <w:rsid w:val="77D97E46"/>
    <w:rsid w:val="77DC5E07"/>
    <w:rsid w:val="77E530F9"/>
    <w:rsid w:val="77F04B77"/>
    <w:rsid w:val="77F27263"/>
    <w:rsid w:val="77F624B0"/>
    <w:rsid w:val="77FD31F3"/>
    <w:rsid w:val="780668BB"/>
    <w:rsid w:val="78075AA4"/>
    <w:rsid w:val="78085469"/>
    <w:rsid w:val="78094675"/>
    <w:rsid w:val="7810609A"/>
    <w:rsid w:val="78160BBA"/>
    <w:rsid w:val="781D3EC9"/>
    <w:rsid w:val="781E159A"/>
    <w:rsid w:val="78275330"/>
    <w:rsid w:val="782D5707"/>
    <w:rsid w:val="783256DC"/>
    <w:rsid w:val="783902C3"/>
    <w:rsid w:val="783A532E"/>
    <w:rsid w:val="78426684"/>
    <w:rsid w:val="78454914"/>
    <w:rsid w:val="784E7611"/>
    <w:rsid w:val="78593244"/>
    <w:rsid w:val="78610813"/>
    <w:rsid w:val="787258A0"/>
    <w:rsid w:val="78727577"/>
    <w:rsid w:val="78763033"/>
    <w:rsid w:val="78781BEE"/>
    <w:rsid w:val="788347FC"/>
    <w:rsid w:val="7884727F"/>
    <w:rsid w:val="7889721C"/>
    <w:rsid w:val="788A238A"/>
    <w:rsid w:val="788D4B31"/>
    <w:rsid w:val="78901B4E"/>
    <w:rsid w:val="78953416"/>
    <w:rsid w:val="789A7610"/>
    <w:rsid w:val="78A84423"/>
    <w:rsid w:val="78AF2345"/>
    <w:rsid w:val="78B1683E"/>
    <w:rsid w:val="78B26E76"/>
    <w:rsid w:val="78B46358"/>
    <w:rsid w:val="78B4683A"/>
    <w:rsid w:val="78BD4FBF"/>
    <w:rsid w:val="78BD71AE"/>
    <w:rsid w:val="78C349EA"/>
    <w:rsid w:val="78C95352"/>
    <w:rsid w:val="78CB123F"/>
    <w:rsid w:val="78CC59C5"/>
    <w:rsid w:val="78D76AB8"/>
    <w:rsid w:val="78DE7CD8"/>
    <w:rsid w:val="78E073EC"/>
    <w:rsid w:val="78E37E72"/>
    <w:rsid w:val="78E47CC1"/>
    <w:rsid w:val="78E77D4F"/>
    <w:rsid w:val="78E9231C"/>
    <w:rsid w:val="78F07E4D"/>
    <w:rsid w:val="78F121E0"/>
    <w:rsid w:val="78F75D6C"/>
    <w:rsid w:val="78FD1B58"/>
    <w:rsid w:val="790327C3"/>
    <w:rsid w:val="79083ED9"/>
    <w:rsid w:val="79133545"/>
    <w:rsid w:val="79136D0E"/>
    <w:rsid w:val="7920391D"/>
    <w:rsid w:val="79223629"/>
    <w:rsid w:val="792C6423"/>
    <w:rsid w:val="793032B3"/>
    <w:rsid w:val="79356CC4"/>
    <w:rsid w:val="793C7971"/>
    <w:rsid w:val="793D4F43"/>
    <w:rsid w:val="794D5F36"/>
    <w:rsid w:val="79574DE4"/>
    <w:rsid w:val="796074BB"/>
    <w:rsid w:val="796626B2"/>
    <w:rsid w:val="796C1390"/>
    <w:rsid w:val="796D663D"/>
    <w:rsid w:val="79771244"/>
    <w:rsid w:val="797815E8"/>
    <w:rsid w:val="797A5FD6"/>
    <w:rsid w:val="797D6F5F"/>
    <w:rsid w:val="797F573F"/>
    <w:rsid w:val="79847C72"/>
    <w:rsid w:val="79873188"/>
    <w:rsid w:val="79874FCE"/>
    <w:rsid w:val="7987659E"/>
    <w:rsid w:val="798F7898"/>
    <w:rsid w:val="79900474"/>
    <w:rsid w:val="799A1F24"/>
    <w:rsid w:val="799B0DE6"/>
    <w:rsid w:val="79B40346"/>
    <w:rsid w:val="79B5214B"/>
    <w:rsid w:val="79BA60F6"/>
    <w:rsid w:val="79BA7A28"/>
    <w:rsid w:val="79BF12A9"/>
    <w:rsid w:val="79C057D2"/>
    <w:rsid w:val="79C11B59"/>
    <w:rsid w:val="79C83207"/>
    <w:rsid w:val="79CA2F04"/>
    <w:rsid w:val="79CA76F9"/>
    <w:rsid w:val="79D007CA"/>
    <w:rsid w:val="79D16717"/>
    <w:rsid w:val="79D516B5"/>
    <w:rsid w:val="79EB7B4C"/>
    <w:rsid w:val="79F21477"/>
    <w:rsid w:val="79F22A96"/>
    <w:rsid w:val="79F30209"/>
    <w:rsid w:val="79F83D37"/>
    <w:rsid w:val="79FB19F9"/>
    <w:rsid w:val="7A080898"/>
    <w:rsid w:val="7A0853B4"/>
    <w:rsid w:val="7A0E7B20"/>
    <w:rsid w:val="7A0F162C"/>
    <w:rsid w:val="7A147D76"/>
    <w:rsid w:val="7A183F9E"/>
    <w:rsid w:val="7A197638"/>
    <w:rsid w:val="7A1F146D"/>
    <w:rsid w:val="7A243E7F"/>
    <w:rsid w:val="7A3605F0"/>
    <w:rsid w:val="7A3B2651"/>
    <w:rsid w:val="7A3E79CA"/>
    <w:rsid w:val="7A3F4471"/>
    <w:rsid w:val="7A3F71A6"/>
    <w:rsid w:val="7A4E778C"/>
    <w:rsid w:val="7A52260F"/>
    <w:rsid w:val="7A5A0DD3"/>
    <w:rsid w:val="7A62402B"/>
    <w:rsid w:val="7A63740A"/>
    <w:rsid w:val="7A6A22AD"/>
    <w:rsid w:val="7A6C3532"/>
    <w:rsid w:val="7A6E3095"/>
    <w:rsid w:val="7A782633"/>
    <w:rsid w:val="7A7B5F7C"/>
    <w:rsid w:val="7A7C1501"/>
    <w:rsid w:val="7A7D1D2E"/>
    <w:rsid w:val="7A8857A0"/>
    <w:rsid w:val="7A91169F"/>
    <w:rsid w:val="7A961169"/>
    <w:rsid w:val="7A961FE6"/>
    <w:rsid w:val="7A9D5D7B"/>
    <w:rsid w:val="7A9F2AA0"/>
    <w:rsid w:val="7AA11F19"/>
    <w:rsid w:val="7AA6692F"/>
    <w:rsid w:val="7AAA35A7"/>
    <w:rsid w:val="7AAA781D"/>
    <w:rsid w:val="7AB1378A"/>
    <w:rsid w:val="7ABA7C88"/>
    <w:rsid w:val="7ABD330B"/>
    <w:rsid w:val="7ABF362B"/>
    <w:rsid w:val="7AC616C1"/>
    <w:rsid w:val="7AC867A2"/>
    <w:rsid w:val="7AC92323"/>
    <w:rsid w:val="7ACC5704"/>
    <w:rsid w:val="7AD2011A"/>
    <w:rsid w:val="7AD23009"/>
    <w:rsid w:val="7AD66719"/>
    <w:rsid w:val="7AD70A1F"/>
    <w:rsid w:val="7AD96BD6"/>
    <w:rsid w:val="7ADB6B84"/>
    <w:rsid w:val="7ADC422F"/>
    <w:rsid w:val="7AE056D1"/>
    <w:rsid w:val="7AF14113"/>
    <w:rsid w:val="7AF1612D"/>
    <w:rsid w:val="7AFB59EF"/>
    <w:rsid w:val="7B0251CD"/>
    <w:rsid w:val="7B044178"/>
    <w:rsid w:val="7B05555B"/>
    <w:rsid w:val="7B0841B1"/>
    <w:rsid w:val="7B112C13"/>
    <w:rsid w:val="7B117147"/>
    <w:rsid w:val="7B165F22"/>
    <w:rsid w:val="7B186CCB"/>
    <w:rsid w:val="7B193CFE"/>
    <w:rsid w:val="7B2105ED"/>
    <w:rsid w:val="7B2333F1"/>
    <w:rsid w:val="7B290932"/>
    <w:rsid w:val="7B293245"/>
    <w:rsid w:val="7B2D2D29"/>
    <w:rsid w:val="7B332775"/>
    <w:rsid w:val="7B337562"/>
    <w:rsid w:val="7B447916"/>
    <w:rsid w:val="7B4D53F2"/>
    <w:rsid w:val="7B5C0649"/>
    <w:rsid w:val="7B601836"/>
    <w:rsid w:val="7B606ED9"/>
    <w:rsid w:val="7B672626"/>
    <w:rsid w:val="7B6F520F"/>
    <w:rsid w:val="7B732AEF"/>
    <w:rsid w:val="7B79679C"/>
    <w:rsid w:val="7B7A25E3"/>
    <w:rsid w:val="7B7B27BA"/>
    <w:rsid w:val="7B815DE0"/>
    <w:rsid w:val="7B893152"/>
    <w:rsid w:val="7B8D1930"/>
    <w:rsid w:val="7B94504D"/>
    <w:rsid w:val="7B96645A"/>
    <w:rsid w:val="7B9726D4"/>
    <w:rsid w:val="7B97675C"/>
    <w:rsid w:val="7B9D6283"/>
    <w:rsid w:val="7BA33DFA"/>
    <w:rsid w:val="7BA73891"/>
    <w:rsid w:val="7BB71D0A"/>
    <w:rsid w:val="7BBB7828"/>
    <w:rsid w:val="7BBF4A57"/>
    <w:rsid w:val="7BC90D4C"/>
    <w:rsid w:val="7BCE572E"/>
    <w:rsid w:val="7BDC2266"/>
    <w:rsid w:val="7BE021B9"/>
    <w:rsid w:val="7BE64EDE"/>
    <w:rsid w:val="7BF94403"/>
    <w:rsid w:val="7BFE330D"/>
    <w:rsid w:val="7C036B6C"/>
    <w:rsid w:val="7C0D42CC"/>
    <w:rsid w:val="7C0E5C37"/>
    <w:rsid w:val="7C1265E1"/>
    <w:rsid w:val="7C192DFD"/>
    <w:rsid w:val="7C1B030D"/>
    <w:rsid w:val="7C1B073B"/>
    <w:rsid w:val="7C2205A5"/>
    <w:rsid w:val="7C2758EE"/>
    <w:rsid w:val="7C387699"/>
    <w:rsid w:val="7C3B5550"/>
    <w:rsid w:val="7C3C559D"/>
    <w:rsid w:val="7C3D43A8"/>
    <w:rsid w:val="7C3E323A"/>
    <w:rsid w:val="7C3E3FD3"/>
    <w:rsid w:val="7C417D92"/>
    <w:rsid w:val="7C4C01A6"/>
    <w:rsid w:val="7C530F05"/>
    <w:rsid w:val="7C541185"/>
    <w:rsid w:val="7C5C6E27"/>
    <w:rsid w:val="7C68278A"/>
    <w:rsid w:val="7C6B2424"/>
    <w:rsid w:val="7C6D6075"/>
    <w:rsid w:val="7C7707A9"/>
    <w:rsid w:val="7C7C2AEB"/>
    <w:rsid w:val="7C7C6DAE"/>
    <w:rsid w:val="7C7F06AF"/>
    <w:rsid w:val="7C860849"/>
    <w:rsid w:val="7C8E11E8"/>
    <w:rsid w:val="7C9333C0"/>
    <w:rsid w:val="7CA27882"/>
    <w:rsid w:val="7CA60B4A"/>
    <w:rsid w:val="7CA83BAD"/>
    <w:rsid w:val="7CA94294"/>
    <w:rsid w:val="7CB2718A"/>
    <w:rsid w:val="7CB62252"/>
    <w:rsid w:val="7CB90562"/>
    <w:rsid w:val="7CCE3ACE"/>
    <w:rsid w:val="7CD353ED"/>
    <w:rsid w:val="7CD81D15"/>
    <w:rsid w:val="7CD944A3"/>
    <w:rsid w:val="7CDD0C91"/>
    <w:rsid w:val="7CE86881"/>
    <w:rsid w:val="7CE90287"/>
    <w:rsid w:val="7CEB71E4"/>
    <w:rsid w:val="7CF30482"/>
    <w:rsid w:val="7CF86A6C"/>
    <w:rsid w:val="7CFA0C04"/>
    <w:rsid w:val="7CFD37EC"/>
    <w:rsid w:val="7CFE46E5"/>
    <w:rsid w:val="7D013043"/>
    <w:rsid w:val="7D0219A7"/>
    <w:rsid w:val="7D0509BE"/>
    <w:rsid w:val="7D060A14"/>
    <w:rsid w:val="7D061F4D"/>
    <w:rsid w:val="7D0B0B1C"/>
    <w:rsid w:val="7D0D4DFA"/>
    <w:rsid w:val="7D0F5070"/>
    <w:rsid w:val="7D140FA8"/>
    <w:rsid w:val="7D147FF5"/>
    <w:rsid w:val="7D1A1CE4"/>
    <w:rsid w:val="7D2B5269"/>
    <w:rsid w:val="7D3C62AC"/>
    <w:rsid w:val="7D3E5490"/>
    <w:rsid w:val="7D4229D6"/>
    <w:rsid w:val="7D4E7A1E"/>
    <w:rsid w:val="7D544B95"/>
    <w:rsid w:val="7D54545D"/>
    <w:rsid w:val="7D5C1A68"/>
    <w:rsid w:val="7D5C489B"/>
    <w:rsid w:val="7D5D64F1"/>
    <w:rsid w:val="7D610FD0"/>
    <w:rsid w:val="7D6441E3"/>
    <w:rsid w:val="7D684921"/>
    <w:rsid w:val="7D6C7CE2"/>
    <w:rsid w:val="7D704E26"/>
    <w:rsid w:val="7D7271E1"/>
    <w:rsid w:val="7D73331F"/>
    <w:rsid w:val="7D74396C"/>
    <w:rsid w:val="7D774559"/>
    <w:rsid w:val="7D774C04"/>
    <w:rsid w:val="7D7928F6"/>
    <w:rsid w:val="7D7C32CB"/>
    <w:rsid w:val="7D80296E"/>
    <w:rsid w:val="7D811187"/>
    <w:rsid w:val="7D874838"/>
    <w:rsid w:val="7D970A88"/>
    <w:rsid w:val="7D9810F0"/>
    <w:rsid w:val="7D987318"/>
    <w:rsid w:val="7DA038BE"/>
    <w:rsid w:val="7DA42B95"/>
    <w:rsid w:val="7DA464B2"/>
    <w:rsid w:val="7DA4743C"/>
    <w:rsid w:val="7DA9015A"/>
    <w:rsid w:val="7DAC2C25"/>
    <w:rsid w:val="7DAC5A45"/>
    <w:rsid w:val="7DAF4E99"/>
    <w:rsid w:val="7DB62AA3"/>
    <w:rsid w:val="7DBB3FB5"/>
    <w:rsid w:val="7DBE748D"/>
    <w:rsid w:val="7DC05B54"/>
    <w:rsid w:val="7DC14EFB"/>
    <w:rsid w:val="7DC54643"/>
    <w:rsid w:val="7DC67600"/>
    <w:rsid w:val="7DC70FA5"/>
    <w:rsid w:val="7DCE4F60"/>
    <w:rsid w:val="7DD96397"/>
    <w:rsid w:val="7DDB392F"/>
    <w:rsid w:val="7DE466DB"/>
    <w:rsid w:val="7DE745E1"/>
    <w:rsid w:val="7DEB3CA8"/>
    <w:rsid w:val="7DEB7A06"/>
    <w:rsid w:val="7DED36C2"/>
    <w:rsid w:val="7DF35631"/>
    <w:rsid w:val="7DF42A11"/>
    <w:rsid w:val="7DF52985"/>
    <w:rsid w:val="7DFD488E"/>
    <w:rsid w:val="7DFF359C"/>
    <w:rsid w:val="7E0215F5"/>
    <w:rsid w:val="7E063258"/>
    <w:rsid w:val="7E0A65D8"/>
    <w:rsid w:val="7E0E4DBE"/>
    <w:rsid w:val="7E0E6C2D"/>
    <w:rsid w:val="7E1B6711"/>
    <w:rsid w:val="7E216AA3"/>
    <w:rsid w:val="7E231A0C"/>
    <w:rsid w:val="7E2348C5"/>
    <w:rsid w:val="7E246165"/>
    <w:rsid w:val="7E26276D"/>
    <w:rsid w:val="7E2760F1"/>
    <w:rsid w:val="7E330FE8"/>
    <w:rsid w:val="7E380FD8"/>
    <w:rsid w:val="7E3D6195"/>
    <w:rsid w:val="7E421B66"/>
    <w:rsid w:val="7E431528"/>
    <w:rsid w:val="7E44549A"/>
    <w:rsid w:val="7E476D92"/>
    <w:rsid w:val="7E4C64F0"/>
    <w:rsid w:val="7E5519D0"/>
    <w:rsid w:val="7E6169CE"/>
    <w:rsid w:val="7E667220"/>
    <w:rsid w:val="7E6A4A8D"/>
    <w:rsid w:val="7E6F17C8"/>
    <w:rsid w:val="7E773EF7"/>
    <w:rsid w:val="7E7A3281"/>
    <w:rsid w:val="7E7C0054"/>
    <w:rsid w:val="7E7F1BCB"/>
    <w:rsid w:val="7E857064"/>
    <w:rsid w:val="7E8C0B11"/>
    <w:rsid w:val="7E91326B"/>
    <w:rsid w:val="7E955015"/>
    <w:rsid w:val="7E975686"/>
    <w:rsid w:val="7E994927"/>
    <w:rsid w:val="7E9C119F"/>
    <w:rsid w:val="7E9E4817"/>
    <w:rsid w:val="7EA237D3"/>
    <w:rsid w:val="7EAD1F7E"/>
    <w:rsid w:val="7EAE2FF0"/>
    <w:rsid w:val="7EB31664"/>
    <w:rsid w:val="7EB53123"/>
    <w:rsid w:val="7EBB33C6"/>
    <w:rsid w:val="7EC04051"/>
    <w:rsid w:val="7ECE068E"/>
    <w:rsid w:val="7ECE5703"/>
    <w:rsid w:val="7ED53165"/>
    <w:rsid w:val="7ED66172"/>
    <w:rsid w:val="7EDA37B9"/>
    <w:rsid w:val="7EDE2B67"/>
    <w:rsid w:val="7EE16926"/>
    <w:rsid w:val="7EE72D6A"/>
    <w:rsid w:val="7EE82CCB"/>
    <w:rsid w:val="7EE92BE5"/>
    <w:rsid w:val="7EED6FD1"/>
    <w:rsid w:val="7F063394"/>
    <w:rsid w:val="7F1826AB"/>
    <w:rsid w:val="7F214438"/>
    <w:rsid w:val="7F2166EC"/>
    <w:rsid w:val="7F231A08"/>
    <w:rsid w:val="7F274860"/>
    <w:rsid w:val="7F2C4DAB"/>
    <w:rsid w:val="7F314FD3"/>
    <w:rsid w:val="7F3A656F"/>
    <w:rsid w:val="7F3D3ED3"/>
    <w:rsid w:val="7F45631B"/>
    <w:rsid w:val="7F485669"/>
    <w:rsid w:val="7F4877C7"/>
    <w:rsid w:val="7F522DFA"/>
    <w:rsid w:val="7F561385"/>
    <w:rsid w:val="7F5651F1"/>
    <w:rsid w:val="7F5A52A0"/>
    <w:rsid w:val="7F651DB9"/>
    <w:rsid w:val="7F670DC8"/>
    <w:rsid w:val="7F6E50A9"/>
    <w:rsid w:val="7F716BC5"/>
    <w:rsid w:val="7F724D0F"/>
    <w:rsid w:val="7F727A0A"/>
    <w:rsid w:val="7F78235B"/>
    <w:rsid w:val="7F7A34C7"/>
    <w:rsid w:val="7F80132B"/>
    <w:rsid w:val="7F815155"/>
    <w:rsid w:val="7F8540D7"/>
    <w:rsid w:val="7F891B6E"/>
    <w:rsid w:val="7F8F7E72"/>
    <w:rsid w:val="7F953AB8"/>
    <w:rsid w:val="7F976362"/>
    <w:rsid w:val="7F9D0C8C"/>
    <w:rsid w:val="7FA3431B"/>
    <w:rsid w:val="7FAC5D03"/>
    <w:rsid w:val="7FB8703D"/>
    <w:rsid w:val="7FB9037D"/>
    <w:rsid w:val="7FBD2C93"/>
    <w:rsid w:val="7FBD2E6E"/>
    <w:rsid w:val="7FC111EF"/>
    <w:rsid w:val="7FC6309A"/>
    <w:rsid w:val="7FC70B2F"/>
    <w:rsid w:val="7FCA39A7"/>
    <w:rsid w:val="7FD16A5B"/>
    <w:rsid w:val="7FD72B4B"/>
    <w:rsid w:val="7FDD05B7"/>
    <w:rsid w:val="7FE225F5"/>
    <w:rsid w:val="7FE329BC"/>
    <w:rsid w:val="7FE50D44"/>
    <w:rsid w:val="7FEB651D"/>
    <w:rsid w:val="7FEC07B8"/>
    <w:rsid w:val="7FF05264"/>
    <w:rsid w:val="7FF22EF0"/>
    <w:rsid w:val="7FF468F2"/>
    <w:rsid w:val="7FFD0C23"/>
    <w:rsid w:val="7FFF3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qFormat="1"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link w:val="147"/>
    <w:qFormat/>
    <w:uiPriority w:val="0"/>
    <w:pPr>
      <w:keepNext/>
      <w:keepLines/>
      <w:spacing w:line="360" w:lineRule="auto"/>
      <w:outlineLvl w:val="0"/>
    </w:pPr>
    <w:rPr>
      <w:b/>
      <w:bCs/>
      <w:kern w:val="44"/>
      <w:sz w:val="30"/>
      <w:szCs w:val="30"/>
    </w:rPr>
  </w:style>
  <w:style w:type="paragraph" w:styleId="3">
    <w:name w:val="heading 2"/>
    <w:basedOn w:val="1"/>
    <w:next w:val="1"/>
    <w:link w:val="125"/>
    <w:qFormat/>
    <w:uiPriority w:val="0"/>
    <w:pPr>
      <w:keepNext/>
      <w:keepLines/>
      <w:spacing w:before="50" w:beforeLines="50" w:after="50" w:afterLines="50" w:line="380" w:lineRule="exact"/>
      <w:outlineLvl w:val="1"/>
    </w:pPr>
    <w:rPr>
      <w:rFonts w:ascii="Arial" w:hAnsi="Arial" w:eastAsia="黑体"/>
      <w:bCs/>
      <w:kern w:val="0"/>
      <w:sz w:val="24"/>
    </w:rPr>
  </w:style>
  <w:style w:type="paragraph" w:styleId="4">
    <w:name w:val="heading 3"/>
    <w:basedOn w:val="1"/>
    <w:next w:val="5"/>
    <w:qFormat/>
    <w:uiPriority w:val="0"/>
    <w:pPr>
      <w:keepNext/>
      <w:keepLines/>
      <w:spacing w:before="50" w:beforeLines="50" w:after="50" w:afterLines="50" w:line="380" w:lineRule="exact"/>
      <w:outlineLvl w:val="2"/>
    </w:pPr>
    <w:rPr>
      <w:rFonts w:eastAsia="黑体"/>
      <w:bCs/>
      <w:sz w:val="24"/>
      <w:szCs w:val="32"/>
    </w:rPr>
  </w:style>
  <w:style w:type="paragraph" w:styleId="6">
    <w:name w:val="heading 4"/>
    <w:basedOn w:val="7"/>
    <w:next w:val="7"/>
    <w:link w:val="138"/>
    <w:qFormat/>
    <w:uiPriority w:val="0"/>
    <w:pPr>
      <w:keepNext/>
      <w:keepLines/>
      <w:spacing w:before="156" w:beforeLines="50" w:after="156" w:afterLines="50" w:line="380" w:lineRule="exact"/>
      <w:outlineLvl w:val="3"/>
    </w:pPr>
    <w:rPr>
      <w:b/>
      <w:bCs/>
      <w:sz w:val="24"/>
      <w:szCs w:val="28"/>
    </w:rPr>
  </w:style>
  <w:style w:type="character" w:default="1" w:styleId="36">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5">
    <w:name w:val="Body Text First Indent"/>
    <w:basedOn w:val="1"/>
    <w:qFormat/>
    <w:uiPriority w:val="0"/>
    <w:pPr>
      <w:ind w:firstLine="420" w:firstLineChars="100"/>
    </w:pPr>
  </w:style>
  <w:style w:type="paragraph" w:styleId="7">
    <w:name w:val="table of authorities"/>
    <w:basedOn w:val="1"/>
    <w:next w:val="1"/>
    <w:semiHidden/>
    <w:unhideWhenUsed/>
    <w:qFormat/>
    <w:uiPriority w:val="99"/>
    <w:pPr>
      <w:ind w:left="420" w:leftChars="200"/>
    </w:pPr>
  </w:style>
  <w:style w:type="paragraph" w:styleId="8">
    <w:name w:val="Normal Indent"/>
    <w:basedOn w:val="1"/>
    <w:next w:val="9"/>
    <w:link w:val="131"/>
    <w:qFormat/>
    <w:uiPriority w:val="0"/>
    <w:pPr>
      <w:ind w:firstLine="420" w:firstLineChars="200"/>
    </w:pPr>
  </w:style>
  <w:style w:type="paragraph" w:customStyle="1" w:styleId="9">
    <w:name w:val="Default"/>
    <w:next w:val="10"/>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paragraph" w:customStyle="1" w:styleId="10">
    <w:name w:val="样式1"/>
    <w:basedOn w:val="11"/>
    <w:next w:val="1"/>
    <w:qFormat/>
    <w:uiPriority w:val="0"/>
  </w:style>
  <w:style w:type="paragraph" w:styleId="11">
    <w:name w:val="index heading"/>
    <w:basedOn w:val="1"/>
    <w:next w:val="12"/>
    <w:semiHidden/>
    <w:qFormat/>
    <w:uiPriority w:val="0"/>
    <w:rPr>
      <w:rFonts w:ascii="Arial" w:hAnsi="Arial" w:cs="Arial"/>
      <w:b/>
      <w:bCs/>
    </w:rPr>
  </w:style>
  <w:style w:type="paragraph" w:styleId="12">
    <w:name w:val="index 1"/>
    <w:basedOn w:val="1"/>
    <w:next w:val="1"/>
    <w:qFormat/>
    <w:uiPriority w:val="0"/>
    <w:pPr>
      <w:spacing w:line="192" w:lineRule="auto"/>
      <w:jc w:val="center"/>
    </w:pPr>
    <w:rPr>
      <w:rFonts w:ascii="宋体" w:hAnsi="宋体"/>
      <w:szCs w:val="20"/>
    </w:rPr>
  </w:style>
  <w:style w:type="paragraph" w:styleId="13">
    <w:name w:val="caption"/>
    <w:basedOn w:val="1"/>
    <w:next w:val="5"/>
    <w:qFormat/>
    <w:uiPriority w:val="0"/>
    <w:rPr>
      <w:rFonts w:ascii="Arial" w:hAnsi="Arial" w:eastAsia="黑体" w:cs="Arial"/>
      <w:sz w:val="20"/>
    </w:rPr>
  </w:style>
  <w:style w:type="paragraph" w:styleId="14">
    <w:name w:val="Document Map"/>
    <w:basedOn w:val="1"/>
    <w:semiHidden/>
    <w:qFormat/>
    <w:uiPriority w:val="0"/>
    <w:pPr>
      <w:shd w:val="clear" w:color="auto" w:fill="000080"/>
    </w:pPr>
  </w:style>
  <w:style w:type="paragraph" w:styleId="15">
    <w:name w:val="annotation text"/>
    <w:basedOn w:val="1"/>
    <w:semiHidden/>
    <w:qFormat/>
    <w:uiPriority w:val="0"/>
    <w:pPr>
      <w:jc w:val="left"/>
    </w:pPr>
  </w:style>
  <w:style w:type="paragraph" w:styleId="16">
    <w:name w:val="Salutation"/>
    <w:basedOn w:val="1"/>
    <w:next w:val="1"/>
    <w:qFormat/>
    <w:uiPriority w:val="0"/>
    <w:rPr>
      <w:sz w:val="28"/>
    </w:rPr>
  </w:style>
  <w:style w:type="paragraph" w:styleId="17">
    <w:name w:val="Body Text"/>
    <w:basedOn w:val="1"/>
    <w:qFormat/>
    <w:uiPriority w:val="0"/>
    <w:pPr>
      <w:spacing w:after="120"/>
    </w:pPr>
  </w:style>
  <w:style w:type="paragraph" w:styleId="18">
    <w:name w:val="Body Text Indent"/>
    <w:basedOn w:val="1"/>
    <w:next w:val="19"/>
    <w:link w:val="124"/>
    <w:qFormat/>
    <w:uiPriority w:val="0"/>
    <w:pPr>
      <w:ind w:firstLine="540"/>
    </w:pPr>
    <w:rPr>
      <w:rFonts w:ascii="宋体"/>
      <w:sz w:val="28"/>
    </w:rPr>
  </w:style>
  <w:style w:type="paragraph" w:styleId="19">
    <w:name w:val="Body Text Indent 2"/>
    <w:basedOn w:val="1"/>
    <w:next w:val="20"/>
    <w:qFormat/>
    <w:uiPriority w:val="0"/>
    <w:pPr>
      <w:spacing w:after="120" w:line="480" w:lineRule="auto"/>
      <w:ind w:left="420" w:leftChars="200"/>
    </w:pPr>
  </w:style>
  <w:style w:type="paragraph" w:styleId="20">
    <w:name w:val="Body Text First Indent 2"/>
    <w:basedOn w:val="18"/>
    <w:next w:val="1"/>
    <w:qFormat/>
    <w:uiPriority w:val="0"/>
    <w:pPr>
      <w:spacing w:after="120"/>
      <w:ind w:left="420" w:leftChars="200" w:firstLine="420" w:firstLineChars="200"/>
    </w:pPr>
    <w:rPr>
      <w:sz w:val="21"/>
      <w:szCs w:val="24"/>
    </w:rPr>
  </w:style>
  <w:style w:type="paragraph" w:styleId="21">
    <w:name w:val="Plain Text"/>
    <w:basedOn w:val="1"/>
    <w:next w:val="16"/>
    <w:link w:val="128"/>
    <w:qFormat/>
    <w:uiPriority w:val="0"/>
    <w:rPr>
      <w:rFonts w:ascii="宋体" w:hAnsi="Courier New" w:cs="Courier New"/>
      <w:szCs w:val="21"/>
    </w:rPr>
  </w:style>
  <w:style w:type="paragraph" w:styleId="22">
    <w:name w:val="toc 8"/>
    <w:basedOn w:val="1"/>
    <w:next w:val="1"/>
    <w:qFormat/>
    <w:uiPriority w:val="0"/>
    <w:pPr>
      <w:ind w:left="1470"/>
      <w:jc w:val="left"/>
    </w:pPr>
    <w:rPr>
      <w:sz w:val="18"/>
      <w:szCs w:val="18"/>
    </w:rPr>
  </w:style>
  <w:style w:type="paragraph" w:styleId="23">
    <w:name w:val="Balloon Text"/>
    <w:basedOn w:val="1"/>
    <w:semiHidden/>
    <w:qFormat/>
    <w:uiPriority w:val="0"/>
    <w:rPr>
      <w:sz w:val="18"/>
      <w:szCs w:val="18"/>
    </w:rPr>
  </w:style>
  <w:style w:type="paragraph" w:styleId="24">
    <w:name w:val="footer"/>
    <w:basedOn w:val="1"/>
    <w:link w:val="132"/>
    <w:qFormat/>
    <w:uiPriority w:val="0"/>
    <w:pPr>
      <w:tabs>
        <w:tab w:val="center" w:pos="4153"/>
        <w:tab w:val="right" w:pos="8306"/>
      </w:tabs>
      <w:snapToGrid w:val="0"/>
      <w:jc w:val="left"/>
    </w:pPr>
    <w:rPr>
      <w:sz w:val="18"/>
      <w:szCs w:val="18"/>
    </w:rPr>
  </w:style>
  <w:style w:type="paragraph" w:styleId="25">
    <w:name w:val="header"/>
    <w:basedOn w:val="1"/>
    <w:link w:val="123"/>
    <w:qFormat/>
    <w:uiPriority w:val="0"/>
    <w:pPr>
      <w:pBdr>
        <w:bottom w:val="single" w:color="auto" w:sz="6" w:space="1"/>
      </w:pBdr>
      <w:tabs>
        <w:tab w:val="center" w:pos="4153"/>
        <w:tab w:val="right" w:pos="8306"/>
      </w:tabs>
      <w:snapToGrid w:val="0"/>
      <w:jc w:val="center"/>
    </w:pPr>
    <w:rPr>
      <w:sz w:val="18"/>
      <w:szCs w:val="18"/>
    </w:rPr>
  </w:style>
  <w:style w:type="paragraph" w:styleId="26">
    <w:name w:val="Body Text Indent 3"/>
    <w:basedOn w:val="1"/>
    <w:qFormat/>
    <w:uiPriority w:val="0"/>
    <w:pPr>
      <w:spacing w:after="120"/>
      <w:ind w:left="420" w:leftChars="200"/>
    </w:pPr>
    <w:rPr>
      <w:sz w:val="16"/>
      <w:szCs w:val="16"/>
    </w:rPr>
  </w:style>
  <w:style w:type="paragraph" w:styleId="27">
    <w:name w:val="table of figures"/>
    <w:basedOn w:val="1"/>
    <w:next w:val="1"/>
    <w:qFormat/>
    <w:uiPriority w:val="0"/>
    <w:pPr>
      <w:ind w:left="200" w:leftChars="200" w:hanging="200" w:hangingChars="200"/>
    </w:pPr>
    <w:rPr>
      <w:szCs w:val="22"/>
    </w:rPr>
  </w:style>
  <w:style w:type="paragraph" w:styleId="28">
    <w:name w:val="Body Text 2"/>
    <w:basedOn w:val="1"/>
    <w:qFormat/>
    <w:uiPriority w:val="0"/>
    <w:pPr>
      <w:spacing w:after="120" w:line="480" w:lineRule="auto"/>
    </w:pPr>
    <w:rPr>
      <w:szCs w:val="24"/>
    </w:rPr>
  </w:style>
  <w:style w:type="paragraph" w:styleId="29">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30">
    <w:name w:val="Normal (Web)"/>
    <w:basedOn w:val="1"/>
    <w:qFormat/>
    <w:uiPriority w:val="0"/>
    <w:rPr>
      <w:sz w:val="24"/>
      <w:szCs w:val="24"/>
    </w:rPr>
  </w:style>
  <w:style w:type="paragraph" w:styleId="31">
    <w:name w:val="annotation subject"/>
    <w:basedOn w:val="15"/>
    <w:next w:val="15"/>
    <w:semiHidden/>
    <w:qFormat/>
    <w:uiPriority w:val="0"/>
    <w:rPr>
      <w:b/>
      <w:bCs/>
    </w:rPr>
  </w:style>
  <w:style w:type="table" w:styleId="33">
    <w:name w:val="Table Grid"/>
    <w:basedOn w:val="3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Table Theme"/>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Table Grid 5"/>
    <w:basedOn w:val="3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single" w:color="000000" w:sz="12" w:space="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37">
    <w:name w:val="Strong"/>
    <w:qFormat/>
    <w:uiPriority w:val="22"/>
    <w:rPr>
      <w:b/>
      <w:bCs/>
    </w:rPr>
  </w:style>
  <w:style w:type="character" w:styleId="38">
    <w:name w:val="page number"/>
    <w:basedOn w:val="36"/>
    <w:qFormat/>
    <w:uiPriority w:val="0"/>
  </w:style>
  <w:style w:type="character" w:styleId="39">
    <w:name w:val="Hyperlink"/>
    <w:qFormat/>
    <w:uiPriority w:val="0"/>
    <w:rPr>
      <w:color w:val="3366CC"/>
      <w:u w:val="single"/>
    </w:rPr>
  </w:style>
  <w:style w:type="character" w:styleId="40">
    <w:name w:val="annotation reference"/>
    <w:qFormat/>
    <w:uiPriority w:val="0"/>
    <w:rPr>
      <w:sz w:val="21"/>
      <w:szCs w:val="21"/>
    </w:rPr>
  </w:style>
  <w:style w:type="paragraph" w:customStyle="1" w:styleId="41">
    <w:name w:val="新格式表"/>
    <w:basedOn w:val="1"/>
    <w:qFormat/>
    <w:uiPriority w:val="0"/>
    <w:pPr>
      <w:adjustRightInd w:val="0"/>
      <w:snapToGrid w:val="0"/>
      <w:spacing w:line="0" w:lineRule="atLeast"/>
      <w:jc w:val="center"/>
    </w:pPr>
    <w:rPr>
      <w:szCs w:val="21"/>
    </w:rPr>
  </w:style>
  <w:style w:type="paragraph" w:customStyle="1" w:styleId="42">
    <w:name w:val="表格内"/>
    <w:basedOn w:val="1"/>
    <w:qFormat/>
    <w:uiPriority w:val="0"/>
    <w:pPr>
      <w:adjustRightInd w:val="0"/>
      <w:spacing w:line="240" w:lineRule="atLeast"/>
      <w:jc w:val="center"/>
      <w:textAlignment w:val="baseline"/>
    </w:pPr>
    <w:rPr>
      <w:rFonts w:ascii="宋体"/>
      <w:kern w:val="0"/>
      <w:sz w:val="28"/>
    </w:rPr>
  </w:style>
  <w:style w:type="paragraph" w:customStyle="1" w:styleId="43">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44">
    <w:name w:val="_Style 19"/>
    <w:basedOn w:val="1"/>
    <w:qFormat/>
    <w:uiPriority w:val="0"/>
    <w:pPr>
      <w:ind w:firstLine="420" w:firstLineChars="200"/>
    </w:pPr>
    <w:rPr>
      <w:kern w:val="0"/>
      <w:sz w:val="24"/>
    </w:rPr>
  </w:style>
  <w:style w:type="paragraph" w:customStyle="1" w:styleId="45">
    <w:name w:val="默认段落字体 Para Char"/>
    <w:basedOn w:val="1"/>
    <w:qFormat/>
    <w:uiPriority w:val="0"/>
    <w:rPr>
      <w:sz w:val="24"/>
      <w:szCs w:val="24"/>
    </w:rPr>
  </w:style>
  <w:style w:type="paragraph" w:customStyle="1" w:styleId="46">
    <w:name w:val="Char1"/>
    <w:basedOn w:val="1"/>
    <w:next w:val="1"/>
    <w:semiHidden/>
    <w:qFormat/>
    <w:uiPriority w:val="0"/>
    <w:pPr>
      <w:spacing w:line="360" w:lineRule="auto"/>
      <w:ind w:firstLine="200" w:firstLineChars="200"/>
    </w:pPr>
    <w:rPr>
      <w:rFonts w:ascii="宋体" w:hAnsi="宋体" w:cs="宋体"/>
      <w:sz w:val="24"/>
      <w:szCs w:val="24"/>
    </w:rPr>
  </w:style>
  <w:style w:type="paragraph" w:customStyle="1" w:styleId="47">
    <w:name w:val="1正文段落"/>
    <w:basedOn w:val="1"/>
    <w:link w:val="117"/>
    <w:qFormat/>
    <w:uiPriority w:val="0"/>
    <w:pPr>
      <w:spacing w:line="360" w:lineRule="auto"/>
      <w:ind w:firstLine="480" w:firstLineChars="200"/>
      <w:jc w:val="left"/>
    </w:pPr>
    <w:rPr>
      <w:kern w:val="0"/>
      <w:sz w:val="24"/>
      <w:szCs w:val="24"/>
    </w:rPr>
  </w:style>
  <w:style w:type="paragraph" w:customStyle="1" w:styleId="48">
    <w:name w:val="样式 五号 居中"/>
    <w:basedOn w:val="1"/>
    <w:link w:val="135"/>
    <w:qFormat/>
    <w:uiPriority w:val="0"/>
    <w:pPr>
      <w:jc w:val="center"/>
    </w:pPr>
    <w:rPr>
      <w:rFonts w:cs="宋体"/>
    </w:rPr>
  </w:style>
  <w:style w:type="paragraph" w:customStyle="1" w:styleId="49">
    <w:name w:val="表格标题"/>
    <w:basedOn w:val="17"/>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rPr>
  </w:style>
  <w:style w:type="paragraph" w:customStyle="1" w:styleId="50">
    <w:name w:val="正文样式1"/>
    <w:basedOn w:val="1"/>
    <w:qFormat/>
    <w:uiPriority w:val="0"/>
    <w:pPr>
      <w:adjustRightInd w:val="0"/>
      <w:spacing w:beforeLines="10" w:afterLines="10" w:line="312" w:lineRule="auto"/>
      <w:ind w:firstLine="200" w:firstLineChars="200"/>
      <w:textAlignment w:val="baseline"/>
    </w:pPr>
    <w:rPr>
      <w:snapToGrid w:val="0"/>
      <w:position w:val="-12"/>
      <w:sz w:val="24"/>
    </w:rPr>
  </w:style>
  <w:style w:type="paragraph" w:customStyle="1" w:styleId="51">
    <w:name w:val="正文首行缩进 2 + Times New Roman"/>
    <w:basedOn w:val="1"/>
    <w:qFormat/>
    <w:uiPriority w:val="0"/>
    <w:pPr>
      <w:tabs>
        <w:tab w:val="left" w:pos="0"/>
        <w:tab w:val="left" w:pos="870"/>
        <w:tab w:val="left" w:pos="3150"/>
      </w:tabs>
      <w:autoSpaceDE w:val="0"/>
      <w:autoSpaceDN w:val="0"/>
      <w:spacing w:line="360" w:lineRule="auto"/>
      <w:ind w:firstLine="480" w:firstLineChars="200"/>
      <w:jc w:val="left"/>
    </w:pPr>
    <w:rPr>
      <w:kern w:val="0"/>
      <w:sz w:val="24"/>
      <w:szCs w:val="24"/>
    </w:rPr>
  </w:style>
  <w:style w:type="paragraph" w:customStyle="1" w:styleId="52">
    <w:name w:val="表格hy"/>
    <w:basedOn w:val="1"/>
    <w:link w:val="139"/>
    <w:qFormat/>
    <w:uiPriority w:val="0"/>
    <w:pPr>
      <w:spacing w:line="0" w:lineRule="atLeast"/>
      <w:jc w:val="center"/>
    </w:pPr>
    <w:rPr>
      <w:rFonts w:ascii="楷体_GB2312" w:eastAsia="楷体_GB2312"/>
      <w:color w:val="000000"/>
      <w:szCs w:val="22"/>
    </w:rPr>
  </w:style>
  <w:style w:type="paragraph" w:customStyle="1" w:styleId="53">
    <w:name w:val="报告表  段"/>
    <w:basedOn w:val="1"/>
    <w:link w:val="122"/>
    <w:qFormat/>
    <w:uiPriority w:val="0"/>
    <w:pPr>
      <w:adjustRightInd w:val="0"/>
      <w:spacing w:line="360" w:lineRule="auto"/>
      <w:ind w:firstLine="505"/>
      <w:textAlignment w:val="baseline"/>
    </w:pPr>
    <w:rPr>
      <w:rFonts w:ascii="宋体"/>
      <w:kern w:val="0"/>
      <w:sz w:val="24"/>
    </w:rPr>
  </w:style>
  <w:style w:type="paragraph" w:customStyle="1" w:styleId="54">
    <w:name w:val="表文字"/>
    <w:basedOn w:val="1"/>
    <w:qFormat/>
    <w:uiPriority w:val="0"/>
    <w:pPr>
      <w:topLinePunct/>
      <w:adjustRightInd w:val="0"/>
      <w:spacing w:line="360" w:lineRule="exact"/>
      <w:jc w:val="center"/>
      <w:textAlignment w:val="baseline"/>
    </w:pPr>
    <w:rPr>
      <w:kern w:val="0"/>
      <w:szCs w:val="21"/>
    </w:rPr>
  </w:style>
  <w:style w:type="paragraph" w:customStyle="1" w:styleId="55">
    <w:name w:val="表内文字"/>
    <w:basedOn w:val="1"/>
    <w:qFormat/>
    <w:uiPriority w:val="0"/>
    <w:pPr>
      <w:adjustRightInd w:val="0"/>
      <w:jc w:val="center"/>
      <w:textAlignment w:val="baseline"/>
    </w:pPr>
  </w:style>
  <w:style w:type="paragraph" w:customStyle="1" w:styleId="56">
    <w:name w:val="样式 表格 32 + 首行缩进:  2 字符"/>
    <w:basedOn w:val="1"/>
    <w:qFormat/>
    <w:uiPriority w:val="0"/>
    <w:pPr>
      <w:autoSpaceDE w:val="0"/>
      <w:autoSpaceDN w:val="0"/>
      <w:adjustRightInd w:val="0"/>
      <w:spacing w:line="0" w:lineRule="atLeast"/>
      <w:jc w:val="center"/>
      <w:textAlignment w:val="baseline"/>
    </w:pPr>
    <w:rPr>
      <w:rFonts w:cs="宋体"/>
      <w:kern w:val="0"/>
      <w:szCs w:val="21"/>
    </w:rPr>
  </w:style>
  <w:style w:type="paragraph" w:customStyle="1" w:styleId="57">
    <w:name w:val="正文 + 仿宋_GB2312"/>
    <w:basedOn w:val="1"/>
    <w:qFormat/>
    <w:uiPriority w:val="99"/>
    <w:pPr>
      <w:ind w:firstLine="480" w:firstLineChars="200"/>
    </w:pPr>
    <w:rPr>
      <w:rFonts w:ascii="仿宋_GB2312" w:eastAsia="仿宋_GB2312"/>
      <w:sz w:val="24"/>
      <w:szCs w:val="22"/>
    </w:rPr>
  </w:style>
  <w:style w:type="paragraph" w:customStyle="1" w:styleId="58">
    <w:name w:val="表标题"/>
    <w:basedOn w:val="1"/>
    <w:link w:val="148"/>
    <w:qFormat/>
    <w:uiPriority w:val="0"/>
    <w:pPr>
      <w:adjustRightInd w:val="0"/>
      <w:snapToGrid w:val="0"/>
      <w:spacing w:line="360" w:lineRule="auto"/>
      <w:jc w:val="center"/>
    </w:pPr>
    <w:rPr>
      <w:b/>
      <w:bCs/>
      <w:kern w:val="0"/>
      <w:sz w:val="24"/>
      <w:szCs w:val="18"/>
    </w:rPr>
  </w:style>
  <w:style w:type="paragraph" w:customStyle="1" w:styleId="59">
    <w:name w:val="表格内容自定"/>
    <w:basedOn w:val="1"/>
    <w:qFormat/>
    <w:uiPriority w:val="0"/>
    <w:pPr>
      <w:spacing w:line="280" w:lineRule="exact"/>
      <w:jc w:val="center"/>
    </w:pPr>
    <w:rPr>
      <w:kern w:val="0"/>
      <w:sz w:val="18"/>
      <w:szCs w:val="21"/>
    </w:rPr>
  </w:style>
  <w:style w:type="paragraph" w:styleId="60">
    <w:name w:val="No Spacing"/>
    <w:qFormat/>
    <w:uiPriority w:val="99"/>
    <w:pPr>
      <w:jc w:val="center"/>
    </w:pPr>
    <w:rPr>
      <w:rFonts w:ascii="Times New Roman" w:hAnsi="Times New Roman" w:eastAsia="宋体" w:cs="宋体"/>
      <w:color w:val="000000"/>
      <w:sz w:val="21"/>
      <w:szCs w:val="24"/>
      <w:lang w:val="en-US" w:eastAsia="zh-CN" w:bidi="ar-SA"/>
    </w:rPr>
  </w:style>
  <w:style w:type="paragraph" w:customStyle="1" w:styleId="61">
    <w:name w:val="MFS单位3"/>
    <w:basedOn w:val="1"/>
    <w:link w:val="127"/>
    <w:qFormat/>
    <w:uiPriority w:val="0"/>
    <w:pPr>
      <w:tabs>
        <w:tab w:val="left" w:pos="780"/>
      </w:tabs>
      <w:jc w:val="right"/>
    </w:pPr>
    <w:rPr>
      <w:rFonts w:eastAsia="楷体_GB2312"/>
      <w:sz w:val="18"/>
      <w:szCs w:val="18"/>
    </w:rPr>
  </w:style>
  <w:style w:type="paragraph" w:customStyle="1" w:styleId="62">
    <w:name w:val="Lux 正文"/>
    <w:basedOn w:val="1"/>
    <w:qFormat/>
    <w:uiPriority w:val="0"/>
    <w:pPr>
      <w:ind w:firstLine="200"/>
    </w:pPr>
    <w:rPr>
      <w:kern w:val="0"/>
    </w:rPr>
  </w:style>
  <w:style w:type="paragraph" w:customStyle="1" w:styleId="63">
    <w:name w:val="表头样式1"/>
    <w:basedOn w:val="1"/>
    <w:qFormat/>
    <w:uiPriority w:val="0"/>
    <w:pPr>
      <w:spacing w:before="156" w:beforeLines="50"/>
      <w:jc w:val="center"/>
    </w:pPr>
    <w:rPr>
      <w:rFonts w:eastAsia="黑体"/>
      <w:b/>
      <w:sz w:val="24"/>
    </w:rPr>
  </w:style>
  <w:style w:type="paragraph" w:customStyle="1" w:styleId="64">
    <w:name w:val="正文-biao"/>
    <w:basedOn w:val="1"/>
    <w:qFormat/>
    <w:uiPriority w:val="0"/>
    <w:pPr>
      <w:spacing w:before="60" w:line="460" w:lineRule="exact"/>
      <w:ind w:firstLine="482"/>
    </w:pPr>
    <w:rPr>
      <w:rFonts w:ascii="Times New Roman"/>
      <w:szCs w:val="24"/>
    </w:rPr>
  </w:style>
  <w:style w:type="paragraph" w:customStyle="1" w:styleId="65">
    <w:name w:val="居中正文"/>
    <w:basedOn w:val="5"/>
    <w:qFormat/>
    <w:uiPriority w:val="0"/>
    <w:pPr>
      <w:adjustRightInd w:val="0"/>
      <w:spacing w:before="120" w:after="0" w:line="360" w:lineRule="auto"/>
      <w:ind w:firstLine="0" w:firstLineChars="0"/>
      <w:jc w:val="center"/>
    </w:pPr>
    <w:rPr>
      <w:rFonts w:hint="eastAsia" w:ascii="宋体"/>
      <w:kern w:val="28"/>
      <w:sz w:val="24"/>
    </w:rPr>
  </w:style>
  <w:style w:type="paragraph" w:customStyle="1" w:styleId="66">
    <w:name w:val="hhcwt正文"/>
    <w:basedOn w:val="1"/>
    <w:link w:val="145"/>
    <w:qFormat/>
    <w:uiPriority w:val="0"/>
    <w:pPr>
      <w:spacing w:line="360" w:lineRule="auto"/>
      <w:ind w:firstLine="480" w:firstLineChars="200"/>
    </w:pPr>
    <w:rPr>
      <w:sz w:val="24"/>
    </w:rPr>
  </w:style>
  <w:style w:type="paragraph" w:customStyle="1" w:styleId="67">
    <w:name w:val="Char"/>
    <w:basedOn w:val="1"/>
    <w:qFormat/>
    <w:uiPriority w:val="0"/>
    <w:rPr>
      <w:b/>
      <w:bCs/>
      <w:kern w:val="0"/>
      <w:sz w:val="36"/>
      <w:szCs w:val="32"/>
    </w:rPr>
  </w:style>
  <w:style w:type="paragraph" w:styleId="68">
    <w:name w:val="List Paragraph"/>
    <w:basedOn w:val="1"/>
    <w:qFormat/>
    <w:uiPriority w:val="34"/>
    <w:pPr>
      <w:ind w:firstLine="420" w:firstLineChars="200"/>
    </w:pPr>
  </w:style>
  <w:style w:type="paragraph" w:customStyle="1" w:styleId="69">
    <w:name w:val="xl24"/>
    <w:basedOn w:val="1"/>
    <w:qFormat/>
    <w:uiPriority w:val="0"/>
    <w:pPr>
      <w:widowControl/>
      <w:spacing w:before="100" w:beforeAutospacing="1" w:after="100" w:afterAutospacing="1"/>
      <w:jc w:val="left"/>
      <w:textAlignment w:val="center"/>
    </w:pPr>
    <w:rPr>
      <w:rFonts w:eastAsia="Arial Unicode MS"/>
      <w:kern w:val="0"/>
      <w:sz w:val="20"/>
    </w:rPr>
  </w:style>
  <w:style w:type="paragraph" w:customStyle="1" w:styleId="70">
    <w:name w:val="Char Char Char1 Char Char Char Char Char Char Char"/>
    <w:basedOn w:val="1"/>
    <w:qFormat/>
    <w:uiPriority w:val="0"/>
  </w:style>
  <w:style w:type="paragraph" w:customStyle="1" w:styleId="71">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72">
    <w:name w:val="表头样式"/>
    <w:basedOn w:val="1"/>
    <w:next w:val="43"/>
    <w:qFormat/>
    <w:uiPriority w:val="0"/>
    <w:pPr>
      <w:snapToGrid w:val="0"/>
      <w:jc w:val="center"/>
    </w:pPr>
    <w:rPr>
      <w:rFonts w:eastAsia="楷体_GB2312"/>
      <w:b/>
      <w:sz w:val="24"/>
      <w:szCs w:val="24"/>
    </w:rPr>
  </w:style>
  <w:style w:type="paragraph" w:customStyle="1" w:styleId="73">
    <w:name w:val="正文修改"/>
    <w:basedOn w:val="1"/>
    <w:link w:val="134"/>
    <w:qFormat/>
    <w:uiPriority w:val="0"/>
    <w:pPr>
      <w:spacing w:line="360" w:lineRule="auto"/>
      <w:ind w:firstLine="480" w:firstLineChars="200"/>
    </w:pPr>
    <w:rPr>
      <w:kern w:val="0"/>
      <w:sz w:val="24"/>
    </w:rPr>
  </w:style>
  <w:style w:type="paragraph" w:customStyle="1" w:styleId="74">
    <w:name w:val="样式35"/>
    <w:basedOn w:val="1"/>
    <w:qFormat/>
    <w:uiPriority w:val="0"/>
    <w:pPr>
      <w:adjustRightInd w:val="0"/>
      <w:spacing w:line="312" w:lineRule="auto"/>
      <w:ind w:firstLine="567"/>
    </w:pPr>
    <w:rPr>
      <w:rFonts w:ascii="宋体"/>
      <w:kern w:val="0"/>
      <w:sz w:val="28"/>
      <w:szCs w:val="24"/>
    </w:rPr>
  </w:style>
  <w:style w:type="paragraph" w:customStyle="1" w:styleId="75">
    <w:name w:val="正文－1.5行距－段后6磅"/>
    <w:basedOn w:val="1"/>
    <w:link w:val="120"/>
    <w:qFormat/>
    <w:uiPriority w:val="0"/>
    <w:pPr>
      <w:spacing w:after="120" w:line="360" w:lineRule="auto"/>
      <w:ind w:firstLine="200" w:firstLineChars="200"/>
    </w:pPr>
    <w:rPr>
      <w:sz w:val="24"/>
      <w:szCs w:val="21"/>
    </w:rPr>
  </w:style>
  <w:style w:type="paragraph" w:customStyle="1" w:styleId="76">
    <w:name w:val="表格内容"/>
    <w:basedOn w:val="77"/>
    <w:qFormat/>
    <w:uiPriority w:val="0"/>
    <w:pPr>
      <w:spacing w:line="240" w:lineRule="atLeast"/>
      <w:jc w:val="center"/>
    </w:pPr>
  </w:style>
  <w:style w:type="paragraph" w:customStyle="1" w:styleId="77">
    <w:name w:val="列表1"/>
    <w:basedOn w:val="1"/>
    <w:qFormat/>
    <w:uiPriority w:val="0"/>
    <w:pPr>
      <w:jc w:val="center"/>
    </w:pPr>
    <w:rPr>
      <w:spacing w:val="-10"/>
      <w:szCs w:val="20"/>
    </w:rPr>
  </w:style>
  <w:style w:type="paragraph" w:customStyle="1" w:styleId="78">
    <w:name w:val="默认段落字体 Para Char Char Char Char Char Char Char Char Char Char"/>
    <w:basedOn w:val="4"/>
    <w:qFormat/>
    <w:uiPriority w:val="0"/>
    <w:pPr>
      <w:keepNext w:val="0"/>
      <w:tabs>
        <w:tab w:val="left" w:pos="360"/>
        <w:tab w:val="left" w:pos="900"/>
      </w:tabs>
      <w:snapToGrid w:val="0"/>
      <w:spacing w:before="120" w:beforeLines="0" w:after="120" w:afterLines="0" w:line="360" w:lineRule="auto"/>
      <w:ind w:left="542" w:leftChars="-12" w:firstLine="200" w:firstLineChars="200"/>
      <w:jc w:val="left"/>
    </w:pPr>
    <w:rPr>
      <w:rFonts w:hint="eastAsia" w:ascii="宋体" w:hAnsi="宋体" w:cs="宋体"/>
      <w:b/>
      <w:bCs w:val="0"/>
      <w:snapToGrid w:val="0"/>
      <w:kern w:val="0"/>
      <w:szCs w:val="24"/>
    </w:rPr>
  </w:style>
  <w:style w:type="paragraph" w:customStyle="1" w:styleId="79">
    <w:name w:val="reader-word-layer reader-word-s1-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0">
    <w:name w:val="表中文字"/>
    <w:basedOn w:val="1"/>
    <w:qFormat/>
    <w:uiPriority w:val="0"/>
    <w:pPr>
      <w:spacing w:line="300" w:lineRule="exact"/>
      <w:jc w:val="center"/>
    </w:pPr>
    <w:rPr>
      <w:rFonts w:ascii="宋体" w:hAnsi="宋体" w:cs="宋体"/>
      <w:b/>
      <w:color w:val="000000"/>
      <w:spacing w:val="4"/>
      <w:szCs w:val="24"/>
    </w:rPr>
  </w:style>
  <w:style w:type="paragraph" w:customStyle="1" w:styleId="81">
    <w:name w:val="reader-word-layer reader-word-s1-1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2">
    <w:name w:val="表内字体"/>
    <w:basedOn w:val="1"/>
    <w:qFormat/>
    <w:uiPriority w:val="0"/>
    <w:pPr>
      <w:adjustRightInd w:val="0"/>
      <w:snapToGrid w:val="0"/>
      <w:jc w:val="center"/>
      <w:textAlignment w:val="baseline"/>
    </w:pPr>
    <w:rPr>
      <w:kern w:val="0"/>
      <w:sz w:val="18"/>
      <w:szCs w:val="18"/>
    </w:rPr>
  </w:style>
  <w:style w:type="paragraph" w:customStyle="1" w:styleId="83">
    <w:name w:val="正文B"/>
    <w:basedOn w:val="1"/>
    <w:qFormat/>
    <w:uiPriority w:val="0"/>
    <w:pPr>
      <w:spacing w:line="500" w:lineRule="exact"/>
      <w:ind w:firstLine="480" w:firstLineChars="200"/>
    </w:pPr>
    <w:rPr>
      <w:rFonts w:ascii="宋体" w:hAnsi="宋体" w:cs="宋体"/>
      <w:sz w:val="24"/>
    </w:rPr>
  </w:style>
  <w:style w:type="paragraph" w:customStyle="1" w:styleId="84">
    <w:name w:val="表格正文"/>
    <w:basedOn w:val="1"/>
    <w:qFormat/>
    <w:uiPriority w:val="0"/>
    <w:pPr>
      <w:jc w:val="center"/>
    </w:pPr>
    <w:rPr>
      <w:rFonts w:ascii="仿宋_GB2312" w:eastAsia="仿宋_GB2312"/>
    </w:rPr>
  </w:style>
  <w:style w:type="paragraph" w:customStyle="1" w:styleId="85">
    <w:name w:val="标准文本 首行缩进:2 字符 行距1倍"/>
    <w:basedOn w:val="1"/>
    <w:qFormat/>
    <w:uiPriority w:val="0"/>
    <w:pPr>
      <w:tabs>
        <w:tab w:val="left" w:pos="840"/>
      </w:tabs>
      <w:adjustRightInd w:val="0"/>
      <w:snapToGrid w:val="0"/>
      <w:textAlignment w:val="center"/>
    </w:pPr>
    <w:rPr>
      <w:rFonts w:cs="宋体"/>
      <w:sz w:val="24"/>
    </w:rPr>
  </w:style>
  <w:style w:type="paragraph" w:customStyle="1" w:styleId="86">
    <w:name w:val="Char Char Char Char Char Char1 Char"/>
    <w:basedOn w:val="1"/>
    <w:qFormat/>
    <w:uiPriority w:val="0"/>
    <w:rPr>
      <w:szCs w:val="24"/>
    </w:rPr>
  </w:style>
  <w:style w:type="paragraph" w:customStyle="1" w:styleId="87">
    <w:name w:val="样式2"/>
    <w:basedOn w:val="1"/>
    <w:link w:val="137"/>
    <w:qFormat/>
    <w:uiPriority w:val="0"/>
    <w:pPr>
      <w:spacing w:line="360" w:lineRule="auto"/>
      <w:ind w:firstLine="480"/>
    </w:pPr>
    <w:rPr>
      <w:sz w:val="24"/>
      <w:szCs w:val="24"/>
    </w:rPr>
  </w:style>
  <w:style w:type="paragraph" w:customStyle="1" w:styleId="88">
    <w:name w:val="p15"/>
    <w:basedOn w:val="1"/>
    <w:qFormat/>
    <w:uiPriority w:val="0"/>
    <w:pPr>
      <w:widowControl/>
      <w:jc w:val="left"/>
    </w:pPr>
    <w:rPr>
      <w:kern w:val="0"/>
      <w:sz w:val="20"/>
    </w:rPr>
  </w:style>
  <w:style w:type="paragraph" w:customStyle="1" w:styleId="89">
    <w:name w:val="样式 样式 样式 小四 灰色-80% 左侧:  0.16 厘米 行距: 固定值 20 磅 + 宋体 首行缩进:  2 字符 + ..."/>
    <w:basedOn w:val="1"/>
    <w:link w:val="130"/>
    <w:qFormat/>
    <w:uiPriority w:val="0"/>
    <w:pPr>
      <w:spacing w:line="360" w:lineRule="auto"/>
      <w:ind w:firstLine="480" w:firstLineChars="200"/>
    </w:pPr>
    <w:rPr>
      <w:rFonts w:ascii="宋体" w:hAnsi="宋体" w:cs="宋体"/>
      <w:color w:val="333333"/>
      <w:sz w:val="24"/>
    </w:rPr>
  </w:style>
  <w:style w:type="paragraph" w:customStyle="1" w:styleId="90">
    <w:name w:val="Char2"/>
    <w:basedOn w:val="1"/>
    <w:qFormat/>
    <w:uiPriority w:val="0"/>
    <w:rPr>
      <w:sz w:val="24"/>
      <w:szCs w:val="24"/>
    </w:rPr>
  </w:style>
  <w:style w:type="paragraph" w:customStyle="1" w:styleId="91">
    <w:name w:val="表头"/>
    <w:basedOn w:val="92"/>
    <w:next w:val="1"/>
    <w:qFormat/>
    <w:uiPriority w:val="0"/>
    <w:pPr>
      <w:adjustRightInd w:val="0"/>
      <w:spacing w:line="320" w:lineRule="atLeast"/>
      <w:jc w:val="center"/>
      <w:textAlignment w:val="baseline"/>
    </w:pPr>
    <w:rPr>
      <w:rFonts w:eastAsia="黑体"/>
      <w:spacing w:val="-10"/>
      <w:kern w:val="0"/>
    </w:rPr>
  </w:style>
  <w:style w:type="paragraph" w:customStyle="1" w:styleId="92">
    <w:name w:val="11111111111"/>
    <w:basedOn w:val="1"/>
    <w:qFormat/>
    <w:uiPriority w:val="0"/>
    <w:pPr>
      <w:jc w:val="center"/>
    </w:pPr>
    <w:rPr>
      <w:rFonts w:ascii="Calibri" w:hAnsi="Calibri"/>
      <w:b/>
    </w:rPr>
  </w:style>
  <w:style w:type="paragraph" w:customStyle="1" w:styleId="93">
    <w:name w:val="正文首行缩进1"/>
    <w:basedOn w:val="17"/>
    <w:qFormat/>
    <w:uiPriority w:val="0"/>
    <w:pPr>
      <w:ind w:firstLine="420" w:firstLineChars="100"/>
    </w:pPr>
  </w:style>
  <w:style w:type="paragraph" w:customStyle="1" w:styleId="94">
    <w:name w:val="表内格式"/>
    <w:basedOn w:val="1"/>
    <w:qFormat/>
    <w:uiPriority w:val="0"/>
    <w:pPr>
      <w:jc w:val="center"/>
    </w:pPr>
    <w:rPr>
      <w:sz w:val="18"/>
    </w:rPr>
  </w:style>
  <w:style w:type="paragraph" w:customStyle="1" w:styleId="95">
    <w:name w:val="表格内容1"/>
    <w:basedOn w:val="1"/>
    <w:qFormat/>
    <w:uiPriority w:val="0"/>
    <w:pPr>
      <w:jc w:val="center"/>
    </w:pPr>
    <w:rPr>
      <w:rFonts w:ascii="Times New Roman" w:hAnsi="Times New Roman"/>
      <w:kern w:val="0"/>
      <w:szCs w:val="21"/>
    </w:rPr>
  </w:style>
  <w:style w:type="paragraph" w:customStyle="1" w:styleId="96">
    <w:name w:val="样式3"/>
    <w:basedOn w:val="1"/>
    <w:qFormat/>
    <w:uiPriority w:val="0"/>
    <w:pPr>
      <w:autoSpaceDE w:val="0"/>
      <w:autoSpaceDN w:val="0"/>
      <w:snapToGrid w:val="0"/>
      <w:spacing w:before="120" w:line="460" w:lineRule="atLeast"/>
      <w:jc w:val="center"/>
    </w:pPr>
    <w:rPr>
      <w:rFonts w:eastAsia="黑体"/>
      <w:sz w:val="28"/>
      <w:szCs w:val="24"/>
    </w:rPr>
  </w:style>
  <w:style w:type="paragraph" w:customStyle="1" w:styleId="97">
    <w:name w:val="_Style 16"/>
    <w:basedOn w:val="1"/>
    <w:qFormat/>
    <w:uiPriority w:val="0"/>
    <w:rPr>
      <w:sz w:val="24"/>
      <w:szCs w:val="24"/>
    </w:rPr>
  </w:style>
  <w:style w:type="paragraph" w:customStyle="1" w:styleId="98">
    <w:name w:val="xl22"/>
    <w:basedOn w:val="1"/>
    <w:qFormat/>
    <w:uiPriority w:val="0"/>
    <w:pPr>
      <w:widowControl/>
      <w:pBdr>
        <w:bottom w:val="single" w:color="auto" w:sz="4" w:space="0"/>
        <w:right w:val="single" w:color="auto" w:sz="4" w:space="0"/>
      </w:pBdr>
      <w:spacing w:before="100" w:after="100"/>
      <w:jc w:val="center"/>
    </w:pPr>
    <w:rPr>
      <w:rFonts w:ascii="宋体" w:hAnsi="宋体"/>
      <w:kern w:val="0"/>
    </w:rPr>
  </w:style>
  <w:style w:type="paragraph" w:customStyle="1" w:styleId="99">
    <w:name w:val="xl34"/>
    <w:basedOn w:val="1"/>
    <w:qFormat/>
    <w:uiPriority w:val="0"/>
    <w:pPr>
      <w:widowControl/>
      <w:spacing w:before="100" w:beforeAutospacing="1" w:after="100" w:afterAutospacing="1"/>
      <w:jc w:val="center"/>
    </w:pPr>
    <w:rPr>
      <w:rFonts w:ascii="Arial Unicode MS" w:hAnsi="Arial Unicode MS" w:eastAsia="Arial Unicode MS"/>
      <w:kern w:val="0"/>
      <w:sz w:val="24"/>
      <w:szCs w:val="24"/>
    </w:rPr>
  </w:style>
  <w:style w:type="paragraph" w:customStyle="1" w:styleId="100">
    <w:name w:val="Table Paragraph"/>
    <w:basedOn w:val="1"/>
    <w:qFormat/>
    <w:uiPriority w:val="1"/>
    <w:pPr>
      <w:jc w:val="left"/>
    </w:pPr>
    <w:rPr>
      <w:kern w:val="0"/>
      <w:sz w:val="22"/>
      <w:szCs w:val="22"/>
      <w:lang w:eastAsia="en-US"/>
    </w:rPr>
  </w:style>
  <w:style w:type="paragraph" w:customStyle="1" w:styleId="101">
    <w:name w:val="目录22222222"/>
    <w:basedOn w:val="1"/>
    <w:qFormat/>
    <w:uiPriority w:val="0"/>
    <w:pPr>
      <w:keepNext/>
      <w:keepLines/>
      <w:spacing w:line="480" w:lineRule="exact"/>
      <w:jc w:val="left"/>
      <w:outlineLvl w:val="1"/>
    </w:pPr>
    <w:rPr>
      <w:rFonts w:ascii="Arial" w:hAnsi="Arial" w:eastAsia="黑体"/>
      <w:bCs/>
      <w:sz w:val="28"/>
      <w:szCs w:val="32"/>
    </w:rPr>
  </w:style>
  <w:style w:type="paragraph" w:customStyle="1" w:styleId="102">
    <w:name w:val="表格文字"/>
    <w:basedOn w:val="1"/>
    <w:qFormat/>
    <w:uiPriority w:val="0"/>
    <w:pPr>
      <w:jc w:val="center"/>
    </w:pPr>
    <w:rPr>
      <w:rFonts w:ascii="仿宋_GB2312" w:hAnsi="Arial Black" w:eastAsia="仿宋_GB2312"/>
      <w:kern w:val="44"/>
      <w:sz w:val="24"/>
    </w:rPr>
  </w:style>
  <w:style w:type="paragraph" w:customStyle="1" w:styleId="103">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rPr>
  </w:style>
  <w:style w:type="paragraph" w:customStyle="1" w:styleId="104">
    <w:name w:val="表格"/>
    <w:basedOn w:val="1"/>
    <w:link w:val="144"/>
    <w:qFormat/>
    <w:uiPriority w:val="0"/>
    <w:pPr>
      <w:jc w:val="center"/>
    </w:pPr>
    <w:rPr>
      <w:sz w:val="24"/>
      <w:szCs w:val="24"/>
    </w:rPr>
  </w:style>
  <w:style w:type="paragraph" w:customStyle="1" w:styleId="105">
    <w:name w:val="列出段落1"/>
    <w:basedOn w:val="1"/>
    <w:qFormat/>
    <w:uiPriority w:val="0"/>
    <w:pPr>
      <w:ind w:firstLine="420" w:firstLineChars="200"/>
    </w:pPr>
  </w:style>
  <w:style w:type="paragraph" w:customStyle="1" w:styleId="106">
    <w:name w:val="zhang正文"/>
    <w:basedOn w:val="18"/>
    <w:qFormat/>
    <w:uiPriority w:val="0"/>
    <w:pPr>
      <w:autoSpaceDE w:val="0"/>
      <w:autoSpaceDN w:val="0"/>
      <w:adjustRightInd w:val="0"/>
      <w:snapToGrid w:val="0"/>
      <w:spacing w:line="500" w:lineRule="exact"/>
      <w:ind w:firstLine="539"/>
      <w:textAlignment w:val="baseline"/>
    </w:pPr>
    <w:rPr>
      <w:rFonts w:ascii="Times New Roman" w:eastAsia="楷体_GB2312"/>
      <w:kern w:val="0"/>
    </w:rPr>
  </w:style>
  <w:style w:type="paragraph" w:customStyle="1" w:styleId="107">
    <w:name w:val="默认段落字体 Para Char Char Char Char"/>
    <w:basedOn w:val="1"/>
    <w:qFormat/>
    <w:uiPriority w:val="0"/>
    <w:pPr>
      <w:spacing w:beforeLines="100" w:afterLines="50" w:line="600" w:lineRule="exact"/>
      <w:ind w:firstLine="200" w:firstLineChars="200"/>
    </w:pPr>
    <w:rPr>
      <w:rFonts w:eastAsia="黑体"/>
      <w:sz w:val="28"/>
      <w:szCs w:val="24"/>
    </w:rPr>
  </w:style>
  <w:style w:type="paragraph" w:customStyle="1" w:styleId="108">
    <w:name w:val="本文正文"/>
    <w:basedOn w:val="1"/>
    <w:qFormat/>
    <w:uiPriority w:val="0"/>
    <w:pPr>
      <w:autoSpaceDE w:val="0"/>
      <w:autoSpaceDN w:val="0"/>
      <w:adjustRightInd w:val="0"/>
      <w:textAlignment w:val="baseline"/>
    </w:pPr>
  </w:style>
  <w:style w:type="paragraph" w:customStyle="1" w:styleId="109">
    <w:name w:val="Char Char Char"/>
    <w:basedOn w:val="1"/>
    <w:qFormat/>
    <w:uiPriority w:val="0"/>
    <w:pPr>
      <w:adjustRightInd w:val="0"/>
      <w:spacing w:line="360" w:lineRule="auto"/>
    </w:pPr>
    <w:rPr>
      <w:kern w:val="0"/>
      <w:sz w:val="24"/>
    </w:rPr>
  </w:style>
  <w:style w:type="paragraph" w:customStyle="1" w:styleId="110">
    <w:name w:val="正文首行缩进2"/>
    <w:basedOn w:val="17"/>
    <w:qFormat/>
    <w:uiPriority w:val="0"/>
    <w:pPr>
      <w:ind w:firstLine="420" w:firstLineChars="100"/>
    </w:pPr>
  </w:style>
  <w:style w:type="paragraph" w:customStyle="1" w:styleId="111">
    <w:name w:val="中文报告书样式"/>
    <w:basedOn w:val="1"/>
    <w:qFormat/>
    <w:uiPriority w:val="0"/>
    <w:pPr>
      <w:adjustRightInd w:val="0"/>
      <w:spacing w:line="480" w:lineRule="atLeast"/>
      <w:ind w:firstLine="482"/>
      <w:textAlignment w:val="baseline"/>
    </w:pPr>
    <w:rPr>
      <w:kern w:val="24"/>
      <w:sz w:val="24"/>
    </w:rPr>
  </w:style>
  <w:style w:type="paragraph" w:customStyle="1" w:styleId="112">
    <w:name w:val="1表格"/>
    <w:basedOn w:val="1"/>
    <w:qFormat/>
    <w:uiPriority w:val="0"/>
    <w:pPr>
      <w:snapToGrid w:val="0"/>
      <w:jc w:val="center"/>
    </w:pPr>
    <w:rPr>
      <w:rFonts w:eastAsia="楷体_GB2312"/>
    </w:rPr>
  </w:style>
  <w:style w:type="paragraph" w:customStyle="1" w:styleId="113">
    <w:name w:val="Char Char Char Char Char Char Char"/>
    <w:basedOn w:val="1"/>
    <w:qFormat/>
    <w:uiPriority w:val="0"/>
    <w:rPr>
      <w:sz w:val="24"/>
      <w:szCs w:val="24"/>
    </w:rPr>
  </w:style>
  <w:style w:type="paragraph" w:customStyle="1" w:styleId="114">
    <w:name w:val="A标准格式"/>
    <w:basedOn w:val="1"/>
    <w:qFormat/>
    <w:uiPriority w:val="0"/>
    <w:pPr>
      <w:adjustRightInd w:val="0"/>
      <w:spacing w:line="440" w:lineRule="exact"/>
      <w:ind w:firstLine="480" w:firstLineChars="200"/>
      <w:textAlignment w:val="baseline"/>
    </w:pPr>
    <w:rPr>
      <w:rFonts w:ascii="等线" w:hAnsi="等线"/>
      <w:sz w:val="24"/>
    </w:rPr>
  </w:style>
  <w:style w:type="character" w:customStyle="1" w:styleId="115">
    <w:name w:val="font31"/>
    <w:qFormat/>
    <w:uiPriority w:val="0"/>
    <w:rPr>
      <w:rFonts w:hint="eastAsia" w:ascii="宋体" w:hAnsi="宋体" w:eastAsia="宋体" w:cs="宋体"/>
      <w:color w:val="000000"/>
      <w:sz w:val="21"/>
      <w:szCs w:val="21"/>
      <w:u w:val="none"/>
    </w:rPr>
  </w:style>
  <w:style w:type="character" w:customStyle="1" w:styleId="116">
    <w:name w:val="标题 4 字符"/>
    <w:qFormat/>
    <w:uiPriority w:val="0"/>
    <w:rPr>
      <w:rFonts w:eastAsia="黑体"/>
      <w:bCs/>
      <w:sz w:val="24"/>
    </w:rPr>
  </w:style>
  <w:style w:type="character" w:customStyle="1" w:styleId="117">
    <w:name w:val="1正文段落 Char"/>
    <w:link w:val="47"/>
    <w:qFormat/>
    <w:locked/>
    <w:uiPriority w:val="0"/>
    <w:rPr>
      <w:rFonts w:ascii="Calibri" w:hAnsi="Calibri"/>
      <w:sz w:val="24"/>
      <w:szCs w:val="24"/>
    </w:rPr>
  </w:style>
  <w:style w:type="character" w:customStyle="1" w:styleId="118">
    <w:name w:val="style1"/>
    <w:qFormat/>
    <w:uiPriority w:val="0"/>
    <w:rPr>
      <w:rFonts w:hint="default" w:ascii="Arial" w:hAnsi="Arial" w:cs="Arial"/>
      <w:sz w:val="18"/>
      <w:szCs w:val="18"/>
    </w:rPr>
  </w:style>
  <w:style w:type="character" w:customStyle="1" w:styleId="119">
    <w:name w:val="样式 四号"/>
    <w:qFormat/>
    <w:uiPriority w:val="0"/>
    <w:rPr>
      <w:sz w:val="24"/>
      <w:szCs w:val="20"/>
    </w:rPr>
  </w:style>
  <w:style w:type="character" w:customStyle="1" w:styleId="120">
    <w:name w:val="正文－1.5行距－段后6磅 Char"/>
    <w:link w:val="75"/>
    <w:qFormat/>
    <w:uiPriority w:val="0"/>
    <w:rPr>
      <w:rFonts w:ascii="Calibri" w:hAnsi="Calibri" w:eastAsia="宋体"/>
      <w:kern w:val="2"/>
      <w:sz w:val="24"/>
      <w:szCs w:val="21"/>
      <w:lang w:val="en-US" w:eastAsia="zh-CN" w:bidi="ar-SA"/>
    </w:rPr>
  </w:style>
  <w:style w:type="character" w:customStyle="1" w:styleId="121">
    <w:name w:val="表格 Char"/>
    <w:qFormat/>
    <w:locked/>
    <w:uiPriority w:val="99"/>
    <w:rPr>
      <w:rFonts w:ascii="宋体" w:eastAsia="仿宋_GB2312" w:cs="Times New Roman"/>
      <w:snapToGrid/>
      <w:spacing w:val="4"/>
      <w:sz w:val="24"/>
      <w:szCs w:val="24"/>
    </w:rPr>
  </w:style>
  <w:style w:type="character" w:customStyle="1" w:styleId="122">
    <w:name w:val="报告表  段 Char"/>
    <w:link w:val="53"/>
    <w:qFormat/>
    <w:uiPriority w:val="0"/>
    <w:rPr>
      <w:rFonts w:ascii="宋体"/>
      <w:sz w:val="24"/>
    </w:rPr>
  </w:style>
  <w:style w:type="character" w:customStyle="1" w:styleId="123">
    <w:name w:val="页眉 Char"/>
    <w:link w:val="25"/>
    <w:qFormat/>
    <w:uiPriority w:val="0"/>
    <w:rPr>
      <w:kern w:val="2"/>
      <w:sz w:val="18"/>
      <w:szCs w:val="18"/>
    </w:rPr>
  </w:style>
  <w:style w:type="character" w:customStyle="1" w:styleId="124">
    <w:name w:val="正文文本缩进 Char"/>
    <w:link w:val="18"/>
    <w:qFormat/>
    <w:uiPriority w:val="0"/>
    <w:rPr>
      <w:rFonts w:ascii="宋体" w:eastAsia="宋体"/>
      <w:kern w:val="2"/>
      <w:sz w:val="28"/>
      <w:lang w:val="en-US" w:eastAsia="zh-CN" w:bidi="ar-SA"/>
    </w:rPr>
  </w:style>
  <w:style w:type="character" w:customStyle="1" w:styleId="125">
    <w:name w:val="标题 2 Char"/>
    <w:link w:val="3"/>
    <w:qFormat/>
    <w:uiPriority w:val="0"/>
    <w:rPr>
      <w:rFonts w:ascii="Arial" w:hAnsi="Arial" w:eastAsia="黑体"/>
      <w:bCs/>
      <w:sz w:val="24"/>
    </w:rPr>
  </w:style>
  <w:style w:type="character" w:customStyle="1" w:styleId="126">
    <w:name w:val="f151"/>
    <w:qFormat/>
    <w:uiPriority w:val="0"/>
    <w:rPr>
      <w:sz w:val="23"/>
      <w:szCs w:val="23"/>
    </w:rPr>
  </w:style>
  <w:style w:type="character" w:customStyle="1" w:styleId="127">
    <w:name w:val="MFS单位3 Char Char"/>
    <w:link w:val="61"/>
    <w:qFormat/>
    <w:uiPriority w:val="0"/>
    <w:rPr>
      <w:rFonts w:eastAsia="楷体_GB2312"/>
      <w:kern w:val="2"/>
      <w:sz w:val="18"/>
      <w:szCs w:val="18"/>
    </w:rPr>
  </w:style>
  <w:style w:type="character" w:customStyle="1" w:styleId="128">
    <w:name w:val="纯文本 Char"/>
    <w:link w:val="21"/>
    <w:qFormat/>
    <w:uiPriority w:val="0"/>
    <w:rPr>
      <w:rFonts w:ascii="宋体" w:hAnsi="Courier New" w:eastAsia="宋体" w:cs="Courier New"/>
      <w:kern w:val="2"/>
      <w:sz w:val="21"/>
      <w:szCs w:val="21"/>
      <w:lang w:val="en-US" w:eastAsia="zh-CN" w:bidi="ar-SA"/>
    </w:rPr>
  </w:style>
  <w:style w:type="character" w:customStyle="1" w:styleId="129">
    <w:name w:val="font21"/>
    <w:qFormat/>
    <w:uiPriority w:val="0"/>
    <w:rPr>
      <w:rFonts w:hint="default" w:ascii="Times New Roman" w:hAnsi="Times New Roman" w:cs="Times New Roman"/>
      <w:color w:val="000000"/>
      <w:sz w:val="21"/>
      <w:szCs w:val="21"/>
      <w:u w:val="none"/>
    </w:rPr>
  </w:style>
  <w:style w:type="character" w:customStyle="1" w:styleId="130">
    <w:name w:val="样式 样式 样式 小四 灰色-80% 左侧:  0.16 厘米 行距: 固定值 20 磅 + 宋体 首行缩进:  2 字符 + ... Char"/>
    <w:link w:val="89"/>
    <w:qFormat/>
    <w:uiPriority w:val="0"/>
    <w:rPr>
      <w:rFonts w:ascii="宋体" w:hAnsi="宋体" w:eastAsia="宋体" w:cs="宋体"/>
      <w:color w:val="333333"/>
      <w:kern w:val="2"/>
      <w:sz w:val="24"/>
      <w:lang w:val="en-US" w:eastAsia="zh-CN" w:bidi="ar-SA"/>
    </w:rPr>
  </w:style>
  <w:style w:type="character" w:customStyle="1" w:styleId="131">
    <w:name w:val="正文缩进 Char"/>
    <w:link w:val="8"/>
    <w:qFormat/>
    <w:uiPriority w:val="0"/>
    <w:rPr>
      <w:rFonts w:eastAsia="宋体"/>
      <w:kern w:val="2"/>
      <w:sz w:val="21"/>
      <w:lang w:val="en-US" w:eastAsia="zh-CN" w:bidi="ar-SA"/>
    </w:rPr>
  </w:style>
  <w:style w:type="character" w:customStyle="1" w:styleId="132">
    <w:name w:val="页脚 Char"/>
    <w:link w:val="24"/>
    <w:qFormat/>
    <w:uiPriority w:val="0"/>
    <w:rPr>
      <w:kern w:val="2"/>
      <w:sz w:val="18"/>
      <w:szCs w:val="18"/>
    </w:rPr>
  </w:style>
  <w:style w:type="character" w:customStyle="1" w:styleId="133">
    <w:name w:val="su04"/>
    <w:basedOn w:val="36"/>
    <w:qFormat/>
    <w:uiPriority w:val="0"/>
  </w:style>
  <w:style w:type="character" w:customStyle="1" w:styleId="134">
    <w:name w:val="正文修改 Char"/>
    <w:link w:val="73"/>
    <w:qFormat/>
    <w:uiPriority w:val="0"/>
    <w:rPr>
      <w:rFonts w:cs="宋体"/>
      <w:sz w:val="24"/>
    </w:rPr>
  </w:style>
  <w:style w:type="character" w:customStyle="1" w:styleId="135">
    <w:name w:val="样式 五号 居中 Char"/>
    <w:link w:val="48"/>
    <w:qFormat/>
    <w:uiPriority w:val="0"/>
    <w:rPr>
      <w:rFonts w:eastAsia="宋体" w:cs="宋体"/>
      <w:kern w:val="2"/>
      <w:sz w:val="21"/>
      <w:lang w:val="en-US" w:eastAsia="zh-CN" w:bidi="ar-SA"/>
    </w:rPr>
  </w:style>
  <w:style w:type="character" w:customStyle="1" w:styleId="136">
    <w:name w:val="font11"/>
    <w:basedOn w:val="36"/>
    <w:qFormat/>
    <w:uiPriority w:val="0"/>
    <w:rPr>
      <w:rFonts w:hint="default" w:ascii="Times New Roman" w:hAnsi="Times New Roman" w:cs="Times New Roman"/>
      <w:color w:val="000000"/>
      <w:sz w:val="21"/>
      <w:szCs w:val="21"/>
      <w:u w:val="none"/>
      <w:vertAlign w:val="superscript"/>
    </w:rPr>
  </w:style>
  <w:style w:type="character" w:customStyle="1" w:styleId="137">
    <w:name w:val="样式2 Char"/>
    <w:link w:val="87"/>
    <w:qFormat/>
    <w:uiPriority w:val="0"/>
    <w:rPr>
      <w:rFonts w:eastAsia="宋体"/>
      <w:kern w:val="2"/>
      <w:sz w:val="24"/>
      <w:szCs w:val="24"/>
      <w:lang w:val="en-US" w:eastAsia="zh-CN" w:bidi="ar-SA"/>
    </w:rPr>
  </w:style>
  <w:style w:type="character" w:customStyle="1" w:styleId="138">
    <w:name w:val="标题 4 Char"/>
    <w:link w:val="6"/>
    <w:qFormat/>
    <w:uiPriority w:val="0"/>
    <w:rPr>
      <w:rFonts w:eastAsia="宋体"/>
      <w:b/>
      <w:bCs/>
      <w:kern w:val="2"/>
      <w:sz w:val="24"/>
      <w:szCs w:val="28"/>
      <w:lang w:val="en-US" w:eastAsia="zh-CN" w:bidi="ar-SA"/>
    </w:rPr>
  </w:style>
  <w:style w:type="character" w:customStyle="1" w:styleId="139">
    <w:name w:val="表格hy Char"/>
    <w:link w:val="52"/>
    <w:qFormat/>
    <w:uiPriority w:val="0"/>
    <w:rPr>
      <w:rFonts w:ascii="楷体_GB2312" w:eastAsia="楷体_GB2312"/>
      <w:color w:val="000000"/>
      <w:kern w:val="2"/>
      <w:sz w:val="21"/>
      <w:szCs w:val="22"/>
    </w:rPr>
  </w:style>
  <w:style w:type="character" w:customStyle="1" w:styleId="140">
    <w:name w:val="gray s"/>
    <w:basedOn w:val="36"/>
    <w:qFormat/>
    <w:uiPriority w:val="0"/>
  </w:style>
  <w:style w:type="character" w:customStyle="1" w:styleId="141">
    <w:name w:val="font01"/>
    <w:qFormat/>
    <w:uiPriority w:val="0"/>
    <w:rPr>
      <w:rFonts w:hint="default" w:ascii="Times New Roman" w:hAnsi="Times New Roman" w:cs="Times New Roman"/>
      <w:color w:val="000000"/>
      <w:sz w:val="21"/>
      <w:szCs w:val="21"/>
      <w:u w:val="none"/>
      <w:vertAlign w:val="superscript"/>
    </w:rPr>
  </w:style>
  <w:style w:type="character" w:customStyle="1" w:styleId="142">
    <w:name w:val="font51"/>
    <w:qFormat/>
    <w:uiPriority w:val="0"/>
    <w:rPr>
      <w:rFonts w:hint="eastAsia" w:ascii="宋体" w:hAnsi="宋体" w:eastAsia="宋体" w:cs="宋体"/>
      <w:color w:val="000000"/>
      <w:sz w:val="21"/>
      <w:szCs w:val="21"/>
      <w:u w:val="none"/>
      <w:vertAlign w:val="superscript"/>
    </w:rPr>
  </w:style>
  <w:style w:type="character" w:customStyle="1" w:styleId="143">
    <w:name w:val="keyword1"/>
    <w:qFormat/>
    <w:uiPriority w:val="0"/>
    <w:rPr>
      <w:color w:val="FF0000"/>
    </w:rPr>
  </w:style>
  <w:style w:type="character" w:customStyle="1" w:styleId="144">
    <w:name w:val="表格 Char1"/>
    <w:link w:val="104"/>
    <w:qFormat/>
    <w:uiPriority w:val="0"/>
    <w:rPr>
      <w:rFonts w:eastAsia="宋体"/>
      <w:kern w:val="2"/>
      <w:sz w:val="24"/>
      <w:szCs w:val="24"/>
      <w:lang w:val="en-US" w:eastAsia="zh-CN" w:bidi="ar-SA"/>
    </w:rPr>
  </w:style>
  <w:style w:type="character" w:customStyle="1" w:styleId="145">
    <w:name w:val="hhcwt正文 Char Char"/>
    <w:link w:val="66"/>
    <w:qFormat/>
    <w:uiPriority w:val="0"/>
    <w:rPr>
      <w:rFonts w:cs="宋体"/>
      <w:kern w:val="2"/>
      <w:sz w:val="24"/>
    </w:rPr>
  </w:style>
  <w:style w:type="character" w:customStyle="1" w:styleId="146">
    <w:name w:val="aar_9ptcopy1"/>
    <w:qFormat/>
    <w:uiPriority w:val="0"/>
    <w:rPr>
      <w:rFonts w:ascii="??" w:hAnsi="??" w:cs="Times New Roman"/>
      <w:sz w:val="18"/>
      <w:szCs w:val="18"/>
    </w:rPr>
  </w:style>
  <w:style w:type="character" w:customStyle="1" w:styleId="147">
    <w:name w:val="标题 1 Char"/>
    <w:link w:val="2"/>
    <w:qFormat/>
    <w:uiPriority w:val="0"/>
    <w:rPr>
      <w:b/>
      <w:bCs/>
      <w:kern w:val="44"/>
      <w:sz w:val="30"/>
      <w:szCs w:val="30"/>
    </w:rPr>
  </w:style>
  <w:style w:type="character" w:customStyle="1" w:styleId="148">
    <w:name w:val="表标题 Char"/>
    <w:link w:val="58"/>
    <w:qFormat/>
    <w:uiPriority w:val="0"/>
    <w:rPr>
      <w:b/>
      <w:bCs/>
      <w:sz w:val="24"/>
      <w:szCs w:val="18"/>
    </w:rPr>
  </w:style>
  <w:style w:type="table" w:customStyle="1" w:styleId="149">
    <w:name w:val="Table Normal"/>
    <w:unhideWhenUsed/>
    <w:qFormat/>
    <w:uiPriority w:val="2"/>
    <w:pPr>
      <w:widowControl w:val="0"/>
    </w:pPr>
    <w:rPr>
      <w:sz w:val="22"/>
      <w:szCs w:val="22"/>
      <w:lang w:eastAsia="en-US"/>
    </w:rPr>
    <w:tblPr>
      <w:tblCellMar>
        <w:top w:w="0" w:type="dxa"/>
        <w:left w:w="0" w:type="dxa"/>
        <w:bottom w:w="0" w:type="dxa"/>
        <w:right w:w="0" w:type="dxa"/>
      </w:tblCellMar>
    </w:tblPr>
  </w:style>
  <w:style w:type="paragraph" w:customStyle="1" w:styleId="150">
    <w:name w:val="范表头"/>
    <w:basedOn w:val="1"/>
    <w:link w:val="151"/>
    <w:qFormat/>
    <w:uiPriority w:val="0"/>
    <w:pPr>
      <w:snapToGrid w:val="0"/>
      <w:jc w:val="center"/>
    </w:pPr>
    <w:rPr>
      <w:b/>
      <w:szCs w:val="21"/>
    </w:rPr>
  </w:style>
  <w:style w:type="character" w:customStyle="1" w:styleId="151">
    <w:name w:val="范表头 字符"/>
    <w:link w:val="150"/>
    <w:qFormat/>
    <w:uiPriority w:val="0"/>
    <w:rPr>
      <w:b/>
      <w:sz w:val="21"/>
      <w:szCs w:val="21"/>
    </w:rPr>
  </w:style>
  <w:style w:type="paragraph" w:customStyle="1" w:styleId="152">
    <w:name w:val="范正文"/>
    <w:basedOn w:val="153"/>
    <w:qFormat/>
    <w:uiPriority w:val="0"/>
    <w:pPr>
      <w:ind w:firstLine="420"/>
    </w:pPr>
    <w:rPr>
      <w:bCs/>
      <w:color w:val="333333"/>
      <w:szCs w:val="21"/>
      <w:shd w:val="clear" w:color="auto" w:fill="FFFFFF"/>
    </w:rPr>
  </w:style>
  <w:style w:type="paragraph" w:customStyle="1" w:styleId="153">
    <w:name w:val="正文1"/>
    <w:basedOn w:val="1"/>
    <w:qFormat/>
    <w:uiPriority w:val="0"/>
    <w:pPr>
      <w:snapToGrid w:val="0"/>
    </w:pPr>
    <w:rPr>
      <w:rFonts w:ascii="华文细黑" w:hAnsi="华文细黑" w:cs="Arial"/>
      <w:szCs w:val="24"/>
    </w:rPr>
  </w:style>
  <w:style w:type="paragraph" w:customStyle="1" w:styleId="154">
    <w:name w:val="内表格"/>
    <w:basedOn w:val="1"/>
    <w:qFormat/>
    <w:uiPriority w:val="0"/>
    <w:pPr>
      <w:autoSpaceDE w:val="0"/>
      <w:autoSpaceDN w:val="0"/>
      <w:jc w:val="center"/>
    </w:pPr>
    <w:rPr>
      <w:rFonts w:ascii="Times New Roman" w:hAnsi="Times New Roman"/>
      <w:kern w:val="0"/>
      <w:szCs w:val="21"/>
    </w:rPr>
  </w:style>
  <w:style w:type="paragraph" w:customStyle="1" w:styleId="155">
    <w:name w:val="表格5号"/>
    <w:basedOn w:val="1"/>
    <w:qFormat/>
    <w:uiPriority w:val="0"/>
    <w:pPr>
      <w:spacing w:line="240" w:lineRule="auto"/>
      <w:ind w:firstLine="0" w:firstLineChars="0"/>
      <w:jc w:val="center"/>
    </w:pPr>
    <w:rPr>
      <w:sz w:val="21"/>
    </w:rPr>
  </w:style>
  <w:style w:type="paragraph" w:customStyle="1" w:styleId="156">
    <w:name w:val="1正文"/>
    <w:basedOn w:val="8"/>
    <w:qFormat/>
    <w:uiPriority w:val="0"/>
    <w:pPr>
      <w:spacing w:line="360" w:lineRule="auto"/>
    </w:pPr>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21.wmf"/><Relationship Id="rId28" Type="http://schemas.openxmlformats.org/officeDocument/2006/relationships/oleObject" Target="embeddings/oleObject2.bin"/><Relationship Id="rId27" Type="http://schemas.openxmlformats.org/officeDocument/2006/relationships/image" Target="media/image20.wmf"/><Relationship Id="rId26" Type="http://schemas.openxmlformats.org/officeDocument/2006/relationships/oleObject" Target="embeddings/oleObject1.bin"/><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jpe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wmf"/><Relationship Id="rId17" Type="http://schemas.openxmlformats.org/officeDocument/2006/relationships/image" Target="media/image11.wmf"/><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93</Pages>
  <Words>9586</Words>
  <Characters>54641</Characters>
  <Lines>455</Lines>
  <Paragraphs>128</Paragraphs>
  <TotalTime>174</TotalTime>
  <ScaleCrop>false</ScaleCrop>
  <LinksUpToDate>false</LinksUpToDate>
  <CharactersWithSpaces>64099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2019-10-16T06:03:00Z</dcterms:created>
  <dc:creator>jason</dc:creator>
  <cp:lastModifiedBy>吕雨泽</cp:lastModifiedBy>
  <cp:lastPrinted>2016-12-14T09:03:00Z</cp:lastPrinted>
  <dcterms:modified xsi:type="dcterms:W3CDTF">2021-02-22T12:52:17Z</dcterms:modified>
  <dc:title>BBHKSHF/HPBWH001-2007</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