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一、建设项目基本情况</w:t>
      </w:r>
    </w:p>
    <w:tbl>
      <w:tblPr>
        <w:tblStyle w:val="26"/>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200"/>
        <w:gridCol w:w="2609"/>
        <w:gridCol w:w="2059"/>
        <w:gridCol w:w="300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建设项目名称</w:t>
            </w:r>
          </w:p>
        </w:tc>
        <w:tc>
          <w:tcPr>
            <w:tcW w:w="7670" w:type="dxa"/>
            <w:gridSpan w:val="3"/>
            <w:vAlign w:val="center"/>
          </w:tcPr>
          <w:p>
            <w:pPr>
              <w:adjustRightInd w:val="0"/>
              <w:snapToGrid w:val="0"/>
              <w:jc w:val="center"/>
              <w:rPr>
                <w:rFonts w:cs="宋体"/>
                <w:sz w:val="24"/>
              </w:rPr>
            </w:pPr>
            <w:r>
              <w:rPr>
                <w:rFonts w:hint="eastAsia" w:cs="宋体"/>
                <w:sz w:val="24"/>
              </w:rPr>
              <w:t>造型材料制品车间改扩建项目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hint="default" w:eastAsia="宋体" w:cs="宋体"/>
                <w:sz w:val="24"/>
                <w:lang w:val="en-US" w:eastAsia="zh-CN"/>
              </w:rPr>
            </w:pPr>
            <w:r>
              <w:rPr>
                <w:rFonts w:hint="eastAsia" w:cs="宋体"/>
                <w:sz w:val="24"/>
              </w:rPr>
              <w:t>项目代码</w:t>
            </w:r>
          </w:p>
        </w:tc>
        <w:tc>
          <w:tcPr>
            <w:tcW w:w="7670" w:type="dxa"/>
            <w:gridSpan w:val="3"/>
            <w:vAlign w:val="center"/>
          </w:tcPr>
          <w:p>
            <w:pPr>
              <w:adjustRightInd w:val="0"/>
              <w:snapToGrid w:val="0"/>
              <w:jc w:val="center"/>
              <w:rPr>
                <w:rFonts w:hint="default" w:eastAsia="宋体" w:cs="宋体"/>
                <w:sz w:val="24"/>
                <w:lang w:val="en-US" w:eastAsia="zh-CN"/>
              </w:rPr>
            </w:pPr>
            <w:r>
              <w:rPr>
                <w:rFonts w:hint="eastAsia" w:cs="宋体"/>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建设单位联系人</w:t>
            </w:r>
          </w:p>
        </w:tc>
        <w:tc>
          <w:tcPr>
            <w:tcW w:w="2609" w:type="dxa"/>
            <w:vAlign w:val="center"/>
          </w:tcPr>
          <w:p>
            <w:pPr>
              <w:adjustRightInd w:val="0"/>
              <w:snapToGrid w:val="0"/>
              <w:jc w:val="center"/>
              <w:rPr>
                <w:rFonts w:hint="eastAsia" w:eastAsia="宋体" w:cs="宋体"/>
                <w:sz w:val="24"/>
                <w:lang w:val="en-US" w:eastAsia="zh-CN"/>
              </w:rPr>
            </w:pPr>
            <w:r>
              <w:rPr>
                <w:rFonts w:hint="eastAsia" w:cs="宋体"/>
                <w:color w:val="auto"/>
                <w:sz w:val="24"/>
                <w:lang w:val="en-US" w:eastAsia="zh-CN"/>
              </w:rPr>
              <w:t>徐修荣</w:t>
            </w:r>
          </w:p>
        </w:tc>
        <w:tc>
          <w:tcPr>
            <w:tcW w:w="2059" w:type="dxa"/>
            <w:vAlign w:val="center"/>
          </w:tcPr>
          <w:p>
            <w:pPr>
              <w:adjustRightInd w:val="0"/>
              <w:snapToGrid w:val="0"/>
              <w:jc w:val="center"/>
              <w:rPr>
                <w:rFonts w:cs="宋体"/>
                <w:sz w:val="24"/>
              </w:rPr>
            </w:pPr>
            <w:r>
              <w:rPr>
                <w:rFonts w:hint="eastAsia" w:cs="宋体"/>
                <w:sz w:val="24"/>
              </w:rPr>
              <w:t>联系方式</w:t>
            </w:r>
          </w:p>
        </w:tc>
        <w:tc>
          <w:tcPr>
            <w:tcW w:w="3002" w:type="dxa"/>
            <w:vAlign w:val="center"/>
          </w:tcPr>
          <w:p>
            <w:pPr>
              <w:adjustRightInd w:val="0"/>
              <w:snapToGrid w:val="0"/>
              <w:jc w:val="center"/>
              <w:rPr>
                <w:rFonts w:hint="default" w:eastAsia="宋体" w:cs="宋体"/>
                <w:sz w:val="24"/>
                <w:lang w:val="en-US" w:eastAsia="zh-CN"/>
              </w:rPr>
            </w:pPr>
            <w:r>
              <w:rPr>
                <w:rFonts w:hint="eastAsia" w:cs="宋体"/>
                <w:sz w:val="24"/>
                <w:lang w:val="en-US" w:eastAsia="zh-CN"/>
              </w:rPr>
              <w:t>18255343888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建设地点</w:t>
            </w:r>
          </w:p>
        </w:tc>
        <w:tc>
          <w:tcPr>
            <w:tcW w:w="7670" w:type="dxa"/>
            <w:gridSpan w:val="3"/>
            <w:vAlign w:val="center"/>
          </w:tcPr>
          <w:p>
            <w:pPr>
              <w:adjustRightInd w:val="0"/>
              <w:snapToGrid w:val="0"/>
              <w:jc w:val="center"/>
              <w:rPr>
                <w:rFonts w:cs="宋体"/>
                <w:sz w:val="24"/>
              </w:rPr>
            </w:pPr>
            <w:r>
              <w:rPr>
                <w:rFonts w:hint="eastAsia" w:cs="宋体"/>
                <w:sz w:val="24"/>
              </w:rPr>
              <w:t>安徽省芜湖市三山区经济开发区春洲路2号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地理坐标</w:t>
            </w:r>
          </w:p>
        </w:tc>
        <w:tc>
          <w:tcPr>
            <w:tcW w:w="7670" w:type="dxa"/>
            <w:gridSpan w:val="3"/>
            <w:vAlign w:val="center"/>
          </w:tcPr>
          <w:p>
            <w:pPr>
              <w:jc w:val="center"/>
              <w:rPr>
                <w:rFonts w:cs="宋体"/>
                <w:sz w:val="24"/>
              </w:rPr>
            </w:pPr>
            <w:r>
              <w:rPr>
                <w:rFonts w:hint="eastAsia" w:cs="宋体"/>
                <w:color w:val="auto"/>
                <w:sz w:val="24"/>
              </w:rPr>
              <w:t>东经118°</w:t>
            </w:r>
            <w:r>
              <w:rPr>
                <w:rFonts w:hint="eastAsia" w:cs="宋体"/>
                <w:color w:val="auto"/>
                <w:sz w:val="24"/>
                <w:lang w:val="en-US" w:eastAsia="zh-CN"/>
              </w:rPr>
              <w:t>10</w:t>
            </w:r>
            <w:r>
              <w:rPr>
                <w:rFonts w:hint="eastAsia" w:cs="宋体"/>
                <w:color w:val="auto"/>
                <w:sz w:val="24"/>
              </w:rPr>
              <w:t>′</w:t>
            </w:r>
            <w:r>
              <w:rPr>
                <w:rFonts w:hint="eastAsia" w:cs="宋体"/>
                <w:color w:val="auto"/>
                <w:sz w:val="24"/>
                <w:lang w:val="en-US" w:eastAsia="zh-CN"/>
              </w:rPr>
              <w:t>4.09</w:t>
            </w:r>
            <w:r>
              <w:rPr>
                <w:rFonts w:hint="eastAsia" w:cs="宋体"/>
                <w:color w:val="auto"/>
                <w:sz w:val="24"/>
              </w:rPr>
              <w:t>″，北纬31°</w:t>
            </w:r>
            <w:r>
              <w:rPr>
                <w:rFonts w:hint="eastAsia" w:cs="宋体"/>
                <w:color w:val="auto"/>
                <w:sz w:val="24"/>
                <w:lang w:val="en-US" w:eastAsia="zh-CN"/>
              </w:rPr>
              <w:t>13</w:t>
            </w:r>
            <w:r>
              <w:rPr>
                <w:rFonts w:hint="eastAsia" w:cs="宋体"/>
                <w:color w:val="auto"/>
                <w:sz w:val="24"/>
              </w:rPr>
              <w:t>′</w:t>
            </w:r>
            <w:r>
              <w:rPr>
                <w:rFonts w:hint="eastAsia" w:cs="宋体"/>
                <w:color w:val="auto"/>
                <w:sz w:val="24"/>
                <w:lang w:val="en-US" w:eastAsia="zh-CN"/>
              </w:rPr>
              <w:t>8.32</w:t>
            </w:r>
            <w:r>
              <w:rPr>
                <w:rFonts w:hint="eastAsia" w:cs="宋体"/>
                <w:color w:val="auto"/>
                <w:sz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国民经济</w:t>
            </w:r>
          </w:p>
          <w:p>
            <w:pPr>
              <w:adjustRightInd w:val="0"/>
              <w:snapToGrid w:val="0"/>
              <w:jc w:val="center"/>
              <w:rPr>
                <w:rFonts w:cs="宋体"/>
                <w:sz w:val="24"/>
              </w:rPr>
            </w:pPr>
            <w:r>
              <w:rPr>
                <w:rFonts w:hint="eastAsia" w:cs="宋体"/>
                <w:sz w:val="24"/>
              </w:rPr>
              <w:t>行业类别</w:t>
            </w:r>
          </w:p>
        </w:tc>
        <w:tc>
          <w:tcPr>
            <w:tcW w:w="2609" w:type="dxa"/>
            <w:vAlign w:val="center"/>
          </w:tcPr>
          <w:p>
            <w:pPr>
              <w:adjustRightInd w:val="0"/>
              <w:snapToGrid w:val="0"/>
              <w:jc w:val="center"/>
              <w:rPr>
                <w:rFonts w:cs="宋体"/>
                <w:sz w:val="24"/>
              </w:rPr>
            </w:pPr>
            <w:r>
              <w:rPr>
                <w:rFonts w:hint="eastAsia" w:cs="宋体"/>
                <w:sz w:val="24"/>
              </w:rPr>
              <w:t>其它非金属矿物制品制造（C3099）</w:t>
            </w:r>
          </w:p>
        </w:tc>
        <w:tc>
          <w:tcPr>
            <w:tcW w:w="2059" w:type="dxa"/>
            <w:vAlign w:val="center"/>
          </w:tcPr>
          <w:p>
            <w:pPr>
              <w:adjustRightInd w:val="0"/>
              <w:snapToGrid w:val="0"/>
              <w:jc w:val="center"/>
              <w:rPr>
                <w:rFonts w:cs="宋体"/>
                <w:sz w:val="24"/>
              </w:rPr>
            </w:pPr>
            <w:bookmarkStart w:id="0" w:name="_Hlk49843745"/>
            <w:r>
              <w:rPr>
                <w:rFonts w:hint="eastAsia" w:cs="宋体"/>
                <w:sz w:val="24"/>
              </w:rPr>
              <w:t>建设项目</w:t>
            </w:r>
          </w:p>
          <w:p>
            <w:pPr>
              <w:adjustRightInd w:val="0"/>
              <w:snapToGrid w:val="0"/>
              <w:jc w:val="center"/>
              <w:rPr>
                <w:rFonts w:cs="宋体"/>
                <w:sz w:val="24"/>
              </w:rPr>
            </w:pPr>
            <w:r>
              <w:rPr>
                <w:rFonts w:hint="eastAsia" w:cs="宋体"/>
                <w:sz w:val="24"/>
              </w:rPr>
              <w:t>行业类别</w:t>
            </w:r>
            <w:bookmarkEnd w:id="0"/>
          </w:p>
        </w:tc>
        <w:tc>
          <w:tcPr>
            <w:tcW w:w="3002" w:type="dxa"/>
            <w:vAlign w:val="center"/>
          </w:tcPr>
          <w:p>
            <w:pPr>
              <w:adjustRightInd w:val="0"/>
              <w:snapToGrid w:val="0"/>
              <w:rPr>
                <w:rFonts w:hint="eastAsia" w:eastAsia="宋体" w:cs="宋体"/>
                <w:sz w:val="24"/>
                <w:lang w:eastAsia="zh-CN"/>
              </w:rPr>
            </w:pPr>
            <w:r>
              <w:rPr>
                <w:rFonts w:hint="eastAsia"/>
                <w:sz w:val="24"/>
              </w:rPr>
              <w:t>二十七、非金属矿物制品业3</w:t>
            </w:r>
            <w:r>
              <w:rPr>
                <w:sz w:val="24"/>
              </w:rPr>
              <w:t>0</w:t>
            </w:r>
            <w:r>
              <w:rPr>
                <w:rFonts w:hint="eastAsia"/>
                <w:sz w:val="24"/>
              </w:rPr>
              <w:t>—</w:t>
            </w:r>
            <w:r>
              <w:rPr>
                <w:rFonts w:hint="eastAsia"/>
                <w:sz w:val="24"/>
                <w:lang w:val="en-US" w:eastAsia="zh-CN"/>
              </w:rPr>
              <w:t>60</w:t>
            </w:r>
            <w:r>
              <w:rPr>
                <w:rFonts w:hint="eastAsia"/>
                <w:sz w:val="24"/>
              </w:rPr>
              <w:t>、石墨及其他非金属矿物制品制造—</w:t>
            </w:r>
            <w:r>
              <w:rPr>
                <w:rFonts w:hint="eastAsia"/>
                <w:sz w:val="24"/>
                <w:lang w:val="en-US" w:eastAsia="zh-CN"/>
              </w:rPr>
              <w:t>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建设性质</w:t>
            </w:r>
          </w:p>
        </w:tc>
        <w:tc>
          <w:tcPr>
            <w:tcW w:w="2609" w:type="dxa"/>
            <w:vAlign w:val="center"/>
          </w:tcPr>
          <w:p>
            <w:pPr>
              <w:jc w:val="left"/>
              <w:rPr>
                <w:rFonts w:cs="宋体"/>
                <w:sz w:val="24"/>
              </w:rPr>
            </w:pPr>
            <w:r>
              <w:rPr>
                <w:rFonts w:hint="eastAsia" w:cs="宋体"/>
                <w:sz w:val="24"/>
              </w:rPr>
              <w:t>□新建（迁建）</w:t>
            </w:r>
          </w:p>
          <w:p>
            <w:pPr>
              <w:jc w:val="left"/>
              <w:rPr>
                <w:rFonts w:cs="宋体"/>
                <w:sz w:val="24"/>
              </w:rPr>
            </w:pPr>
            <w:r>
              <w:rPr>
                <w:rFonts w:hint="eastAsia" w:cs="宋体"/>
                <w:sz w:val="24"/>
                <w:lang w:eastAsia="zh-CN"/>
              </w:rPr>
              <w:t>☑</w:t>
            </w:r>
            <w:r>
              <w:rPr>
                <w:rFonts w:hint="eastAsia" w:cs="宋体"/>
                <w:sz w:val="24"/>
              </w:rPr>
              <w:t>改建</w:t>
            </w:r>
          </w:p>
          <w:p>
            <w:pPr>
              <w:jc w:val="left"/>
              <w:rPr>
                <w:rFonts w:cs="宋体"/>
                <w:sz w:val="24"/>
              </w:rPr>
            </w:pPr>
            <w:r>
              <w:rPr>
                <w:rFonts w:hint="eastAsia" w:cs="宋体"/>
                <w:sz w:val="24"/>
                <w:lang w:eastAsia="zh-CN"/>
              </w:rPr>
              <w:t>☑</w:t>
            </w:r>
            <w:r>
              <w:rPr>
                <w:rFonts w:hint="eastAsia" w:cs="宋体"/>
                <w:sz w:val="24"/>
              </w:rPr>
              <w:t>扩建</w:t>
            </w:r>
          </w:p>
          <w:p>
            <w:pPr>
              <w:jc w:val="left"/>
              <w:rPr>
                <w:rFonts w:cs="宋体"/>
                <w:sz w:val="24"/>
              </w:rPr>
            </w:pPr>
            <w:r>
              <w:rPr>
                <w:rFonts w:hint="eastAsia" w:cs="宋体"/>
                <w:sz w:val="24"/>
              </w:rPr>
              <w:t>□技术改造</w:t>
            </w:r>
          </w:p>
        </w:tc>
        <w:tc>
          <w:tcPr>
            <w:tcW w:w="2059" w:type="dxa"/>
            <w:vAlign w:val="center"/>
          </w:tcPr>
          <w:p>
            <w:pPr>
              <w:adjustRightInd w:val="0"/>
              <w:snapToGrid w:val="0"/>
              <w:jc w:val="center"/>
              <w:rPr>
                <w:rFonts w:cs="宋体"/>
                <w:color w:val="auto"/>
                <w:sz w:val="24"/>
              </w:rPr>
            </w:pPr>
            <w:r>
              <w:rPr>
                <w:rFonts w:hint="eastAsia" w:cs="宋体"/>
                <w:color w:val="auto"/>
                <w:sz w:val="24"/>
              </w:rPr>
              <w:t>建设项目</w:t>
            </w:r>
          </w:p>
          <w:p>
            <w:pPr>
              <w:adjustRightInd w:val="0"/>
              <w:snapToGrid w:val="0"/>
              <w:jc w:val="center"/>
              <w:rPr>
                <w:rFonts w:cs="宋体"/>
                <w:sz w:val="24"/>
              </w:rPr>
            </w:pPr>
            <w:r>
              <w:rPr>
                <w:rFonts w:hint="eastAsia" w:cs="宋体"/>
                <w:color w:val="auto"/>
                <w:sz w:val="24"/>
              </w:rPr>
              <w:t>申报情形</w:t>
            </w:r>
          </w:p>
        </w:tc>
        <w:tc>
          <w:tcPr>
            <w:tcW w:w="3002" w:type="dxa"/>
            <w:vAlign w:val="center"/>
          </w:tcPr>
          <w:p>
            <w:pPr>
              <w:jc w:val="left"/>
              <w:rPr>
                <w:rFonts w:cs="宋体"/>
                <w:sz w:val="24"/>
              </w:rPr>
            </w:pPr>
            <w:r>
              <w:rPr>
                <w:rFonts w:hint="eastAsia" w:cs="宋体"/>
                <w:sz w:val="24"/>
                <w:lang w:eastAsia="zh-CN"/>
              </w:rPr>
              <w:t>☑</w:t>
            </w:r>
            <w:r>
              <w:rPr>
                <w:rFonts w:hint="eastAsia" w:cs="宋体"/>
                <w:sz w:val="24"/>
              </w:rPr>
              <w:t>首次申报项目</w:t>
            </w:r>
            <w:r>
              <w:rPr>
                <w:rFonts w:cs="宋体"/>
                <w:sz w:val="24"/>
              </w:rPr>
              <w:t xml:space="preserve">             </w:t>
            </w:r>
          </w:p>
          <w:p>
            <w:pPr>
              <w:jc w:val="left"/>
              <w:rPr>
                <w:rFonts w:cs="宋体"/>
                <w:sz w:val="24"/>
              </w:rPr>
            </w:pPr>
            <w:r>
              <w:rPr>
                <w:rFonts w:hint="eastAsia" w:cs="宋体"/>
                <w:sz w:val="24"/>
              </w:rPr>
              <w:t>□不予批准后再次申报项目</w:t>
            </w:r>
          </w:p>
          <w:p>
            <w:pPr>
              <w:jc w:val="left"/>
              <w:rPr>
                <w:rFonts w:cs="宋体"/>
                <w:sz w:val="24"/>
              </w:rPr>
            </w:pPr>
            <w:r>
              <w:rPr>
                <w:rFonts w:hint="eastAsia" w:cs="宋体"/>
                <w:sz w:val="24"/>
              </w:rPr>
              <w:t>□超五年重新审核项目</w:t>
            </w:r>
            <w:r>
              <w:rPr>
                <w:rFonts w:cs="宋体"/>
                <w:sz w:val="24"/>
              </w:rPr>
              <w:t xml:space="preserve">     </w:t>
            </w:r>
          </w:p>
          <w:p>
            <w:pPr>
              <w:jc w:val="left"/>
              <w:rPr>
                <w:rFonts w:cs="宋体"/>
                <w:sz w:val="24"/>
              </w:rPr>
            </w:pPr>
            <w:r>
              <w:rPr>
                <w:rFonts w:hint="eastAsia" w:cs="宋体"/>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项目审批（核准</w:t>
            </w:r>
            <w:r>
              <w:rPr>
                <w:rFonts w:cs="宋体"/>
                <w:sz w:val="24"/>
              </w:rPr>
              <w:t>/</w:t>
            </w:r>
            <w:r>
              <w:rPr>
                <w:rFonts w:hint="eastAsia" w:cs="宋体"/>
                <w:sz w:val="24"/>
              </w:rPr>
              <w:t>备案）部门（选填）</w:t>
            </w:r>
          </w:p>
        </w:tc>
        <w:tc>
          <w:tcPr>
            <w:tcW w:w="2609" w:type="dxa"/>
            <w:vAlign w:val="center"/>
          </w:tcPr>
          <w:p>
            <w:pPr>
              <w:adjustRightInd w:val="0"/>
              <w:snapToGrid w:val="0"/>
              <w:jc w:val="center"/>
              <w:rPr>
                <w:rFonts w:hint="default" w:eastAsia="宋体" w:cs="宋体"/>
                <w:sz w:val="24"/>
                <w:lang w:val="en-US" w:eastAsia="zh-CN"/>
              </w:rPr>
            </w:pPr>
            <w:r>
              <w:rPr>
                <w:rFonts w:hint="eastAsia" w:cs="宋体"/>
                <w:sz w:val="24"/>
                <w:lang w:val="en-US" w:eastAsia="zh-CN"/>
              </w:rPr>
              <w:t>安徽芜湖三山经济开发区春州路2号</w:t>
            </w:r>
          </w:p>
        </w:tc>
        <w:tc>
          <w:tcPr>
            <w:tcW w:w="2059" w:type="dxa"/>
            <w:vAlign w:val="center"/>
          </w:tcPr>
          <w:p>
            <w:pPr>
              <w:adjustRightInd w:val="0"/>
              <w:snapToGrid w:val="0"/>
              <w:jc w:val="center"/>
              <w:rPr>
                <w:rFonts w:cs="宋体"/>
                <w:sz w:val="24"/>
              </w:rPr>
            </w:pPr>
            <w:r>
              <w:rPr>
                <w:rFonts w:hint="eastAsia" w:cs="宋体"/>
                <w:sz w:val="24"/>
              </w:rPr>
              <w:t>项目审批（核准</w:t>
            </w:r>
            <w:r>
              <w:rPr>
                <w:rFonts w:cs="宋体"/>
                <w:sz w:val="24"/>
              </w:rPr>
              <w:t>/</w:t>
            </w:r>
          </w:p>
          <w:p>
            <w:pPr>
              <w:adjustRightInd w:val="0"/>
              <w:snapToGrid w:val="0"/>
              <w:jc w:val="center"/>
              <w:rPr>
                <w:rFonts w:cs="宋体"/>
                <w:sz w:val="24"/>
              </w:rPr>
            </w:pPr>
            <w:r>
              <w:rPr>
                <w:rFonts w:hint="eastAsia" w:cs="宋体"/>
                <w:sz w:val="24"/>
              </w:rPr>
              <w:t>备案）文号（选填）</w:t>
            </w:r>
          </w:p>
        </w:tc>
        <w:tc>
          <w:tcPr>
            <w:tcW w:w="3002" w:type="dxa"/>
            <w:vAlign w:val="center"/>
          </w:tcPr>
          <w:p>
            <w:pPr>
              <w:adjustRightInd w:val="0"/>
              <w:snapToGrid w:val="0"/>
              <w:jc w:val="center"/>
              <w:rPr>
                <w:rFonts w:cs="宋体"/>
                <w:sz w:val="24"/>
              </w:rPr>
            </w:pPr>
            <w:r>
              <w:rPr>
                <w:rFonts w:hint="eastAsia" w:cs="宋体"/>
                <w:color w:val="auto"/>
                <w:sz w:val="24"/>
                <w:lang w:val="en-US" w:eastAsia="zh-CN"/>
              </w:rPr>
              <w:t>三经发</w:t>
            </w:r>
            <w:r>
              <w:rPr>
                <w:color w:val="000000"/>
                <w:sz w:val="24"/>
              </w:rPr>
              <w:t>【20</w:t>
            </w:r>
            <w:r>
              <w:rPr>
                <w:rFonts w:hint="eastAsia"/>
                <w:color w:val="000000"/>
                <w:sz w:val="24"/>
              </w:rPr>
              <w:t>2</w:t>
            </w:r>
            <w:r>
              <w:rPr>
                <w:rFonts w:hint="eastAsia"/>
                <w:color w:val="000000"/>
                <w:sz w:val="24"/>
                <w:lang w:val="en-US" w:eastAsia="zh-CN"/>
              </w:rPr>
              <w:t>1</w:t>
            </w:r>
            <w:r>
              <w:rPr>
                <w:color w:val="000000"/>
                <w:sz w:val="24"/>
              </w:rPr>
              <w:t>】</w:t>
            </w:r>
            <w:r>
              <w:rPr>
                <w:rFonts w:hint="eastAsia"/>
                <w:color w:val="000000"/>
                <w:sz w:val="24"/>
                <w:lang w:val="en-US" w:eastAsia="zh-CN"/>
              </w:rPr>
              <w:t>262</w:t>
            </w:r>
            <w:r>
              <w:rPr>
                <w:rFonts w:hint="eastAsia" w:cs="宋体"/>
                <w:color w:val="auto"/>
                <w:sz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总投资（万元）</w:t>
            </w:r>
          </w:p>
        </w:tc>
        <w:tc>
          <w:tcPr>
            <w:tcW w:w="2609" w:type="dxa"/>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3500</w:t>
            </w:r>
          </w:p>
        </w:tc>
        <w:tc>
          <w:tcPr>
            <w:tcW w:w="2059" w:type="dxa"/>
            <w:tcMar>
              <w:top w:w="16" w:type="dxa"/>
              <w:left w:w="16" w:type="dxa"/>
              <w:right w:w="16" w:type="dxa"/>
            </w:tcMar>
            <w:vAlign w:val="center"/>
          </w:tcPr>
          <w:p>
            <w:pPr>
              <w:adjustRightInd w:val="0"/>
              <w:snapToGrid w:val="0"/>
              <w:jc w:val="center"/>
              <w:rPr>
                <w:rFonts w:cs="宋体"/>
                <w:sz w:val="24"/>
              </w:rPr>
            </w:pPr>
            <w:r>
              <w:rPr>
                <w:rFonts w:hint="eastAsia" w:cs="宋体"/>
                <w:sz w:val="24"/>
              </w:rPr>
              <w:t>环保投资（万元）</w:t>
            </w:r>
          </w:p>
        </w:tc>
        <w:tc>
          <w:tcPr>
            <w:tcW w:w="3002" w:type="dxa"/>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环保投资占比（</w:t>
            </w:r>
            <w:r>
              <w:rPr>
                <w:rFonts w:cs="宋体"/>
                <w:sz w:val="24"/>
              </w:rPr>
              <w:t>%</w:t>
            </w:r>
            <w:r>
              <w:rPr>
                <w:rFonts w:hint="eastAsia" w:cs="宋体"/>
                <w:sz w:val="24"/>
              </w:rPr>
              <w:t>）</w:t>
            </w:r>
          </w:p>
        </w:tc>
        <w:tc>
          <w:tcPr>
            <w:tcW w:w="2609" w:type="dxa"/>
            <w:vAlign w:val="center"/>
          </w:tcPr>
          <w:p>
            <w:pPr>
              <w:adjustRightInd w:val="0"/>
              <w:snapToGrid w:val="0"/>
              <w:jc w:val="center"/>
              <w:rPr>
                <w:rFonts w:cs="宋体"/>
                <w:sz w:val="24"/>
              </w:rPr>
            </w:pPr>
            <w:r>
              <w:rPr>
                <w:rFonts w:cs="宋体"/>
                <w:color w:val="auto"/>
                <w:sz w:val="24"/>
              </w:rPr>
              <w:t>0.</w:t>
            </w:r>
            <w:r>
              <w:rPr>
                <w:rFonts w:hint="eastAsia" w:cs="宋体"/>
                <w:color w:val="auto"/>
                <w:sz w:val="24"/>
                <w:lang w:val="en-US" w:eastAsia="zh-CN"/>
              </w:rPr>
              <w:t>27</w:t>
            </w:r>
            <w:r>
              <w:rPr>
                <w:rFonts w:cs="宋体"/>
                <w:color w:val="auto"/>
                <w:sz w:val="24"/>
              </w:rPr>
              <w:t>%</w:t>
            </w:r>
          </w:p>
        </w:tc>
        <w:tc>
          <w:tcPr>
            <w:tcW w:w="2059" w:type="dxa"/>
            <w:tcMar>
              <w:top w:w="16" w:type="dxa"/>
              <w:left w:w="16" w:type="dxa"/>
              <w:right w:w="16" w:type="dxa"/>
            </w:tcMar>
            <w:vAlign w:val="center"/>
          </w:tcPr>
          <w:p>
            <w:pPr>
              <w:adjustRightInd w:val="0"/>
              <w:snapToGrid w:val="0"/>
              <w:jc w:val="center"/>
              <w:rPr>
                <w:rFonts w:cs="宋体"/>
                <w:sz w:val="24"/>
              </w:rPr>
            </w:pPr>
            <w:r>
              <w:rPr>
                <w:rFonts w:hint="eastAsia" w:cs="宋体"/>
                <w:sz w:val="24"/>
              </w:rPr>
              <w:t>施工工期</w:t>
            </w:r>
          </w:p>
        </w:tc>
        <w:tc>
          <w:tcPr>
            <w:tcW w:w="3002" w:type="dxa"/>
            <w:vAlign w:val="center"/>
          </w:tcPr>
          <w:p>
            <w:pPr>
              <w:adjustRightInd w:val="0"/>
              <w:snapToGrid w:val="0"/>
              <w:jc w:val="center"/>
              <w:rPr>
                <w:rFonts w:hint="default" w:eastAsia="宋体" w:cs="宋体"/>
                <w:sz w:val="24"/>
                <w:lang w:val="en-US" w:eastAsia="zh-CN"/>
              </w:rPr>
            </w:pPr>
            <w:r>
              <w:rPr>
                <w:rFonts w:hint="eastAsia" w:cs="宋体"/>
                <w:sz w:val="24"/>
                <w:lang w:val="en-US" w:eastAsia="zh-CN"/>
              </w:rPr>
              <w:t>2个月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200" w:type="dxa"/>
            <w:tcMar>
              <w:top w:w="16" w:type="dxa"/>
              <w:left w:w="16" w:type="dxa"/>
              <w:right w:w="16" w:type="dxa"/>
            </w:tcMar>
            <w:vAlign w:val="center"/>
          </w:tcPr>
          <w:p>
            <w:pPr>
              <w:adjustRightInd w:val="0"/>
              <w:snapToGrid w:val="0"/>
              <w:jc w:val="center"/>
              <w:rPr>
                <w:rFonts w:cs="宋体"/>
                <w:sz w:val="24"/>
              </w:rPr>
            </w:pPr>
            <w:r>
              <w:rPr>
                <w:rFonts w:hint="eastAsia" w:cs="宋体"/>
                <w:sz w:val="24"/>
              </w:rPr>
              <w:t>是否开工建设</w:t>
            </w:r>
          </w:p>
        </w:tc>
        <w:tc>
          <w:tcPr>
            <w:tcW w:w="2609" w:type="dxa"/>
            <w:vAlign w:val="center"/>
          </w:tcPr>
          <w:p>
            <w:pPr>
              <w:adjustRightInd w:val="0"/>
              <w:snapToGrid w:val="0"/>
              <w:rPr>
                <w:rFonts w:cs="宋体"/>
                <w:sz w:val="24"/>
              </w:rPr>
            </w:pPr>
            <w:r>
              <w:rPr>
                <w:rFonts w:hint="eastAsia" w:cs="宋体"/>
                <w:sz w:val="24"/>
                <w:lang w:eastAsia="zh-CN"/>
              </w:rPr>
              <w:t>☑</w:t>
            </w:r>
            <w:r>
              <w:rPr>
                <w:rFonts w:hint="eastAsia" w:cs="宋体"/>
                <w:sz w:val="24"/>
              </w:rPr>
              <w:t>否</w:t>
            </w:r>
          </w:p>
          <w:p>
            <w:pPr>
              <w:adjustRightInd w:val="0"/>
              <w:snapToGrid w:val="0"/>
              <w:rPr>
                <w:rFonts w:cs="宋体"/>
                <w:sz w:val="24"/>
              </w:rPr>
            </w:pPr>
            <w:r>
              <w:rPr>
                <w:rFonts w:hint="eastAsia" w:cs="宋体"/>
                <w:sz w:val="24"/>
              </w:rPr>
              <w:t>□是</w:t>
            </w:r>
          </w:p>
        </w:tc>
        <w:tc>
          <w:tcPr>
            <w:tcW w:w="2059" w:type="dxa"/>
            <w:tcMar>
              <w:top w:w="16" w:type="dxa"/>
              <w:left w:w="16" w:type="dxa"/>
              <w:right w:w="16" w:type="dxa"/>
            </w:tcMar>
            <w:vAlign w:val="center"/>
          </w:tcPr>
          <w:p>
            <w:pPr>
              <w:adjustRightInd w:val="0"/>
              <w:snapToGrid w:val="0"/>
              <w:jc w:val="center"/>
              <w:rPr>
                <w:rFonts w:cs="宋体"/>
                <w:spacing w:val="-6"/>
                <w:sz w:val="24"/>
              </w:rPr>
            </w:pPr>
            <w:r>
              <w:rPr>
                <w:rFonts w:hint="eastAsia" w:cs="宋体"/>
                <w:spacing w:val="-6"/>
                <w:sz w:val="24"/>
              </w:rPr>
              <w:t>用地（用海）</w:t>
            </w:r>
          </w:p>
          <w:p>
            <w:pPr>
              <w:adjustRightInd w:val="0"/>
              <w:snapToGrid w:val="0"/>
              <w:jc w:val="center"/>
              <w:rPr>
                <w:rFonts w:cs="宋体"/>
                <w:sz w:val="24"/>
              </w:rPr>
            </w:pPr>
            <w:r>
              <w:rPr>
                <w:rFonts w:hint="eastAsia" w:cs="宋体"/>
                <w:spacing w:val="-6"/>
                <w:sz w:val="24"/>
              </w:rPr>
              <w:t>面积（</w:t>
            </w:r>
            <w:r>
              <w:rPr>
                <w:rFonts w:cs="宋体"/>
                <w:spacing w:val="-6"/>
                <w:sz w:val="24"/>
              </w:rPr>
              <w:t>m</w:t>
            </w:r>
            <w:r>
              <w:rPr>
                <w:rFonts w:cs="宋体"/>
                <w:spacing w:val="-6"/>
                <w:sz w:val="24"/>
                <w:vertAlign w:val="superscript"/>
              </w:rPr>
              <w:t>2</w:t>
            </w:r>
            <w:r>
              <w:rPr>
                <w:rFonts w:hint="eastAsia" w:cs="宋体"/>
                <w:spacing w:val="-6"/>
                <w:sz w:val="24"/>
              </w:rPr>
              <w:t>）</w:t>
            </w:r>
          </w:p>
        </w:tc>
        <w:tc>
          <w:tcPr>
            <w:tcW w:w="3002" w:type="dxa"/>
            <w:vAlign w:val="center"/>
          </w:tcPr>
          <w:p>
            <w:pPr>
              <w:adjustRightInd w:val="0"/>
              <w:snapToGrid w:val="0"/>
              <w:jc w:val="center"/>
              <w:rPr>
                <w:rFonts w:hint="default" w:eastAsia="宋体" w:cs="宋体"/>
                <w:sz w:val="24"/>
                <w:lang w:val="en-US" w:eastAsia="zh-CN"/>
              </w:rPr>
            </w:pPr>
            <w:r>
              <w:rPr>
                <w:rFonts w:hint="eastAsia" w:cs="宋体"/>
                <w:color w:val="auto"/>
                <w:sz w:val="24"/>
                <w:lang w:val="en-US" w:eastAsia="zh-CN"/>
              </w:rPr>
              <w:t>3969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kern w:val="0"/>
                <w:sz w:val="24"/>
              </w:rPr>
              <w:t>专项评价设置情况</w:t>
            </w:r>
          </w:p>
        </w:tc>
        <w:tc>
          <w:tcPr>
            <w:tcW w:w="7670" w:type="dxa"/>
            <w:gridSpan w:val="3"/>
            <w:vAlign w:val="center"/>
          </w:tcPr>
          <w:p>
            <w:pPr>
              <w:autoSpaceDE w:val="0"/>
              <w:autoSpaceDN w:val="0"/>
              <w:adjustRightInd w:val="0"/>
              <w:snapToGrid w:val="0"/>
              <w:jc w:val="center"/>
              <w:rPr>
                <w:rFonts w:cs="宋体"/>
                <w:kern w:val="0"/>
                <w:sz w:val="24"/>
              </w:rPr>
            </w:pPr>
            <w:r>
              <w:rPr>
                <w:rFonts w:hint="eastAsia" w:cs="宋体"/>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sz w:val="24"/>
              </w:rPr>
              <w:t>规划情况</w:t>
            </w:r>
          </w:p>
        </w:tc>
        <w:tc>
          <w:tcPr>
            <w:tcW w:w="7670" w:type="dxa"/>
            <w:gridSpan w:val="3"/>
            <w:vAlign w:val="center"/>
          </w:tcPr>
          <w:p>
            <w:pPr>
              <w:autoSpaceDE w:val="0"/>
              <w:autoSpaceDN w:val="0"/>
              <w:adjustRightInd w:val="0"/>
              <w:snapToGrid w:val="0"/>
              <w:jc w:val="both"/>
              <w:rPr>
                <w:rFonts w:hint="eastAsia" w:cs="宋体"/>
                <w:color w:val="auto"/>
                <w:kern w:val="0"/>
                <w:sz w:val="24"/>
              </w:rPr>
            </w:pPr>
            <w:r>
              <w:rPr>
                <w:rFonts w:hint="eastAsia" w:cs="宋体"/>
                <w:color w:val="auto"/>
                <w:kern w:val="0"/>
                <w:sz w:val="24"/>
              </w:rPr>
              <w:t>规划名称：《安徽芜湖三山经济开发区总体发展规划（2013~2030）》</w:t>
            </w:r>
          </w:p>
          <w:p>
            <w:pPr>
              <w:autoSpaceDE w:val="0"/>
              <w:autoSpaceDN w:val="0"/>
              <w:adjustRightInd w:val="0"/>
              <w:snapToGrid w:val="0"/>
              <w:jc w:val="both"/>
              <w:rPr>
                <w:rFonts w:hint="eastAsia" w:cs="宋体"/>
                <w:color w:val="auto"/>
                <w:kern w:val="0"/>
                <w:sz w:val="24"/>
              </w:rPr>
            </w:pPr>
            <w:r>
              <w:rPr>
                <w:rFonts w:hint="eastAsia" w:cs="宋体"/>
                <w:color w:val="auto"/>
                <w:kern w:val="0"/>
                <w:sz w:val="24"/>
              </w:rPr>
              <w:t>审批机关：安徽省人民政府</w:t>
            </w:r>
          </w:p>
          <w:p>
            <w:pPr>
              <w:autoSpaceDE w:val="0"/>
              <w:autoSpaceDN w:val="0"/>
              <w:adjustRightInd w:val="0"/>
              <w:snapToGrid w:val="0"/>
              <w:jc w:val="both"/>
              <w:rPr>
                <w:rFonts w:cs="宋体"/>
                <w:kern w:val="0"/>
                <w:sz w:val="24"/>
              </w:rPr>
            </w:pPr>
            <w:r>
              <w:rPr>
                <w:rFonts w:hint="eastAsia" w:cs="宋体"/>
                <w:color w:val="auto"/>
                <w:kern w:val="0"/>
                <w:sz w:val="24"/>
              </w:rPr>
              <w:t>审批文件名称及文号：/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djustRightInd w:val="0"/>
              <w:snapToGrid w:val="0"/>
              <w:jc w:val="center"/>
              <w:rPr>
                <w:rFonts w:cs="宋体"/>
                <w:sz w:val="24"/>
              </w:rPr>
            </w:pPr>
            <w:r>
              <w:rPr>
                <w:rFonts w:hint="eastAsia" w:cs="宋体"/>
                <w:sz w:val="24"/>
              </w:rPr>
              <w:t>规划环境影响</w:t>
            </w:r>
          </w:p>
          <w:p>
            <w:pPr>
              <w:adjustRightInd w:val="0"/>
              <w:snapToGrid w:val="0"/>
              <w:jc w:val="center"/>
              <w:rPr>
                <w:rFonts w:cs="宋体"/>
                <w:kern w:val="0"/>
                <w:sz w:val="24"/>
              </w:rPr>
            </w:pPr>
            <w:r>
              <w:rPr>
                <w:rFonts w:hint="eastAsia" w:cs="宋体"/>
                <w:sz w:val="24"/>
              </w:rPr>
              <w:t>评价情况</w:t>
            </w:r>
          </w:p>
        </w:tc>
        <w:tc>
          <w:tcPr>
            <w:tcW w:w="7670" w:type="dxa"/>
            <w:gridSpan w:val="3"/>
            <w:vAlign w:val="center"/>
          </w:tcPr>
          <w:p>
            <w:pPr>
              <w:autoSpaceDE w:val="0"/>
              <w:autoSpaceDN w:val="0"/>
              <w:adjustRightInd w:val="0"/>
              <w:snapToGrid w:val="0"/>
              <w:jc w:val="both"/>
              <w:rPr>
                <w:rFonts w:hint="eastAsia" w:cs="宋体"/>
                <w:kern w:val="0"/>
                <w:sz w:val="24"/>
              </w:rPr>
            </w:pPr>
            <w:r>
              <w:rPr>
                <w:rFonts w:hint="eastAsia" w:cs="宋体"/>
                <w:kern w:val="0"/>
                <w:sz w:val="24"/>
              </w:rPr>
              <w:t>规划名称：《安徽芜湖三山经济开发区总体发展规划环境影响报告书》</w:t>
            </w:r>
          </w:p>
          <w:p>
            <w:pPr>
              <w:autoSpaceDE w:val="0"/>
              <w:autoSpaceDN w:val="0"/>
              <w:adjustRightInd w:val="0"/>
              <w:snapToGrid w:val="0"/>
              <w:jc w:val="both"/>
              <w:rPr>
                <w:rFonts w:hint="eastAsia" w:cs="宋体"/>
                <w:kern w:val="0"/>
                <w:sz w:val="24"/>
              </w:rPr>
            </w:pPr>
            <w:r>
              <w:rPr>
                <w:rFonts w:hint="eastAsia" w:cs="宋体"/>
                <w:kern w:val="0"/>
                <w:sz w:val="24"/>
              </w:rPr>
              <w:t>召集审查机关：原安徽省环境保护厅</w:t>
            </w:r>
          </w:p>
          <w:p>
            <w:pPr>
              <w:autoSpaceDE w:val="0"/>
              <w:autoSpaceDN w:val="0"/>
              <w:adjustRightInd w:val="0"/>
              <w:snapToGrid w:val="0"/>
              <w:jc w:val="both"/>
              <w:rPr>
                <w:rFonts w:cs="宋体"/>
                <w:kern w:val="0"/>
                <w:sz w:val="24"/>
              </w:rPr>
            </w:pPr>
            <w:r>
              <w:rPr>
                <w:rFonts w:hint="eastAsia" w:cs="宋体"/>
                <w:kern w:val="0"/>
                <w:sz w:val="24"/>
              </w:rPr>
              <w:t>审批文件名称及文号：皖环函[2014]654号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592"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kern w:val="0"/>
                <w:sz w:val="24"/>
              </w:rPr>
              <w:t>规划及规划环境影响评价符合性分析</w:t>
            </w:r>
          </w:p>
        </w:tc>
        <w:tc>
          <w:tcPr>
            <w:tcW w:w="7670" w:type="dxa"/>
            <w:gridSpan w:val="3"/>
            <w:vAlign w:val="center"/>
          </w:tcPr>
          <w:p>
            <w:pPr>
              <w:spacing w:line="360" w:lineRule="auto"/>
              <w:rPr>
                <w:b/>
                <w:color w:val="000000"/>
                <w:sz w:val="24"/>
              </w:rPr>
            </w:pPr>
            <w:r>
              <w:rPr>
                <w:rFonts w:hint="eastAsia"/>
                <w:b/>
                <w:color w:val="000000"/>
                <w:sz w:val="24"/>
              </w:rPr>
              <w:t>1、</w:t>
            </w:r>
            <w:r>
              <w:rPr>
                <w:b/>
                <w:color w:val="000000"/>
                <w:sz w:val="24"/>
              </w:rPr>
              <w:t>规划用地相符性分析</w:t>
            </w:r>
          </w:p>
          <w:p>
            <w:pPr>
              <w:spacing w:line="360" w:lineRule="auto"/>
              <w:ind w:firstLine="480" w:firstLineChars="200"/>
              <w:rPr>
                <w:rFonts w:hint="eastAsia"/>
                <w:color w:val="000000"/>
                <w:sz w:val="24"/>
              </w:rPr>
            </w:pPr>
            <w:r>
              <w:rPr>
                <w:rFonts w:hint="eastAsia"/>
                <w:color w:val="000000"/>
                <w:sz w:val="24"/>
              </w:rPr>
              <w:t>本项目建设地点位于安徽省芜湖市三山区经济开发区春洲路2号，建设项目所在地东侧为新兴际华搅拌站，南侧为空地，西侧为芜湖新兴铸管有限责任公司主厂区，北侧为春洲路。</w:t>
            </w:r>
          </w:p>
          <w:p>
            <w:pPr>
              <w:spacing w:line="360" w:lineRule="auto"/>
              <w:ind w:firstLine="480" w:firstLineChars="200"/>
              <w:rPr>
                <w:color w:val="000000"/>
                <w:sz w:val="24"/>
              </w:rPr>
            </w:pPr>
            <w:r>
              <w:rPr>
                <w:rFonts w:hint="eastAsia"/>
                <w:color w:val="000000"/>
                <w:sz w:val="24"/>
              </w:rPr>
              <w:t>根据《安徽芜湖三山经济开发区总体发展规划环境影响报告书》，项目区土地性质为工业用地，且项目区周边无环境敏感区，且本项目未被列入国土资源部国家发展和改革委员会关于发布实施《限制用地项目目录（2012年本）》和《禁止用地项目目录（2012年本）》。因此，建设项目与区域规划相符，与用地性质相符。</w:t>
            </w:r>
          </w:p>
          <w:p>
            <w:pPr>
              <w:widowControl/>
              <w:spacing w:line="360" w:lineRule="auto"/>
              <w:jc w:val="left"/>
              <w:rPr>
                <w:b/>
                <w:bCs/>
                <w:color w:val="000000"/>
                <w:kern w:val="0"/>
                <w:sz w:val="24"/>
              </w:rPr>
            </w:pPr>
            <w:r>
              <w:rPr>
                <w:rFonts w:hint="eastAsia"/>
                <w:b/>
                <w:bCs/>
                <w:color w:val="000000"/>
                <w:kern w:val="0"/>
                <w:sz w:val="24"/>
              </w:rPr>
              <w:t>2、</w:t>
            </w:r>
            <w:r>
              <w:rPr>
                <w:b/>
                <w:bCs/>
                <w:color w:val="000000"/>
                <w:kern w:val="0"/>
                <w:sz w:val="24"/>
              </w:rPr>
              <w:t>与</w:t>
            </w:r>
            <w:r>
              <w:rPr>
                <w:rFonts w:hint="eastAsia"/>
                <w:b/>
                <w:bCs/>
                <w:color w:val="000000"/>
                <w:kern w:val="0"/>
                <w:sz w:val="24"/>
              </w:rPr>
              <w:t>规划环评</w:t>
            </w:r>
            <w:r>
              <w:rPr>
                <w:b/>
                <w:bCs/>
                <w:color w:val="000000"/>
                <w:kern w:val="0"/>
                <w:sz w:val="24"/>
              </w:rPr>
              <w:t>及其审查意</w:t>
            </w:r>
            <w:r>
              <w:rPr>
                <w:rFonts w:hint="eastAsia"/>
                <w:b/>
                <w:bCs/>
                <w:color w:val="000000"/>
                <w:kern w:val="0"/>
                <w:sz w:val="24"/>
              </w:rPr>
              <w:t>见</w:t>
            </w:r>
            <w:r>
              <w:rPr>
                <w:b/>
                <w:bCs/>
                <w:color w:val="000000"/>
                <w:kern w:val="0"/>
                <w:sz w:val="24"/>
              </w:rPr>
              <w:t>相符性分析</w:t>
            </w:r>
          </w:p>
          <w:p>
            <w:pPr>
              <w:pStyle w:val="8"/>
              <w:spacing w:line="460" w:lineRule="exact"/>
              <w:ind w:firstLine="480" w:firstLineChars="200"/>
              <w:rPr>
                <w:rFonts w:hint="eastAsia"/>
                <w:bCs/>
                <w:color w:val="000000"/>
                <w:szCs w:val="24"/>
              </w:rPr>
            </w:pPr>
            <w:r>
              <w:rPr>
                <w:rFonts w:hint="eastAsia"/>
                <w:bCs/>
                <w:color w:val="000000"/>
                <w:szCs w:val="24"/>
              </w:rPr>
              <w:t>根据《安徽芜湖三山经济开发区总体发展规划环境影响报告书》，</w:t>
            </w:r>
          </w:p>
          <w:p>
            <w:pPr>
              <w:pStyle w:val="8"/>
              <w:spacing w:line="460" w:lineRule="exact"/>
              <w:rPr>
                <w:bCs/>
                <w:color w:val="000000"/>
                <w:szCs w:val="24"/>
              </w:rPr>
            </w:pPr>
            <w:r>
              <w:rPr>
                <w:rFonts w:hint="eastAsia"/>
                <w:bCs/>
                <w:color w:val="000000"/>
                <w:szCs w:val="24"/>
              </w:rPr>
              <w:t>安徽芜湖三山经济开发区主要由两片区构成：北片区和南片区。北片区范围是北到长江，南到小江和联合大道，西到铁路专用线路和峨溪路，东到五华山路；南片区范围是北到小江，南到长江南路，西到铁路专用线路，东到莲花湖路，面积为17.68 km</w:t>
            </w:r>
            <w:r>
              <w:rPr>
                <w:rFonts w:hint="eastAsia"/>
                <w:bCs/>
                <w:color w:val="000000"/>
                <w:szCs w:val="24"/>
                <w:vertAlign w:val="superscript"/>
              </w:rPr>
              <w:t>2</w:t>
            </w:r>
            <w:r>
              <w:rPr>
                <w:rFonts w:hint="eastAsia"/>
                <w:bCs/>
                <w:color w:val="000000"/>
                <w:szCs w:val="24"/>
              </w:rPr>
              <w:t>。开发区产业定位为：装备制造、现代物流和电子信息三大主导产业，同时发展现代服务业。</w:t>
            </w:r>
          </w:p>
          <w:p>
            <w:pPr>
              <w:jc w:val="center"/>
              <w:rPr>
                <w:b/>
                <w:color w:val="000000"/>
                <w:sz w:val="22"/>
                <w:szCs w:val="22"/>
              </w:rPr>
            </w:pPr>
            <w:r>
              <w:rPr>
                <w:rFonts w:hint="eastAsia" w:cs="Arial"/>
                <w:b/>
                <w:color w:val="000000"/>
                <w:kern w:val="0"/>
                <w:sz w:val="24"/>
                <w:shd w:val="clear" w:color="auto" w:fill="FFFFFF"/>
              </w:rPr>
              <w:t>表 1-1 安徽芜湖三山经济开发区入区主导项目行业参考建议一览表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4947"/>
              <w:gridCol w:w="13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snapToGrid w:val="0"/>
                    <w:jc w:val="center"/>
                    <w:rPr>
                      <w:b/>
                      <w:szCs w:val="21"/>
                    </w:rPr>
                  </w:pPr>
                  <w:r>
                    <w:rPr>
                      <w:b/>
                      <w:szCs w:val="21"/>
                    </w:rPr>
                    <w:t>行业代码</w:t>
                  </w:r>
                </w:p>
              </w:tc>
              <w:tc>
                <w:tcPr>
                  <w:tcW w:w="4932" w:type="dxa"/>
                  <w:vAlign w:val="center"/>
                </w:tcPr>
                <w:p>
                  <w:pPr>
                    <w:snapToGrid w:val="0"/>
                    <w:jc w:val="center"/>
                    <w:rPr>
                      <w:b/>
                      <w:szCs w:val="21"/>
                    </w:rPr>
                  </w:pPr>
                  <w:r>
                    <w:rPr>
                      <w:b/>
                      <w:szCs w:val="21"/>
                    </w:rPr>
                    <w:t>行业名称</w:t>
                  </w:r>
                </w:p>
              </w:tc>
              <w:tc>
                <w:tcPr>
                  <w:tcW w:w="1323" w:type="dxa"/>
                  <w:vAlign w:val="center"/>
                </w:tcPr>
                <w:p>
                  <w:pPr>
                    <w:snapToGrid w:val="0"/>
                    <w:jc w:val="center"/>
                    <w:rPr>
                      <w:b/>
                      <w:szCs w:val="21"/>
                    </w:rPr>
                  </w:pPr>
                  <w:r>
                    <w:rPr>
                      <w:rFonts w:hint="eastAsia"/>
                      <w:b/>
                      <w:szCs w:val="21"/>
                    </w:rPr>
                    <w:t>控制</w:t>
                  </w:r>
                  <w:r>
                    <w:rPr>
                      <w:b/>
                      <w:szCs w:val="21"/>
                    </w:rPr>
                    <w:t>建议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18</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纺织服装、服饰业</w:t>
                  </w:r>
                </w:p>
              </w:tc>
              <w:tc>
                <w:tcPr>
                  <w:tcW w:w="1323"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19</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皮革、毛皮、羽毛及其制品和制鞋业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191</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皮革鞣制加工</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193</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毛皮鞣制及制品加工</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194</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羽毛（绒）加工及制品制造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26</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化学原料和化学制品制造业</w:t>
                  </w:r>
                </w:p>
              </w:tc>
              <w:tc>
                <w:tcPr>
                  <w:tcW w:w="1323"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禁止进入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33</w:t>
                  </w:r>
                </w:p>
              </w:tc>
              <w:tc>
                <w:tcPr>
                  <w:tcW w:w="4932"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金属制品业</w:t>
                  </w:r>
                </w:p>
              </w:tc>
              <w:tc>
                <w:tcPr>
                  <w:tcW w:w="1323" w:type="dxa"/>
                  <w:vAlign w:val="center"/>
                </w:tcPr>
                <w:p>
                  <w:pPr>
                    <w:autoSpaceDE w:val="0"/>
                    <w:autoSpaceDN w:val="0"/>
                    <w:adjustRightInd w:val="0"/>
                    <w:snapToGrid w:val="0"/>
                    <w:spacing w:line="340" w:lineRule="atLeas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336</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金属表面处理及热处理加工</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36</w:t>
                  </w:r>
                </w:p>
              </w:tc>
              <w:tc>
                <w:tcPr>
                  <w:tcW w:w="4932"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汽车制造业</w:t>
                  </w:r>
                </w:p>
              </w:tc>
              <w:tc>
                <w:tcPr>
                  <w:tcW w:w="1323" w:type="dxa"/>
                  <w:vAlign w:val="center"/>
                </w:tcPr>
                <w:p>
                  <w:pPr>
                    <w:autoSpaceDE w:val="0"/>
                    <w:autoSpaceDN w:val="0"/>
                    <w:adjustRightInd w:val="0"/>
                    <w:snapToGrid w:val="0"/>
                    <w:spacing w:line="340" w:lineRule="atLeas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361</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汽车整车制造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362</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改装汽车制造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365</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汽车车身、挂车制造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366</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汽车零部件及配件制造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373</w:t>
                  </w:r>
                </w:p>
              </w:tc>
              <w:tc>
                <w:tcPr>
                  <w:tcW w:w="4932" w:type="dxa"/>
                  <w:vAlign w:val="center"/>
                </w:tcPr>
                <w:p>
                  <w:pPr>
                    <w:autoSpaceDE w:val="0"/>
                    <w:autoSpaceDN w:val="0"/>
                    <w:adjustRightInd w:val="0"/>
                    <w:snapToGrid w:val="0"/>
                    <w:spacing w:line="340" w:lineRule="atLeast"/>
                    <w:jc w:val="center"/>
                    <w:rPr>
                      <w:b/>
                      <w:color w:val="000000"/>
                      <w:szCs w:val="21"/>
                    </w:rPr>
                  </w:pPr>
                  <w:r>
                    <w:rPr>
                      <w:rFonts w:hint="eastAsia"/>
                      <w:b/>
                      <w:color w:val="000000"/>
                      <w:szCs w:val="21"/>
                    </w:rPr>
                    <w:t>船舶及相关装置制造</w:t>
                  </w:r>
                </w:p>
              </w:tc>
              <w:tc>
                <w:tcPr>
                  <w:tcW w:w="1323" w:type="dxa"/>
                  <w:vAlign w:val="center"/>
                </w:tcPr>
                <w:p>
                  <w:pPr>
                    <w:autoSpaceDE w:val="0"/>
                    <w:autoSpaceDN w:val="0"/>
                    <w:adjustRightInd w:val="0"/>
                    <w:snapToGrid w:val="0"/>
                    <w:spacing w:line="340" w:lineRule="atLeas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color w:val="000000"/>
                      <w:szCs w:val="21"/>
                    </w:rPr>
                  </w:pPr>
                  <w:r>
                    <w:rPr>
                      <w:color w:val="000000"/>
                      <w:szCs w:val="21"/>
                    </w:rPr>
                    <w:t>3731</w:t>
                  </w:r>
                </w:p>
              </w:tc>
              <w:tc>
                <w:tcPr>
                  <w:tcW w:w="4932"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金属船舶制造</w:t>
                  </w:r>
                </w:p>
              </w:tc>
              <w:tc>
                <w:tcPr>
                  <w:tcW w:w="1323" w:type="dxa"/>
                  <w:vAlign w:val="center"/>
                </w:tcPr>
                <w:p>
                  <w:pPr>
                    <w:autoSpaceDE w:val="0"/>
                    <w:autoSpaceDN w:val="0"/>
                    <w:adjustRightInd w:val="0"/>
                    <w:snapToGrid w:val="0"/>
                    <w:spacing w:line="340" w:lineRule="atLeas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39</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计算机、通信和其他电子设备制造业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391</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计算机制造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color w:val="000000"/>
                      <w:szCs w:val="21"/>
                    </w:rPr>
                    <w:t>392</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通信设备制造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393</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广播电视设备制造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394</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雷达及配套设备制造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395</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视听设备制造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396</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电子器件制造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397</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电子元件制造</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rFonts w:hAnsi="宋体"/>
                      <w:b/>
                      <w:color w:val="000000"/>
                      <w:szCs w:val="21"/>
                    </w:rPr>
                  </w:pPr>
                  <w:r>
                    <w:rPr>
                      <w:rFonts w:hint="eastAsia" w:hAnsi="宋体"/>
                      <w:b/>
                      <w:color w:val="000000"/>
                      <w:szCs w:val="21"/>
                    </w:rPr>
                    <w:t>441</w:t>
                  </w:r>
                </w:p>
              </w:tc>
              <w:tc>
                <w:tcPr>
                  <w:tcW w:w="4932" w:type="dxa"/>
                  <w:vAlign w:val="center"/>
                </w:tcPr>
                <w:p>
                  <w:pPr>
                    <w:autoSpaceDE w:val="0"/>
                    <w:autoSpaceDN w:val="0"/>
                    <w:adjustRightInd w:val="0"/>
                    <w:snapToGrid w:val="0"/>
                    <w:spacing w:line="340" w:lineRule="atLeast"/>
                    <w:jc w:val="center"/>
                    <w:rPr>
                      <w:rFonts w:hAnsi="宋体"/>
                      <w:b/>
                      <w:color w:val="000000"/>
                      <w:szCs w:val="21"/>
                    </w:rPr>
                  </w:pPr>
                  <w:r>
                    <w:rPr>
                      <w:rFonts w:hint="eastAsia" w:hAnsi="宋体"/>
                      <w:b/>
                      <w:color w:val="000000"/>
                      <w:szCs w:val="21"/>
                    </w:rPr>
                    <w:t>电力生产</w:t>
                  </w:r>
                </w:p>
              </w:tc>
              <w:tc>
                <w:tcPr>
                  <w:tcW w:w="1323" w:type="dxa"/>
                  <w:vAlign w:val="center"/>
                </w:tcPr>
                <w:p>
                  <w:pPr>
                    <w:autoSpaceDE w:val="0"/>
                    <w:autoSpaceDN w:val="0"/>
                    <w:adjustRightInd w:val="0"/>
                    <w:snapToGrid w:val="0"/>
                    <w:spacing w:line="340" w:lineRule="atLeast"/>
                    <w:jc w:val="center"/>
                    <w:rPr>
                      <w:rFonts w:hAnsi="宋体"/>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atLeast"/>
                    <w:jc w:val="center"/>
                    <w:rPr>
                      <w:rFonts w:hAnsi="宋体"/>
                      <w:color w:val="000000"/>
                      <w:szCs w:val="21"/>
                    </w:rPr>
                  </w:pPr>
                  <w:r>
                    <w:rPr>
                      <w:rFonts w:hint="eastAsia" w:hAnsi="宋体"/>
                      <w:color w:val="000000"/>
                      <w:szCs w:val="21"/>
                    </w:rPr>
                    <w:t>4411</w:t>
                  </w:r>
                </w:p>
              </w:tc>
              <w:tc>
                <w:tcPr>
                  <w:tcW w:w="4932" w:type="dxa"/>
                  <w:vAlign w:val="center"/>
                </w:tcPr>
                <w:p>
                  <w:pPr>
                    <w:autoSpaceDE w:val="0"/>
                    <w:autoSpaceDN w:val="0"/>
                    <w:adjustRightInd w:val="0"/>
                    <w:snapToGrid w:val="0"/>
                    <w:spacing w:line="340" w:lineRule="atLeast"/>
                    <w:jc w:val="center"/>
                    <w:rPr>
                      <w:rFonts w:hAnsi="宋体"/>
                      <w:color w:val="000000"/>
                      <w:szCs w:val="21"/>
                    </w:rPr>
                  </w:pPr>
                  <w:r>
                    <w:rPr>
                      <w:rFonts w:hint="eastAsia" w:hAnsi="宋体"/>
                      <w:color w:val="000000"/>
                      <w:szCs w:val="21"/>
                    </w:rPr>
                    <w:t>火力发电</w:t>
                  </w:r>
                </w:p>
              </w:tc>
              <w:tc>
                <w:tcPr>
                  <w:tcW w:w="1323" w:type="dxa"/>
                  <w:vAlign w:val="center"/>
                </w:tcPr>
                <w:p>
                  <w:pPr>
                    <w:autoSpaceDE w:val="0"/>
                    <w:autoSpaceDN w:val="0"/>
                    <w:adjustRightInd w:val="0"/>
                    <w:snapToGrid w:val="0"/>
                    <w:spacing w:line="340" w:lineRule="atLeast"/>
                    <w:jc w:val="center"/>
                    <w:rPr>
                      <w:rFonts w:hAnsi="宋体"/>
                      <w:color w:val="000000"/>
                      <w:szCs w:val="21"/>
                    </w:rPr>
                  </w:pPr>
                  <w:r>
                    <w:rPr>
                      <w:rFonts w:hint="eastAsia" w:hAnsi="宋体"/>
                      <w:color w:val="000000"/>
                      <w:szCs w:val="21"/>
                    </w:rPr>
                    <w:t>控制进入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55</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水上运输业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552</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水上货物运输</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553</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水上运输辅助活动</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优先进入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59</w:t>
                  </w:r>
                </w:p>
              </w:tc>
              <w:tc>
                <w:tcPr>
                  <w:tcW w:w="4932" w:type="dxa"/>
                  <w:vAlign w:val="center"/>
                </w:tcPr>
                <w:p>
                  <w:pPr>
                    <w:autoSpaceDE w:val="0"/>
                    <w:autoSpaceDN w:val="0"/>
                    <w:adjustRightInd w:val="0"/>
                    <w:snapToGrid w:val="0"/>
                    <w:spacing w:line="340" w:lineRule="exact"/>
                    <w:jc w:val="center"/>
                    <w:rPr>
                      <w:b/>
                      <w:color w:val="000000"/>
                      <w:szCs w:val="21"/>
                    </w:rPr>
                  </w:pPr>
                  <w:r>
                    <w:rPr>
                      <w:rFonts w:hint="eastAsia"/>
                      <w:b/>
                      <w:color w:val="000000"/>
                      <w:szCs w:val="21"/>
                    </w:rPr>
                    <w:t>仓储业</w:t>
                  </w:r>
                </w:p>
              </w:tc>
              <w:tc>
                <w:tcPr>
                  <w:tcW w:w="1323" w:type="dxa"/>
                  <w:vAlign w:val="center"/>
                </w:tcPr>
                <w:p>
                  <w:pPr>
                    <w:autoSpaceDE w:val="0"/>
                    <w:autoSpaceDN w:val="0"/>
                    <w:adjustRightInd w:val="0"/>
                    <w:snapToGrid w:val="0"/>
                    <w:spacing w:line="340" w:lineRule="exact"/>
                    <w:jc w:val="center"/>
                    <w:rPr>
                      <w:color w:val="000000"/>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1176" w:type="dxa"/>
                  <w:vAlign w:val="center"/>
                </w:tcPr>
                <w:p>
                  <w:pPr>
                    <w:autoSpaceDE w:val="0"/>
                    <w:autoSpaceDN w:val="0"/>
                    <w:adjustRightInd w:val="0"/>
                    <w:snapToGrid w:val="0"/>
                    <w:spacing w:line="340" w:lineRule="exact"/>
                    <w:jc w:val="center"/>
                    <w:rPr>
                      <w:color w:val="000000"/>
                      <w:szCs w:val="21"/>
                    </w:rPr>
                  </w:pPr>
                  <w:r>
                    <w:rPr>
                      <w:color w:val="000000"/>
                      <w:szCs w:val="21"/>
                    </w:rPr>
                    <w:t>599</w:t>
                  </w:r>
                </w:p>
              </w:tc>
              <w:tc>
                <w:tcPr>
                  <w:tcW w:w="4932"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其他仓储业</w:t>
                  </w:r>
                </w:p>
              </w:tc>
              <w:tc>
                <w:tcPr>
                  <w:tcW w:w="1323" w:type="dxa"/>
                  <w:vAlign w:val="center"/>
                </w:tcPr>
                <w:p>
                  <w:pPr>
                    <w:autoSpaceDE w:val="0"/>
                    <w:autoSpaceDN w:val="0"/>
                    <w:adjustRightInd w:val="0"/>
                    <w:snapToGrid w:val="0"/>
                    <w:spacing w:line="340" w:lineRule="exact"/>
                    <w:jc w:val="center"/>
                    <w:rPr>
                      <w:color w:val="000000"/>
                      <w:szCs w:val="21"/>
                    </w:rPr>
                  </w:pPr>
                  <w:r>
                    <w:rPr>
                      <w:rFonts w:hint="eastAsia"/>
                      <w:color w:val="000000"/>
                      <w:szCs w:val="21"/>
                    </w:rPr>
                    <w:t>控制进入</w:t>
                  </w:r>
                </w:p>
              </w:tc>
            </w:tr>
          </w:tbl>
          <w:p>
            <w:pPr>
              <w:spacing w:line="360" w:lineRule="auto"/>
              <w:ind w:firstLine="540" w:firstLineChars="225"/>
              <w:rPr>
                <w:color w:val="000000"/>
                <w:sz w:val="24"/>
              </w:rPr>
            </w:pPr>
            <w:r>
              <w:rPr>
                <w:color w:val="000000"/>
                <w:sz w:val="24"/>
              </w:rPr>
              <w:t>本项目选址位于</w:t>
            </w:r>
            <w:r>
              <w:rPr>
                <w:rFonts w:hint="eastAsia"/>
                <w:color w:val="000000"/>
                <w:sz w:val="24"/>
              </w:rPr>
              <w:t>安徽省芜湖市三山区经济开发区春洲路2号，属于</w:t>
            </w:r>
            <w:r>
              <w:rPr>
                <w:rFonts w:hint="eastAsia" w:cs="宋体"/>
                <w:color w:val="000000"/>
                <w:kern w:val="0"/>
                <w:sz w:val="24"/>
              </w:rPr>
              <w:t>芜湖三山经济开发区的</w:t>
            </w:r>
            <w:r>
              <w:rPr>
                <w:color w:val="000000"/>
                <w:sz w:val="24"/>
              </w:rPr>
              <w:t>规划</w:t>
            </w:r>
            <w:r>
              <w:rPr>
                <w:rFonts w:hint="eastAsia"/>
                <w:color w:val="000000"/>
                <w:sz w:val="24"/>
              </w:rPr>
              <w:t>范围</w:t>
            </w:r>
            <w:r>
              <w:rPr>
                <w:color w:val="000000"/>
                <w:sz w:val="24"/>
              </w:rPr>
              <w:t>，本项目</w:t>
            </w:r>
            <w:r>
              <w:rPr>
                <w:rFonts w:hint="eastAsia"/>
                <w:color w:val="000000"/>
                <w:sz w:val="24"/>
                <w:lang w:val="en-US" w:eastAsia="zh-CN"/>
              </w:rPr>
              <w:t>产品为机制砂生产，</w:t>
            </w:r>
            <w:r>
              <w:rPr>
                <w:rFonts w:hint="eastAsia"/>
                <w:color w:val="000000"/>
                <w:sz w:val="24"/>
              </w:rPr>
              <w:t>为其它非金属矿物制品制造</w:t>
            </w:r>
            <w:r>
              <w:rPr>
                <w:rFonts w:hint="eastAsia"/>
                <w:color w:val="000000"/>
                <w:sz w:val="24"/>
                <w:lang w:eastAsia="zh-CN"/>
              </w:rPr>
              <w:t>，</w:t>
            </w:r>
            <w:r>
              <w:rPr>
                <w:rFonts w:hint="eastAsia"/>
                <w:color w:val="000000"/>
                <w:sz w:val="24"/>
              </w:rPr>
              <w:t>不属于三山经济开发区“禁止进入”、“控制进入”及“优先进入”行业，视为允许进入行业</w:t>
            </w:r>
            <w:r>
              <w:rPr>
                <w:rFonts w:hint="eastAsia" w:cs="宋体"/>
                <w:color w:val="000000"/>
                <w:kern w:val="0"/>
                <w:sz w:val="24"/>
              </w:rPr>
              <w:t>，符合规划要求。</w:t>
            </w:r>
          </w:p>
          <w:p>
            <w:pPr>
              <w:widowControl/>
              <w:spacing w:line="360" w:lineRule="auto"/>
              <w:ind w:firstLine="480" w:firstLineChars="200"/>
              <w:jc w:val="left"/>
              <w:rPr>
                <w:color w:val="000000"/>
                <w:kern w:val="0"/>
                <w:szCs w:val="21"/>
              </w:rPr>
            </w:pPr>
            <w:r>
              <w:rPr>
                <w:rFonts w:hint="eastAsia"/>
                <w:color w:val="000000"/>
                <w:kern w:val="0"/>
                <w:sz w:val="24"/>
              </w:rPr>
              <w:t>本项目</w:t>
            </w:r>
            <w:r>
              <w:rPr>
                <w:color w:val="000000"/>
                <w:kern w:val="0"/>
                <w:sz w:val="24"/>
              </w:rPr>
              <w:t>与</w:t>
            </w:r>
            <w:r>
              <w:rPr>
                <w:rFonts w:hint="eastAsia"/>
                <w:color w:val="000000"/>
                <w:kern w:val="0"/>
                <w:sz w:val="24"/>
              </w:rPr>
              <w:t>《</w:t>
            </w:r>
            <w:r>
              <w:rPr>
                <w:rFonts w:hint="eastAsia" w:cs="宋体"/>
                <w:color w:val="000000"/>
                <w:kern w:val="0"/>
                <w:sz w:val="24"/>
              </w:rPr>
              <w:t>安徽芜湖三山经济开发区总体发展规划环境影响报告书审查意见的函</w:t>
            </w:r>
            <w:r>
              <w:rPr>
                <w:rFonts w:hint="eastAsia"/>
                <w:color w:val="000000"/>
                <w:kern w:val="0"/>
                <w:sz w:val="24"/>
              </w:rPr>
              <w:t>》</w:t>
            </w:r>
            <w:r>
              <w:rPr>
                <w:color w:val="000000"/>
                <w:kern w:val="0"/>
                <w:sz w:val="24"/>
              </w:rPr>
              <w:t>符合性分析</w:t>
            </w:r>
            <w:r>
              <w:rPr>
                <w:rFonts w:hint="eastAsia"/>
                <w:color w:val="000000"/>
                <w:kern w:val="0"/>
                <w:sz w:val="24"/>
              </w:rPr>
              <w:t>见下表</w:t>
            </w:r>
            <w:r>
              <w:rPr>
                <w:color w:val="000000"/>
                <w:kern w:val="0"/>
                <w:sz w:val="24"/>
              </w:rPr>
              <w:t>：</w:t>
            </w:r>
            <w:r>
              <w:rPr>
                <w:color w:val="000000"/>
                <w:kern w:val="0"/>
                <w:szCs w:val="21"/>
              </w:rPr>
              <w:t xml:space="preserve"> </w:t>
            </w:r>
          </w:p>
          <w:p>
            <w:pPr>
              <w:jc w:val="center"/>
              <w:rPr>
                <w:rFonts w:cs="Arial"/>
                <w:b/>
                <w:color w:val="000000"/>
                <w:kern w:val="0"/>
                <w:sz w:val="24"/>
                <w:shd w:val="clear" w:color="auto" w:fill="FFFFFF"/>
              </w:rPr>
            </w:pPr>
            <w:r>
              <w:rPr>
                <w:rFonts w:cs="Arial"/>
                <w:b/>
                <w:color w:val="000000"/>
                <w:kern w:val="0"/>
                <w:sz w:val="24"/>
                <w:shd w:val="clear" w:color="auto" w:fill="FFFFFF"/>
              </w:rPr>
              <w:t>表1-</w:t>
            </w:r>
            <w:r>
              <w:rPr>
                <w:rFonts w:hint="eastAsia" w:cs="Arial"/>
                <w:b/>
                <w:color w:val="000000"/>
                <w:kern w:val="0"/>
                <w:sz w:val="24"/>
                <w:shd w:val="clear" w:color="auto" w:fill="FFFFFF"/>
              </w:rPr>
              <w:t xml:space="preserve">2 </w:t>
            </w:r>
            <w:r>
              <w:rPr>
                <w:rFonts w:cs="Arial"/>
                <w:b/>
                <w:color w:val="000000"/>
                <w:kern w:val="0"/>
                <w:sz w:val="24"/>
                <w:shd w:val="clear" w:color="auto" w:fill="FFFFFF"/>
              </w:rPr>
              <w:t xml:space="preserve"> </w:t>
            </w:r>
            <w:r>
              <w:rPr>
                <w:rFonts w:hint="eastAsia" w:cs="Arial"/>
                <w:b/>
                <w:color w:val="000000"/>
                <w:kern w:val="0"/>
                <w:sz w:val="24"/>
                <w:shd w:val="clear" w:color="auto" w:fill="FFFFFF"/>
              </w:rPr>
              <w:t>本</w:t>
            </w:r>
            <w:r>
              <w:rPr>
                <w:rFonts w:cs="Arial"/>
                <w:b/>
                <w:color w:val="000000"/>
                <w:kern w:val="0"/>
                <w:sz w:val="24"/>
                <w:shd w:val="clear" w:color="auto" w:fill="FFFFFF"/>
              </w:rPr>
              <w:t>项目与</w:t>
            </w:r>
            <w:r>
              <w:rPr>
                <w:rFonts w:hint="eastAsia"/>
                <w:b/>
                <w:color w:val="000000"/>
                <w:kern w:val="0"/>
                <w:sz w:val="24"/>
              </w:rPr>
              <w:t>《</w:t>
            </w:r>
            <w:r>
              <w:rPr>
                <w:rFonts w:hint="eastAsia" w:cs="宋体"/>
                <w:b/>
                <w:color w:val="000000"/>
                <w:kern w:val="0"/>
                <w:sz w:val="24"/>
              </w:rPr>
              <w:t>安徽芜湖三山经济开发区总体发展规划环境影响报告书审查意见的函</w:t>
            </w:r>
            <w:r>
              <w:rPr>
                <w:rFonts w:hint="eastAsia"/>
                <w:b/>
                <w:color w:val="000000"/>
                <w:kern w:val="0"/>
                <w:sz w:val="24"/>
              </w:rPr>
              <w:t>》</w:t>
            </w:r>
            <w:r>
              <w:rPr>
                <w:rFonts w:cs="Arial"/>
                <w:b/>
                <w:color w:val="000000"/>
                <w:kern w:val="0"/>
                <w:sz w:val="24"/>
                <w:shd w:val="clear" w:color="auto" w:fill="FFFFFF"/>
              </w:rPr>
              <w:t>相符性分析一览表</w:t>
            </w:r>
          </w:p>
          <w:tbl>
            <w:tblPr>
              <w:tblStyle w:val="26"/>
              <w:tblW w:w="5000" w:type="pct"/>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496"/>
              <w:gridCol w:w="3955"/>
              <w:gridCol w:w="2350"/>
              <w:gridCol w:w="65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序号</w:t>
                  </w:r>
                </w:p>
              </w:tc>
              <w:tc>
                <w:tcPr>
                  <w:tcW w:w="2653"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规划环评及其审查意见</w:t>
                  </w:r>
                </w:p>
              </w:tc>
              <w:tc>
                <w:tcPr>
                  <w:tcW w:w="1576"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本项目情况</w:t>
                  </w:r>
                </w:p>
              </w:tc>
              <w:tc>
                <w:tcPr>
                  <w:tcW w:w="438" w:type="pct"/>
                  <w:shd w:val="clear" w:color="auto" w:fill="auto"/>
                  <w:vAlign w:val="center"/>
                </w:tcPr>
                <w:p>
                  <w:pPr>
                    <w:widowControl/>
                    <w:ind w:left="-105" w:leftChars="-50" w:right="-105" w:rightChars="-50"/>
                    <w:jc w:val="center"/>
                    <w:rPr>
                      <w:b/>
                      <w:color w:val="000000"/>
                      <w:kern w:val="0"/>
                      <w:szCs w:val="21"/>
                    </w:rPr>
                  </w:pPr>
                  <w:r>
                    <w:rPr>
                      <w:b/>
                      <w:color w:val="000000"/>
                      <w:kern w:val="0"/>
                      <w:szCs w:val="21"/>
                    </w:rPr>
                    <w:t>符合性</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1</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充分考虑居住区域环境要求，进一步优化调整开发区空间布局、组团结构，必要时设置生态隔离措施，减轻和避免各功能区之间、项目之间的相互影响。不符合功能分区和定位的已建项目，要逐步实施调整或搬迁，需要设置卫生防护距离的企业，应按有关规定严格设定。团洲安置区位于芜湖新兴铸管搬迁项目卫生防护距离内，应实施搬迁，并不宜规划为居住用地。严格控制开发区周边用地规划，加强对环境敏感点保护。开发区内现有天然水体应予以保留</w:t>
                  </w:r>
                </w:p>
              </w:tc>
              <w:tc>
                <w:tcPr>
                  <w:tcW w:w="1576" w:type="pct"/>
                  <w:shd w:val="clear" w:color="auto" w:fill="auto"/>
                  <w:vAlign w:val="center"/>
                </w:tcPr>
                <w:p>
                  <w:pPr>
                    <w:widowControl/>
                    <w:jc w:val="center"/>
                    <w:rPr>
                      <w:bCs/>
                      <w:color w:val="0D0D0D" w:themeColor="text1" w:themeTint="F2"/>
                      <w:kern w:val="0"/>
                      <w:szCs w:val="21"/>
                      <w14:textFill>
                        <w14:solidFill>
                          <w14:schemeClr w14:val="tx1">
                            <w14:lumMod w14:val="95000"/>
                            <w14:lumOff w14:val="5000"/>
                          </w14:schemeClr>
                        </w14:solidFill>
                      </w14:textFill>
                    </w:rPr>
                  </w:pPr>
                  <w:r>
                    <w:rPr>
                      <w:bCs/>
                      <w:color w:val="0D0D0D" w:themeColor="text1" w:themeTint="F2"/>
                      <w:kern w:val="0"/>
                      <w:szCs w:val="21"/>
                      <w14:textFill>
                        <w14:solidFill>
                          <w14:schemeClr w14:val="tx1">
                            <w14:lumMod w14:val="95000"/>
                            <w14:lumOff w14:val="5000"/>
                          </w14:schemeClr>
                        </w14:solidFill>
                      </w14:textFill>
                    </w:rPr>
                    <w:t>本项</w:t>
                  </w:r>
                  <w:r>
                    <w:rPr>
                      <w:color w:val="0D0D0D" w:themeColor="text1" w:themeTint="F2"/>
                      <w:kern w:val="0"/>
                      <w:szCs w:val="21"/>
                      <w14:textFill>
                        <w14:solidFill>
                          <w14:schemeClr w14:val="tx1">
                            <w14:lumMod w14:val="95000"/>
                            <w14:lumOff w14:val="5000"/>
                          </w14:schemeClr>
                        </w14:solidFill>
                      </w14:textFill>
                    </w:rPr>
                    <w:t>目位于</w:t>
                  </w:r>
                  <w:r>
                    <w:rPr>
                      <w:rFonts w:hint="eastAsia"/>
                      <w:color w:val="0D0D0D" w:themeColor="text1" w:themeTint="F2"/>
                      <w:kern w:val="0"/>
                      <w:szCs w:val="21"/>
                      <w14:textFill>
                        <w14:solidFill>
                          <w14:schemeClr w14:val="tx1">
                            <w14:lumMod w14:val="95000"/>
                            <w14:lumOff w14:val="5000"/>
                          </w14:schemeClr>
                        </w14:solidFill>
                      </w14:textFill>
                    </w:rPr>
                    <w:t>三山区经济开发区春洲路2号，根据</w:t>
                  </w:r>
                  <w:r>
                    <w:rPr>
                      <w:rFonts w:hint="eastAsia"/>
                      <w:color w:val="0D0D0D" w:themeColor="text1" w:themeTint="F2"/>
                      <w:szCs w:val="21"/>
                      <w14:textFill>
                        <w14:solidFill>
                          <w14:schemeClr w14:val="tx1">
                            <w14:lumMod w14:val="95000"/>
                            <w14:lumOff w14:val="5000"/>
                          </w14:schemeClr>
                        </w14:solidFill>
                      </w14:textFill>
                    </w:rPr>
                    <w:t>《</w:t>
                  </w:r>
                  <w:r>
                    <w:rPr>
                      <w:rFonts w:hint="eastAsia" w:cs="宋体"/>
                      <w:color w:val="0D0D0D" w:themeColor="text1" w:themeTint="F2"/>
                      <w:kern w:val="0"/>
                      <w:szCs w:val="21"/>
                      <w14:textFill>
                        <w14:solidFill>
                          <w14:schemeClr w14:val="tx1">
                            <w14:lumMod w14:val="95000"/>
                            <w14:lumOff w14:val="5000"/>
                          </w14:schemeClr>
                        </w14:solidFill>
                      </w14:textFill>
                    </w:rPr>
                    <w:t>安徽芜湖三山经济开发区总体发展规划环境影响报告书</w:t>
                  </w:r>
                  <w:r>
                    <w:rPr>
                      <w:rFonts w:hint="eastAsia"/>
                      <w:color w:val="0D0D0D" w:themeColor="text1" w:themeTint="F2"/>
                      <w:szCs w:val="21"/>
                      <w14:textFill>
                        <w14:solidFill>
                          <w14:schemeClr w14:val="tx1">
                            <w14:lumMod w14:val="95000"/>
                            <w14:lumOff w14:val="5000"/>
                          </w14:schemeClr>
                        </w14:solidFill>
                      </w14:textFill>
                    </w:rPr>
                    <w:t>》开发区用地布局规划图及土地证</w:t>
                  </w:r>
                  <w:r>
                    <w:rPr>
                      <w:rFonts w:hint="eastAsia"/>
                      <w:color w:val="0D0D0D" w:themeColor="text1" w:themeTint="F2"/>
                      <w:kern w:val="0"/>
                      <w:szCs w:val="21"/>
                      <w14:textFill>
                        <w14:solidFill>
                          <w14:schemeClr w14:val="tx1">
                            <w14:lumMod w14:val="95000"/>
                            <w14:lumOff w14:val="5000"/>
                          </w14:schemeClr>
                        </w14:solidFill>
                      </w14:textFill>
                    </w:rPr>
                    <w:t>，项目用地属于工业用地。项目用地范围内不涉及天然水体</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2</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强化水资源管理，提高水重复利用率。制定并实施开发区节水和中水利用规划，积极推进企业内、企业间水资源的梯级利用和企业用水总量控制，切实提高水资源利用率。严禁建设国家明令禁止的项目，严格控制高耗水、高耗能、污水排放量大的项目建设；已建和报入区建设项目应严格执行水环境保护相关标准和要求</w:t>
                  </w:r>
                </w:p>
              </w:tc>
              <w:tc>
                <w:tcPr>
                  <w:tcW w:w="1576"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color w:val="0D0D0D" w:themeColor="text1" w:themeTint="F2"/>
                      <w:kern w:val="0"/>
                      <w:szCs w:val="21"/>
                      <w14:textFill>
                        <w14:solidFill>
                          <w14:schemeClr w14:val="tx1">
                            <w14:lumMod w14:val="95000"/>
                            <w14:lumOff w14:val="5000"/>
                          </w14:schemeClr>
                        </w14:solidFill>
                      </w14:textFill>
                    </w:rPr>
                    <w:t>本项目</w:t>
                  </w:r>
                  <w:r>
                    <w:rPr>
                      <w:rFonts w:hint="eastAsia"/>
                      <w:color w:val="0D0D0D" w:themeColor="text1" w:themeTint="F2"/>
                      <w:kern w:val="0"/>
                      <w:szCs w:val="21"/>
                      <w14:textFill>
                        <w14:solidFill>
                          <w14:schemeClr w14:val="tx1">
                            <w14:lumMod w14:val="95000"/>
                            <w14:lumOff w14:val="5000"/>
                          </w14:schemeClr>
                        </w14:solidFill>
                      </w14:textFill>
                    </w:rPr>
                    <w:t>用水为</w:t>
                  </w:r>
                  <w:r>
                    <w:rPr>
                      <w:rFonts w:hint="eastAsia"/>
                      <w:color w:val="0D0D0D" w:themeColor="text1" w:themeTint="F2"/>
                      <w:kern w:val="0"/>
                      <w:szCs w:val="21"/>
                      <w:lang w:val="en-US" w:eastAsia="zh-CN"/>
                      <w14:textFill>
                        <w14:solidFill>
                          <w14:schemeClr w14:val="tx1">
                            <w14:lumMod w14:val="95000"/>
                            <w14:lumOff w14:val="5000"/>
                          </w14:schemeClr>
                        </w14:solidFill>
                      </w14:textFill>
                    </w:rPr>
                    <w:t>车间喷雾</w:t>
                  </w:r>
                  <w:r>
                    <w:rPr>
                      <w:rFonts w:hint="eastAsia"/>
                      <w:color w:val="0D0D0D" w:themeColor="text1" w:themeTint="F2"/>
                      <w:kern w:val="0"/>
                      <w:szCs w:val="21"/>
                      <w14:textFill>
                        <w14:solidFill>
                          <w14:schemeClr w14:val="tx1">
                            <w14:lumMod w14:val="95000"/>
                            <w14:lumOff w14:val="5000"/>
                          </w14:schemeClr>
                        </w14:solidFill>
                      </w14:textFill>
                    </w:rPr>
                    <w:t>抑尘用水、原料打湿用水、洗砂用水</w:t>
                  </w:r>
                  <w:r>
                    <w:rPr>
                      <w:rFonts w:hint="eastAsia"/>
                      <w:color w:val="0D0D0D" w:themeColor="text1" w:themeTint="F2"/>
                      <w:kern w:val="0"/>
                      <w:szCs w:val="21"/>
                      <w:lang w:eastAsia="zh-CN"/>
                      <w14:textFill>
                        <w14:solidFill>
                          <w14:schemeClr w14:val="tx1">
                            <w14:lumMod w14:val="95000"/>
                            <w14:lumOff w14:val="5000"/>
                          </w14:schemeClr>
                        </w14:solidFill>
                      </w14:textFill>
                    </w:rPr>
                    <w:t>，</w:t>
                  </w:r>
                  <w:r>
                    <w:rPr>
                      <w:rFonts w:hint="eastAsia"/>
                      <w:color w:val="auto"/>
                      <w:kern w:val="0"/>
                      <w:szCs w:val="21"/>
                      <w:lang w:val="en-US" w:eastAsia="zh-CN"/>
                    </w:rPr>
                    <w:t>总用水量为</w:t>
                  </w:r>
                  <w:r>
                    <w:rPr>
                      <w:rFonts w:hint="eastAsia"/>
                      <w:lang w:val="en-US" w:eastAsia="zh-CN"/>
                    </w:rPr>
                    <w:t>50827.64m³。</w:t>
                  </w:r>
                  <w:r>
                    <w:rPr>
                      <w:rFonts w:hint="eastAsia"/>
                      <w:color w:val="0D0D0D" w:themeColor="text1" w:themeTint="F2"/>
                      <w:kern w:val="0"/>
                      <w:szCs w:val="21"/>
                      <w14:textFill>
                        <w14:solidFill>
                          <w14:schemeClr w14:val="tx1">
                            <w14:lumMod w14:val="95000"/>
                            <w14:lumOff w14:val="5000"/>
                          </w14:schemeClr>
                        </w14:solidFill>
                      </w14:textFill>
                    </w:rPr>
                    <w:t>本项目不涉及其他能源使用，不属于高耗水、高耗能、污水排放量大的项目</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color w:val="000000"/>
                      <w:kern w:val="0"/>
                      <w:szCs w:val="21"/>
                    </w:rPr>
                    <w:t>3</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在规划确定的开发区产业定位总体框架下，充分考虑与区城产业布局的互补，进一步优化发展重点，严格控制非主导产业项目入区建设。入区项目要采用先进的生产工艺和装备，采用高水平的污染治理措施。清洁生产水平现阶段要按国内先进水平要求，并逐步提高，最大限度控制开发区污染物排放量和排放强度。建立并实施不符合规划、产业准入和环保准入条件项目的退出机制</w:t>
                  </w:r>
                </w:p>
              </w:tc>
              <w:tc>
                <w:tcPr>
                  <w:tcW w:w="1576" w:type="pct"/>
                  <w:shd w:val="clear" w:color="auto" w:fill="auto"/>
                  <w:vAlign w:val="center"/>
                </w:tcPr>
                <w:p>
                  <w:pPr>
                    <w:widowControl/>
                    <w:jc w:val="center"/>
                    <w:rPr>
                      <w:color w:val="000000"/>
                      <w:kern w:val="0"/>
                      <w:szCs w:val="21"/>
                    </w:rPr>
                  </w:pPr>
                  <w:r>
                    <w:rPr>
                      <w:color w:val="000000"/>
                      <w:kern w:val="0"/>
                      <w:szCs w:val="21"/>
                    </w:rPr>
                    <w:t>本项目产品为</w:t>
                  </w:r>
                  <w:r>
                    <w:rPr>
                      <w:rFonts w:hint="eastAsia"/>
                      <w:color w:val="000000"/>
                      <w:kern w:val="0"/>
                      <w:szCs w:val="21"/>
                      <w:lang w:val="en-US" w:eastAsia="zh-CN"/>
                    </w:rPr>
                    <w:t>机制砂生产</w:t>
                  </w:r>
                  <w:r>
                    <w:rPr>
                      <w:rFonts w:hint="eastAsia"/>
                      <w:color w:val="000000"/>
                      <w:kern w:val="0"/>
                      <w:szCs w:val="21"/>
                    </w:rPr>
                    <w:t>，为其它非金属矿物制品制造</w:t>
                  </w:r>
                  <w:r>
                    <w:rPr>
                      <w:rFonts w:hint="eastAsia"/>
                      <w:color w:val="000000"/>
                      <w:kern w:val="0"/>
                      <w:szCs w:val="21"/>
                      <w:lang w:eastAsia="zh-CN"/>
                    </w:rPr>
                    <w:t>，</w:t>
                  </w:r>
                  <w:r>
                    <w:rPr>
                      <w:rFonts w:hint="eastAsia"/>
                      <w:color w:val="000000"/>
                      <w:kern w:val="0"/>
                      <w:szCs w:val="21"/>
                    </w:rPr>
                    <w:t>不属于三山经济开发区“禁止进入”、“控制进入”及“优先进入”行业，视为允许进入行业。</w:t>
                  </w:r>
                  <w:r>
                    <w:rPr>
                      <w:rFonts w:hint="eastAsia"/>
                      <w:color w:val="0D0D0D" w:themeColor="text1" w:themeTint="F2"/>
                      <w:kern w:val="0"/>
                      <w:szCs w:val="21"/>
                      <w14:textFill>
                        <w14:solidFill>
                          <w14:schemeClr w14:val="tx1">
                            <w14:lumMod w14:val="95000"/>
                            <w14:lumOff w14:val="5000"/>
                          </w14:schemeClr>
                        </w14:solidFill>
                      </w14:textFill>
                    </w:rPr>
                    <w:t>项目</w:t>
                  </w:r>
                  <w:r>
                    <w:rPr>
                      <w:color w:val="0D0D0D" w:themeColor="text1" w:themeTint="F2"/>
                      <w:kern w:val="0"/>
                      <w:szCs w:val="21"/>
                      <w14:textFill>
                        <w14:solidFill>
                          <w14:schemeClr w14:val="tx1">
                            <w14:lumMod w14:val="95000"/>
                            <w14:lumOff w14:val="5000"/>
                          </w14:schemeClr>
                        </w14:solidFill>
                      </w14:textFill>
                    </w:rPr>
                    <w:t>采用先进的自动化生产工艺和装备；项目废气</w:t>
                  </w:r>
                  <w:r>
                    <w:rPr>
                      <w:rFonts w:hint="eastAsia"/>
                      <w:color w:val="0D0D0D" w:themeColor="text1" w:themeTint="F2"/>
                      <w:kern w:val="0"/>
                      <w:szCs w:val="21"/>
                      <w:lang w:val="en-US" w:eastAsia="zh-CN"/>
                      <w14:textFill>
                        <w14:solidFill>
                          <w14:schemeClr w14:val="tx1">
                            <w14:lumMod w14:val="95000"/>
                            <w14:lumOff w14:val="5000"/>
                          </w14:schemeClr>
                        </w14:solidFill>
                      </w14:textFill>
                    </w:rPr>
                    <w:t>进行无组织</w:t>
                  </w:r>
                  <w:r>
                    <w:rPr>
                      <w:color w:val="0D0D0D" w:themeColor="text1" w:themeTint="F2"/>
                      <w:kern w:val="0"/>
                      <w:szCs w:val="21"/>
                      <w14:textFill>
                        <w14:solidFill>
                          <w14:schemeClr w14:val="tx1">
                            <w14:lumMod w14:val="95000"/>
                            <w14:lumOff w14:val="5000"/>
                          </w14:schemeClr>
                        </w14:solidFill>
                      </w14:textFill>
                    </w:rPr>
                    <w:t>达标排放</w:t>
                  </w:r>
                  <w:r>
                    <w:rPr>
                      <w:rFonts w:hint="eastAsia"/>
                      <w:color w:val="0D0D0D" w:themeColor="text1" w:themeTint="F2"/>
                      <w:kern w:val="0"/>
                      <w:szCs w:val="21"/>
                      <w14:textFill>
                        <w14:solidFill>
                          <w14:schemeClr w14:val="tx1">
                            <w14:lumMod w14:val="95000"/>
                            <w14:lumOff w14:val="5000"/>
                          </w14:schemeClr>
                        </w14:solidFill>
                      </w14:textFill>
                    </w:rPr>
                    <w:t>、</w:t>
                  </w:r>
                  <w:r>
                    <w:rPr>
                      <w:rFonts w:hint="eastAsia"/>
                      <w:color w:val="0D0D0D" w:themeColor="text1" w:themeTint="F2"/>
                      <w:kern w:val="0"/>
                      <w:szCs w:val="21"/>
                      <w:lang w:val="en-US" w:eastAsia="zh-CN"/>
                      <w14:textFill>
                        <w14:solidFill>
                          <w14:schemeClr w14:val="tx1">
                            <w14:lumMod w14:val="95000"/>
                            <w14:lumOff w14:val="5000"/>
                          </w14:schemeClr>
                        </w14:solidFill>
                      </w14:textFill>
                    </w:rPr>
                    <w:t>生产废水循环沉淀池沉淀后循环使用不外排</w:t>
                  </w:r>
                  <w:r>
                    <w:rPr>
                      <w:rFonts w:hint="eastAsia"/>
                      <w:color w:val="0D0D0D" w:themeColor="text1" w:themeTint="F2"/>
                      <w:kern w:val="0"/>
                      <w:szCs w:val="21"/>
                      <w14:textFill>
                        <w14:solidFill>
                          <w14:schemeClr w14:val="tx1">
                            <w14:lumMod w14:val="95000"/>
                            <w14:lumOff w14:val="5000"/>
                          </w14:schemeClr>
                        </w14:solidFill>
                      </w14:textFill>
                    </w:rPr>
                    <w:t>，</w:t>
                  </w:r>
                  <w:r>
                    <w:rPr>
                      <w:color w:val="0D0D0D" w:themeColor="text1" w:themeTint="F2"/>
                      <w:kern w:val="0"/>
                      <w:szCs w:val="21"/>
                      <w14:textFill>
                        <w14:solidFill>
                          <w14:schemeClr w14:val="tx1">
                            <w14:lumMod w14:val="95000"/>
                            <w14:lumOff w14:val="5000"/>
                          </w14:schemeClr>
                        </w14:solidFill>
                      </w14:textFill>
                    </w:rPr>
                    <w:t>严格控制污染物排放量和排放浓度</w:t>
                  </w:r>
                </w:p>
              </w:tc>
              <w:tc>
                <w:tcPr>
                  <w:tcW w:w="438" w:type="pct"/>
                  <w:shd w:val="clear" w:color="auto" w:fill="auto"/>
                  <w:vAlign w:val="center"/>
                </w:tcPr>
                <w:p>
                  <w:pPr>
                    <w:widowControl/>
                    <w:jc w:val="center"/>
                    <w:rPr>
                      <w:color w:val="000000"/>
                      <w:kern w:val="0"/>
                      <w:szCs w:val="21"/>
                    </w:rPr>
                  </w:pPr>
                  <w:r>
                    <w:rPr>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4</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坚持环保优先原则，强化环保基础设施建设。开发区污水进入滨江污水处理厂处理，污水管网应与开发区开发建设同步进行或适度提前，确保开发区内污水全收集、全处理。滨江污水处理厂扩建及配套管网的建设规模、处理能力、投运时间应满足开发区以及城镇化发展需要。落实各项水环境保护措施，确保开发区建设不降低地表水环境质量和水体功能。进一步论证集中供热方案，禁止新建燃煤锅炉，全面落实《安徽省大气污染防治行动计划实施方案》各项要求。环境保护规划中环境空气质量标准采用《环境空气质量标准》( GB3095-2012)。做好开发区建设中的水土保持工作</w:t>
                  </w:r>
                </w:p>
              </w:tc>
              <w:tc>
                <w:tcPr>
                  <w:tcW w:w="1576" w:type="pct"/>
                  <w:shd w:val="clear" w:color="auto" w:fill="auto"/>
                  <w:vAlign w:val="center"/>
                </w:tcPr>
                <w:p>
                  <w:pPr>
                    <w:widowControl/>
                    <w:jc w:val="center"/>
                    <w:rPr>
                      <w:rFonts w:hint="eastAsia" w:eastAsia="宋体"/>
                      <w:color w:val="0D0D0D" w:themeColor="text1" w:themeTint="F2"/>
                      <w:kern w:val="0"/>
                      <w:szCs w:val="21"/>
                      <w:lang w:eastAsia="zh-CN"/>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本项目生产废水</w:t>
                  </w:r>
                  <w:r>
                    <w:rPr>
                      <w:rFonts w:hint="eastAsia"/>
                      <w:color w:val="0D0D0D" w:themeColor="text1" w:themeTint="F2"/>
                      <w:kern w:val="0"/>
                      <w:szCs w:val="21"/>
                      <w:lang w:val="en-US" w:eastAsia="zh-CN"/>
                      <w14:textFill>
                        <w14:solidFill>
                          <w14:schemeClr w14:val="tx1">
                            <w14:lumMod w14:val="95000"/>
                            <w14:lumOff w14:val="5000"/>
                          </w14:schemeClr>
                        </w14:solidFill>
                      </w14:textFill>
                    </w:rPr>
                    <w:t>经循环沉淀池沉淀后循环使用</w:t>
                  </w:r>
                  <w:r>
                    <w:rPr>
                      <w:rFonts w:hint="eastAsia"/>
                      <w:color w:val="0D0D0D" w:themeColor="text1" w:themeTint="F2"/>
                      <w:kern w:val="0"/>
                      <w:szCs w:val="21"/>
                      <w14:textFill>
                        <w14:solidFill>
                          <w14:schemeClr w14:val="tx1">
                            <w14:lumMod w14:val="95000"/>
                            <w14:lumOff w14:val="5000"/>
                          </w14:schemeClr>
                        </w14:solidFill>
                      </w14:textFill>
                    </w:rPr>
                    <w:t>，</w:t>
                  </w:r>
                  <w:r>
                    <w:rPr>
                      <w:rFonts w:hint="eastAsia"/>
                      <w:color w:val="0D0D0D" w:themeColor="text1" w:themeTint="F2"/>
                      <w:kern w:val="0"/>
                      <w:szCs w:val="21"/>
                      <w:lang w:val="en-US" w:eastAsia="zh-CN"/>
                      <w14:textFill>
                        <w14:solidFill>
                          <w14:schemeClr w14:val="tx1">
                            <w14:lumMod w14:val="95000"/>
                            <w14:lumOff w14:val="5000"/>
                          </w14:schemeClr>
                        </w14:solidFill>
                      </w14:textFill>
                    </w:rPr>
                    <w:t>无</w:t>
                  </w:r>
                  <w:r>
                    <w:rPr>
                      <w:rFonts w:hint="eastAsia"/>
                      <w:color w:val="0D0D0D" w:themeColor="text1" w:themeTint="F2"/>
                      <w:kern w:val="0"/>
                      <w:szCs w:val="21"/>
                      <w14:textFill>
                        <w14:solidFill>
                          <w14:schemeClr w14:val="tx1">
                            <w14:lumMod w14:val="95000"/>
                            <w14:lumOff w14:val="5000"/>
                          </w14:schemeClr>
                        </w14:solidFill>
                      </w14:textFill>
                    </w:rPr>
                    <w:t>生活废水。项目</w:t>
                  </w:r>
                  <w:r>
                    <w:rPr>
                      <w:rFonts w:hint="eastAsia"/>
                      <w:color w:val="0D0D0D" w:themeColor="text1" w:themeTint="F2"/>
                      <w:kern w:val="0"/>
                      <w:szCs w:val="21"/>
                      <w:lang w:val="en-US" w:eastAsia="zh-CN"/>
                      <w14:textFill>
                        <w14:solidFill>
                          <w14:schemeClr w14:val="tx1">
                            <w14:lumMod w14:val="95000"/>
                            <w14:lumOff w14:val="5000"/>
                          </w14:schemeClr>
                        </w14:solidFill>
                      </w14:textFill>
                    </w:rPr>
                    <w:t>无</w:t>
                  </w:r>
                  <w:r>
                    <w:rPr>
                      <w:rFonts w:hint="eastAsia"/>
                      <w:color w:val="0D0D0D" w:themeColor="text1" w:themeTint="F2"/>
                      <w:kern w:val="0"/>
                      <w:szCs w:val="21"/>
                      <w14:textFill>
                        <w14:solidFill>
                          <w14:schemeClr w14:val="tx1">
                            <w14:lumMod w14:val="95000"/>
                            <w14:lumOff w14:val="5000"/>
                          </w14:schemeClr>
                        </w14:solidFill>
                      </w14:textFill>
                    </w:rPr>
                    <w:t>燃煤锅炉</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5</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加强各类固体废物的收集和处理处置。生活垃圾应集中收集后送环卫部门妥善处理；危险废物应按有关规定安全收集、暂存、处置。确定专人对危险废物进行管理，建立危险废物环境管理台账和信息档案，严格执行危险废物转移联单制度</w:t>
                  </w:r>
                </w:p>
              </w:tc>
              <w:tc>
                <w:tcPr>
                  <w:tcW w:w="1576" w:type="pct"/>
                  <w:shd w:val="clear" w:color="auto" w:fill="auto"/>
                  <w:vAlign w:val="center"/>
                </w:tcPr>
                <w:p>
                  <w:pPr>
                    <w:widowControl/>
                    <w:jc w:val="center"/>
                    <w:rPr>
                      <w:rFonts w:hint="eastAsia" w:eastAsia="宋体"/>
                      <w:color w:val="0D0D0D" w:themeColor="text1" w:themeTint="F2"/>
                      <w:kern w:val="0"/>
                      <w:szCs w:val="21"/>
                      <w:lang w:val="en-US" w:eastAsia="zh-CN"/>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本项目</w:t>
                  </w:r>
                  <w:r>
                    <w:rPr>
                      <w:rFonts w:hint="eastAsia"/>
                      <w:color w:val="0D0D0D" w:themeColor="text1" w:themeTint="F2"/>
                      <w:szCs w:val="21"/>
                      <w:lang w:val="en-US" w:eastAsia="zh-CN"/>
                      <w14:textFill>
                        <w14:solidFill>
                          <w14:schemeClr w14:val="tx1">
                            <w14:lumMod w14:val="95000"/>
                            <w14:lumOff w14:val="5000"/>
                          </w14:schemeClr>
                        </w14:solidFill>
                      </w14:textFill>
                    </w:rPr>
                    <w:t>产生的沉渣属一般固废，</w:t>
                  </w:r>
                  <w:r>
                    <w:rPr>
                      <w:rFonts w:hint="eastAsia"/>
                      <w:color w:val="auto"/>
                      <w:szCs w:val="21"/>
                      <w:lang w:val="en-US" w:eastAsia="zh-CN"/>
                    </w:rPr>
                    <w:t>收集后外售，产生的废油、废油桶及废含油手套、抹布属危险废物，收集后</w:t>
                  </w:r>
                  <w:r>
                    <w:rPr>
                      <w:color w:val="000000"/>
                      <w:spacing w:val="4"/>
                      <w:kern w:val="18"/>
                      <w:szCs w:val="21"/>
                    </w:rPr>
                    <w:t>交由资质单位处理</w:t>
                  </w:r>
                  <w:r>
                    <w:rPr>
                      <w:rFonts w:hint="eastAsia"/>
                      <w:color w:val="000000"/>
                      <w:spacing w:val="4"/>
                      <w:kern w:val="18"/>
                      <w:szCs w:val="21"/>
                      <w:lang w:eastAsia="zh-CN"/>
                    </w:rPr>
                    <w:t>。</w:t>
                  </w:r>
                  <w:r>
                    <w:rPr>
                      <w:rFonts w:hint="eastAsia"/>
                      <w:color w:val="0D0D0D" w:themeColor="text1" w:themeTint="F2"/>
                      <w:kern w:val="0"/>
                      <w:szCs w:val="21"/>
                      <w14:textFill>
                        <w14:solidFill>
                          <w14:schemeClr w14:val="tx1">
                            <w14:lumMod w14:val="95000"/>
                            <w14:lumOff w14:val="5000"/>
                          </w14:schemeClr>
                        </w14:solidFill>
                      </w14:textFill>
                    </w:rPr>
                    <w:t>危险废物按有关规定安全收集、暂存、处置。</w:t>
                  </w:r>
                  <w:r>
                    <w:rPr>
                      <w:rFonts w:hint="eastAsia"/>
                      <w:color w:val="0D0D0D" w:themeColor="text1" w:themeTint="F2"/>
                      <w:kern w:val="0"/>
                      <w:szCs w:val="21"/>
                      <w:lang w:val="en-US" w:eastAsia="zh-CN"/>
                      <w14:textFill>
                        <w14:solidFill>
                          <w14:schemeClr w14:val="tx1">
                            <w14:lumMod w14:val="95000"/>
                            <w14:lumOff w14:val="5000"/>
                          </w14:schemeClr>
                        </w14:solidFill>
                      </w14:textFill>
                    </w:rPr>
                    <w:t>安排</w:t>
                  </w:r>
                  <w:r>
                    <w:rPr>
                      <w:rFonts w:hint="eastAsia"/>
                      <w:color w:val="0D0D0D" w:themeColor="text1" w:themeTint="F2"/>
                      <w:kern w:val="0"/>
                      <w:szCs w:val="21"/>
                      <w14:textFill>
                        <w14:solidFill>
                          <w14:schemeClr w14:val="tx1">
                            <w14:lumMod w14:val="95000"/>
                            <w14:lumOff w14:val="5000"/>
                          </w14:schemeClr>
                        </w14:solidFill>
                      </w14:textFill>
                    </w:rPr>
                    <w:t>专人对危险废物进行管理，建立危险废物环境管理台账和信息档案，严格执行危险废物转移联单制度</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6</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建立健全开发区环境监控体系。开发区和入区企业要按照有关规范要求，开展日常环境监控工作，建设完善的污染物排放在线监控系统，并与环保部门实现联网</w:t>
                  </w:r>
                </w:p>
              </w:tc>
              <w:tc>
                <w:tcPr>
                  <w:tcW w:w="1576"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szCs w:val="21"/>
                      <w:lang w:val="zh-CN"/>
                      <w14:textFill>
                        <w14:solidFill>
                          <w14:schemeClr w14:val="tx1">
                            <w14:lumMod w14:val="95000"/>
                            <w14:lumOff w14:val="5000"/>
                          </w14:schemeClr>
                        </w14:solidFill>
                      </w14:textFill>
                    </w:rPr>
                    <w:t>企业</w:t>
                  </w:r>
                  <w:r>
                    <w:rPr>
                      <w:color w:val="0D0D0D" w:themeColor="text1" w:themeTint="F2"/>
                      <w:szCs w:val="21"/>
                      <w:lang w:val="zh-CN"/>
                      <w14:textFill>
                        <w14:solidFill>
                          <w14:schemeClr w14:val="tx1">
                            <w14:lumMod w14:val="95000"/>
                            <w14:lumOff w14:val="5000"/>
                          </w14:schemeClr>
                        </w14:solidFill>
                      </w14:textFill>
                    </w:rPr>
                    <w:t>会按照有关要求及规范</w:t>
                  </w:r>
                  <w:r>
                    <w:rPr>
                      <w:rFonts w:hint="eastAsia"/>
                      <w:color w:val="0D0D0D" w:themeColor="text1" w:themeTint="F2"/>
                      <w:szCs w:val="21"/>
                      <w:lang w:val="zh-CN"/>
                      <w14:textFill>
                        <w14:solidFill>
                          <w14:schemeClr w14:val="tx1">
                            <w14:lumMod w14:val="95000"/>
                            <w14:lumOff w14:val="5000"/>
                          </w14:schemeClr>
                        </w14:solidFill>
                      </w14:textFill>
                    </w:rPr>
                    <w:t>，</w:t>
                  </w:r>
                  <w:r>
                    <w:rPr>
                      <w:color w:val="0D0D0D" w:themeColor="text1" w:themeTint="F2"/>
                      <w:szCs w:val="21"/>
                      <w:lang w:val="zh-CN"/>
                      <w14:textFill>
                        <w14:solidFill>
                          <w14:schemeClr w14:val="tx1">
                            <w14:lumMod w14:val="95000"/>
                            <w14:lumOff w14:val="5000"/>
                          </w14:schemeClr>
                        </w14:solidFill>
                      </w14:textFill>
                    </w:rPr>
                    <w:t>开展</w:t>
                  </w:r>
                  <w:r>
                    <w:rPr>
                      <w:rFonts w:hint="eastAsia"/>
                      <w:color w:val="000000"/>
                      <w:kern w:val="0"/>
                      <w:szCs w:val="21"/>
                    </w:rPr>
                    <w:t>日常环境监控工作</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7</w:t>
                  </w:r>
                </w:p>
              </w:tc>
              <w:tc>
                <w:tcPr>
                  <w:tcW w:w="2653" w:type="pct"/>
                  <w:shd w:val="clear" w:color="auto" w:fill="auto"/>
                  <w:vAlign w:val="center"/>
                </w:tcPr>
                <w:p>
                  <w:pPr>
                    <w:widowControl/>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坚持预防为主、防控结合，制定并落实开发区综合环境风险防范、预警和应急体系，及时更新升级各类突发环境事件应急预案，做好应急软硬件建设和储备。建立环境风险单位信息库，入区企业要在开发区环境风险应急处置框架下，制定环境风险应急预案，在具体项目建设中细化落实</w:t>
                  </w:r>
                </w:p>
              </w:tc>
              <w:tc>
                <w:tcPr>
                  <w:tcW w:w="1576" w:type="pct"/>
                  <w:shd w:val="clear" w:color="auto" w:fill="auto"/>
                  <w:vAlign w:val="center"/>
                </w:tcPr>
                <w:p>
                  <w:pPr>
                    <w:widowControl/>
                    <w:jc w:val="center"/>
                    <w:rPr>
                      <w:color w:val="0D0D0D" w:themeColor="text1" w:themeTint="F2"/>
                      <w:szCs w:val="21"/>
                      <w14:textFill>
                        <w14:solidFill>
                          <w14:schemeClr w14:val="tx1">
                            <w14:lumMod w14:val="95000"/>
                            <w14:lumOff w14:val="5000"/>
                          </w14:schemeClr>
                        </w14:solidFill>
                      </w14:textFill>
                    </w:rPr>
                  </w:pPr>
                  <w:r>
                    <w:rPr>
                      <w:color w:val="0D0D0D" w:themeColor="text1" w:themeTint="F2"/>
                      <w:szCs w:val="21"/>
                      <w:lang w:val="zh-CN"/>
                      <w14:textFill>
                        <w14:solidFill>
                          <w14:schemeClr w14:val="tx1">
                            <w14:lumMod w14:val="95000"/>
                            <w14:lumOff w14:val="5000"/>
                          </w14:schemeClr>
                        </w14:solidFill>
                      </w14:textFill>
                    </w:rPr>
                    <w:t>项目厂内建设相应风险防范措施，配有相应风险防范物资，制定和完善环境风险应急预案</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63" w:hRule="atLeast"/>
              </w:trPr>
              <w:tc>
                <w:tcPr>
                  <w:tcW w:w="333" w:type="pct"/>
                  <w:shd w:val="clear" w:color="auto" w:fill="auto"/>
                  <w:vAlign w:val="center"/>
                </w:tcPr>
                <w:p>
                  <w:pPr>
                    <w:widowControl/>
                    <w:jc w:val="center"/>
                    <w:rPr>
                      <w:color w:val="000000"/>
                      <w:kern w:val="0"/>
                      <w:szCs w:val="21"/>
                    </w:rPr>
                  </w:pPr>
                  <w:r>
                    <w:rPr>
                      <w:rFonts w:hint="eastAsia"/>
                      <w:color w:val="000000"/>
                      <w:kern w:val="0"/>
                      <w:szCs w:val="21"/>
                    </w:rPr>
                    <w:t>8</w:t>
                  </w:r>
                </w:p>
              </w:tc>
              <w:tc>
                <w:tcPr>
                  <w:tcW w:w="2653" w:type="pct"/>
                  <w:shd w:val="clear" w:color="auto" w:fill="auto"/>
                  <w:vAlign w:val="center"/>
                </w:tcPr>
                <w:p>
                  <w:pPr>
                    <w:widowControl/>
                    <w:jc w:val="center"/>
                    <w:rPr>
                      <w:color w:val="000000"/>
                      <w:kern w:val="0"/>
                      <w:szCs w:val="21"/>
                    </w:rPr>
                  </w:pPr>
                  <w:r>
                    <w:rPr>
                      <w:rFonts w:hint="eastAsia"/>
                      <w:color w:val="000000"/>
                      <w:kern w:val="0"/>
                      <w:szCs w:val="21"/>
                    </w:rPr>
                    <w:t>加强环境保护制度建设和管理。入区建设项目，应认真履行环保法律法规要求，严格执行环境影响评价制度和环保“三同时”制度；新增大气污染物、水污染物和重金属的排放总量，应按照污染物排放总量控制的要求严格执行。在规划实施过程中，每隔五年进行一次环境影响跟踪评价，规划修编应重新编制环境影响报告书</w:t>
                  </w:r>
                </w:p>
              </w:tc>
              <w:tc>
                <w:tcPr>
                  <w:tcW w:w="1576" w:type="pct"/>
                  <w:shd w:val="clear" w:color="auto" w:fill="auto"/>
                  <w:vAlign w:val="center"/>
                </w:tcPr>
                <w:p>
                  <w:pPr>
                    <w:widowControl/>
                    <w:jc w:val="center"/>
                    <w:rPr>
                      <w:szCs w:val="21"/>
                    </w:rPr>
                  </w:pPr>
                  <w:r>
                    <w:rPr>
                      <w:szCs w:val="21"/>
                    </w:rPr>
                    <w:t>企业严格执行</w:t>
                  </w:r>
                  <w:r>
                    <w:rPr>
                      <w:szCs w:val="21"/>
                      <w:lang w:val="zh-CN"/>
                    </w:rPr>
                    <w:t>建设项目环境影响评价制度和环境保护“三同时”制度，</w:t>
                  </w:r>
                  <w:r>
                    <w:rPr>
                      <w:szCs w:val="21"/>
                    </w:rPr>
                    <w:t>项目建设完成验收完成后投产</w:t>
                  </w:r>
                  <w:r>
                    <w:rPr>
                      <w:szCs w:val="21"/>
                      <w:lang w:val="zh-CN"/>
                    </w:rPr>
                    <w:t>。</w:t>
                  </w:r>
                  <w:r>
                    <w:rPr>
                      <w:szCs w:val="21"/>
                    </w:rPr>
                    <w:t>企业严格落实排污许可制度，在排污前申请排污许可证</w:t>
                  </w:r>
                </w:p>
              </w:tc>
              <w:tc>
                <w:tcPr>
                  <w:tcW w:w="438" w:type="pct"/>
                  <w:shd w:val="clear" w:color="auto" w:fill="auto"/>
                  <w:vAlign w:val="center"/>
                </w:tcPr>
                <w:p>
                  <w:pPr>
                    <w:widowControl/>
                    <w:jc w:val="center"/>
                    <w:rPr>
                      <w:color w:val="000000"/>
                      <w:kern w:val="0"/>
                      <w:szCs w:val="21"/>
                    </w:rPr>
                  </w:pPr>
                  <w:r>
                    <w:rPr>
                      <w:rFonts w:hint="eastAsia"/>
                      <w:color w:val="000000"/>
                      <w:kern w:val="0"/>
                      <w:szCs w:val="21"/>
                    </w:rPr>
                    <w:t>相符</w:t>
                  </w:r>
                </w:p>
              </w:tc>
            </w:tr>
          </w:tbl>
          <w:p>
            <w:pPr>
              <w:spacing w:line="360" w:lineRule="auto"/>
              <w:ind w:firstLine="480" w:firstLineChars="200"/>
              <w:rPr>
                <w:rFonts w:cs="宋体"/>
                <w:kern w:val="0"/>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200" w:type="dxa"/>
            <w:vAlign w:val="center"/>
          </w:tcPr>
          <w:p>
            <w:pPr>
              <w:autoSpaceDE w:val="0"/>
              <w:autoSpaceDN w:val="0"/>
              <w:adjustRightInd w:val="0"/>
              <w:snapToGrid w:val="0"/>
              <w:jc w:val="center"/>
              <w:rPr>
                <w:rFonts w:cs="宋体"/>
                <w:kern w:val="0"/>
                <w:sz w:val="24"/>
              </w:rPr>
            </w:pPr>
            <w:r>
              <w:rPr>
                <w:rFonts w:hint="eastAsia" w:cs="宋体"/>
                <w:kern w:val="0"/>
                <w:sz w:val="24"/>
              </w:rPr>
              <w:t>其他符合性分析</w:t>
            </w:r>
          </w:p>
        </w:tc>
        <w:tc>
          <w:tcPr>
            <w:tcW w:w="7670" w:type="dxa"/>
            <w:gridSpan w:val="3"/>
            <w:vAlign w:val="center"/>
          </w:tcPr>
          <w:p>
            <w:pPr>
              <w:pStyle w:val="64"/>
              <w:numPr>
                <w:ilvl w:val="0"/>
                <w:numId w:val="1"/>
              </w:numPr>
              <w:spacing w:line="360" w:lineRule="auto"/>
              <w:ind w:firstLineChars="0"/>
              <w:rPr>
                <w:b/>
                <w:bCs/>
                <w:color w:val="000000"/>
                <w:sz w:val="24"/>
              </w:rPr>
            </w:pPr>
            <w:r>
              <w:rPr>
                <w:rFonts w:hint="eastAsia"/>
                <w:b/>
                <w:bCs/>
                <w:color w:val="000000"/>
                <w:sz w:val="24"/>
              </w:rPr>
              <w:t>产业政策分析</w:t>
            </w:r>
          </w:p>
          <w:p>
            <w:pPr>
              <w:adjustRightInd w:val="0"/>
              <w:spacing w:line="360" w:lineRule="auto"/>
              <w:ind w:firstLine="480" w:firstLineChars="200"/>
              <w:rPr>
                <w:color w:val="000000"/>
                <w:sz w:val="24"/>
              </w:rPr>
            </w:pPr>
            <w:r>
              <w:rPr>
                <w:color w:val="000000"/>
                <w:sz w:val="24"/>
              </w:rPr>
              <w:t>建设项目行业类别为[</w:t>
            </w:r>
            <w:r>
              <w:rPr>
                <w:rFonts w:hint="eastAsia"/>
                <w:color w:val="000000"/>
                <w:sz w:val="24"/>
              </w:rPr>
              <w:t>C</w:t>
            </w:r>
            <w:r>
              <w:rPr>
                <w:rFonts w:hint="eastAsia"/>
                <w:color w:val="000000"/>
                <w:sz w:val="24"/>
                <w:lang w:val="en-US" w:eastAsia="zh-CN"/>
              </w:rPr>
              <w:t>3099</w:t>
            </w:r>
            <w:r>
              <w:rPr>
                <w:color w:val="000000"/>
                <w:sz w:val="24"/>
              </w:rPr>
              <w:t>]</w:t>
            </w:r>
            <w:r>
              <w:rPr>
                <w:rFonts w:hint="eastAsia"/>
                <w:color w:val="000000"/>
                <w:sz w:val="24"/>
              </w:rPr>
              <w:t>其它非金属矿物制品制造</w:t>
            </w:r>
            <w:r>
              <w:rPr>
                <w:color w:val="000000"/>
                <w:sz w:val="24"/>
              </w:rPr>
              <w:t>，对照《产业结构调整指导目录》（2019年本）的有关条款的决定，本项目不在现行产业政策中规定的限制和淘汰类建设项目之列，不在鼓励建设项目之列，视为允许项目，符合国家的产业政策；对照《安徽省工业产业结构调整指导目录》（2007年本），本项目不属于安徽省规定的鼓励类、淘汰类之列，应视为允许类之列。</w:t>
            </w:r>
          </w:p>
          <w:p>
            <w:pPr>
              <w:adjustRightInd w:val="0"/>
              <w:spacing w:line="360" w:lineRule="auto"/>
              <w:ind w:firstLine="480" w:firstLineChars="200"/>
              <w:rPr>
                <w:color w:val="000000"/>
                <w:sz w:val="24"/>
              </w:rPr>
            </w:pPr>
            <w:r>
              <w:rPr>
                <w:color w:val="000000"/>
                <w:sz w:val="24"/>
              </w:rPr>
              <w:t>该项目已经于20</w:t>
            </w:r>
            <w:r>
              <w:rPr>
                <w:rFonts w:hint="eastAsia"/>
                <w:color w:val="000000"/>
                <w:sz w:val="24"/>
              </w:rPr>
              <w:t>2</w:t>
            </w:r>
            <w:r>
              <w:rPr>
                <w:rFonts w:hint="eastAsia"/>
                <w:color w:val="000000"/>
                <w:sz w:val="24"/>
                <w:lang w:val="en-US" w:eastAsia="zh-CN"/>
              </w:rPr>
              <w:t>1</w:t>
            </w:r>
            <w:r>
              <w:rPr>
                <w:color w:val="000000"/>
                <w:sz w:val="24"/>
              </w:rPr>
              <w:t>年</w:t>
            </w:r>
            <w:r>
              <w:rPr>
                <w:rFonts w:hint="eastAsia"/>
                <w:color w:val="000000"/>
                <w:sz w:val="24"/>
                <w:lang w:val="en-US" w:eastAsia="zh-CN"/>
              </w:rPr>
              <w:t>7</w:t>
            </w:r>
            <w:r>
              <w:rPr>
                <w:color w:val="000000"/>
                <w:sz w:val="24"/>
              </w:rPr>
              <w:t>月</w:t>
            </w:r>
            <w:r>
              <w:rPr>
                <w:rFonts w:hint="eastAsia"/>
                <w:color w:val="000000"/>
                <w:sz w:val="24"/>
                <w:lang w:val="en-US" w:eastAsia="zh-CN"/>
              </w:rPr>
              <w:t>19日</w:t>
            </w:r>
            <w:r>
              <w:rPr>
                <w:color w:val="000000"/>
                <w:sz w:val="24"/>
              </w:rPr>
              <w:t>获得了</w:t>
            </w:r>
            <w:r>
              <w:rPr>
                <w:rFonts w:hint="eastAsia"/>
                <w:color w:val="000000"/>
                <w:sz w:val="24"/>
                <w:lang w:val="en-US" w:eastAsia="zh-CN"/>
              </w:rPr>
              <w:t>安徽芜湖三山经济开发区管委会</w:t>
            </w:r>
            <w:r>
              <w:rPr>
                <w:rFonts w:hint="eastAsia"/>
                <w:color w:val="000000"/>
                <w:sz w:val="24"/>
              </w:rPr>
              <w:t>关于对芜湖新兴新材料产业园有限公司造型材料制品车间改扩建项目备案的通知</w:t>
            </w:r>
            <w:r>
              <w:rPr>
                <w:color w:val="000000"/>
                <w:sz w:val="24"/>
              </w:rPr>
              <w:t>”（</w:t>
            </w:r>
            <w:r>
              <w:rPr>
                <w:rFonts w:hint="eastAsia"/>
                <w:color w:val="000000"/>
                <w:sz w:val="24"/>
                <w:lang w:val="en-US" w:eastAsia="zh-CN"/>
              </w:rPr>
              <w:t>三经发</w:t>
            </w:r>
            <w:r>
              <w:rPr>
                <w:color w:val="000000"/>
                <w:sz w:val="24"/>
              </w:rPr>
              <w:t>【20</w:t>
            </w:r>
            <w:r>
              <w:rPr>
                <w:rFonts w:hint="eastAsia"/>
                <w:color w:val="000000"/>
                <w:sz w:val="24"/>
              </w:rPr>
              <w:t>2</w:t>
            </w:r>
            <w:r>
              <w:rPr>
                <w:rFonts w:hint="eastAsia"/>
                <w:color w:val="000000"/>
                <w:sz w:val="24"/>
                <w:lang w:val="en-US" w:eastAsia="zh-CN"/>
              </w:rPr>
              <w:t>1</w:t>
            </w:r>
            <w:r>
              <w:rPr>
                <w:color w:val="000000"/>
                <w:sz w:val="24"/>
              </w:rPr>
              <w:t>】</w:t>
            </w:r>
            <w:r>
              <w:rPr>
                <w:rFonts w:hint="eastAsia"/>
                <w:color w:val="000000"/>
                <w:sz w:val="24"/>
                <w:lang w:val="en-US" w:eastAsia="zh-CN"/>
              </w:rPr>
              <w:t>262</w:t>
            </w:r>
            <w:r>
              <w:rPr>
                <w:color w:val="000000"/>
                <w:sz w:val="24"/>
              </w:rPr>
              <w:t>号）。</w:t>
            </w:r>
          </w:p>
          <w:p>
            <w:pPr>
              <w:spacing w:line="360" w:lineRule="auto"/>
              <w:ind w:firstLine="480" w:firstLineChars="200"/>
              <w:rPr>
                <w:sz w:val="28"/>
                <w:szCs w:val="28"/>
              </w:rPr>
            </w:pPr>
            <w:r>
              <w:rPr>
                <w:color w:val="000000"/>
                <w:sz w:val="24"/>
              </w:rPr>
              <w:t>因此本项目符合国家和安徽相关产业政策。</w:t>
            </w:r>
          </w:p>
          <w:p>
            <w:pPr>
              <w:pStyle w:val="64"/>
              <w:numPr>
                <w:ilvl w:val="0"/>
                <w:numId w:val="1"/>
              </w:numPr>
              <w:spacing w:line="360" w:lineRule="auto"/>
              <w:ind w:firstLineChars="0"/>
              <w:rPr>
                <w:b/>
                <w:bCs/>
                <w:color w:val="000000"/>
                <w:sz w:val="24"/>
              </w:rPr>
            </w:pPr>
            <w:r>
              <w:rPr>
                <w:rFonts w:hint="eastAsia"/>
                <w:b/>
                <w:bCs/>
                <w:color w:val="000000"/>
                <w:sz w:val="24"/>
              </w:rPr>
              <w:t>“三线一单”相符性分析</w:t>
            </w:r>
          </w:p>
          <w:p>
            <w:pPr>
              <w:autoSpaceDE w:val="0"/>
              <w:autoSpaceDN w:val="0"/>
              <w:spacing w:line="360" w:lineRule="auto"/>
              <w:ind w:firstLine="480" w:firstLineChars="200"/>
              <w:jc w:val="left"/>
              <w:rPr>
                <w:rFonts w:hint="eastAsia" w:hAnsi="宋体" w:eastAsia="宋体"/>
                <w:kern w:val="24"/>
                <w:sz w:val="24"/>
                <w:lang w:eastAsia="zh-CN"/>
              </w:rPr>
            </w:pPr>
            <w:r>
              <w:rPr>
                <w:rFonts w:hAnsi="宋体"/>
                <w:kern w:val="24"/>
                <w:sz w:val="24"/>
              </w:rPr>
              <w:t>“三线一单”是以改善环境质量为核心，将生态保护红线、环境质量底线、资源利用上线落实到不同的环境管控单元，并建立环境准入负面清单的环境分区管控体系。“三线一单”是推动生态环境保护管理系统化、科学化</w:t>
            </w:r>
            <w:r>
              <w:rPr>
                <w:rFonts w:hint="eastAsia" w:hAnsi="宋体"/>
                <w:kern w:val="24"/>
                <w:sz w:val="24"/>
              </w:rPr>
              <w:t>、</w:t>
            </w:r>
            <w:r>
              <w:rPr>
                <w:rFonts w:hAnsi="宋体"/>
                <w:kern w:val="24"/>
                <w:sz w:val="24"/>
              </w:rPr>
              <w:t>法治化、精细化、信息化的重要抓手，是推进战略和规划环评落地、环境保护参与空间规划和优化国土空间格局的基础支撑，是实施环境空间管控、强化源头预防和过程监管的重要手段。</w:t>
            </w:r>
          </w:p>
          <w:p>
            <w:pPr>
              <w:autoSpaceDE w:val="0"/>
              <w:autoSpaceDN w:val="0"/>
              <w:spacing w:line="360" w:lineRule="auto"/>
              <w:ind w:firstLine="480" w:firstLineChars="200"/>
              <w:jc w:val="left"/>
              <w:rPr>
                <w:rFonts w:hAnsi="宋体"/>
                <w:color w:val="000000"/>
                <w:kern w:val="0"/>
                <w:sz w:val="24"/>
              </w:rPr>
            </w:pPr>
            <w:r>
              <w:rPr>
                <w:rFonts w:hint="eastAsia" w:hAnsi="宋体"/>
                <w:kern w:val="24"/>
                <w:sz w:val="24"/>
              </w:rPr>
              <w:t xml:space="preserve">    </w:t>
            </w:r>
            <w:r>
              <w:rPr>
                <w:rFonts w:hint="eastAsia" w:hAnsi="宋体"/>
                <w:color w:val="000000"/>
                <w:kern w:val="0"/>
                <w:sz w:val="24"/>
              </w:rPr>
              <w:t>判定本项目与“三线一单”相符性如下表。</w:t>
            </w:r>
          </w:p>
          <w:p>
            <w:pPr>
              <w:autoSpaceDE w:val="0"/>
              <w:autoSpaceDN w:val="0"/>
              <w:spacing w:before="120" w:beforeLines="50"/>
              <w:ind w:firstLine="482" w:firstLineChars="200"/>
              <w:jc w:val="center"/>
              <w:rPr>
                <w:rFonts w:hAnsi="宋体"/>
                <w:b/>
                <w:color w:val="000000"/>
                <w:kern w:val="0"/>
                <w:sz w:val="24"/>
              </w:rPr>
            </w:pPr>
            <w:r>
              <w:rPr>
                <w:rFonts w:hint="eastAsia" w:hAnsi="宋体"/>
                <w:b/>
                <w:color w:val="000000"/>
                <w:kern w:val="0"/>
                <w:sz w:val="24"/>
              </w:rPr>
              <w:t>表1-3  本项目与“三线一单”相符性</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85"/>
              <w:gridCol w:w="2421"/>
              <w:gridCol w:w="2528"/>
              <w:gridCol w:w="94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676"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88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内容</w:t>
                  </w:r>
                </w:p>
              </w:tc>
              <w:tc>
                <w:tcPr>
                  <w:tcW w:w="2407"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要求</w:t>
                  </w:r>
                </w:p>
              </w:tc>
              <w:tc>
                <w:tcPr>
                  <w:tcW w:w="2514"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本项目情况</w:t>
                  </w:r>
                </w:p>
              </w:tc>
              <w:tc>
                <w:tcPr>
                  <w:tcW w:w="9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26" w:hRule="atLeast"/>
              </w:trPr>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生态保</w:t>
                  </w:r>
                  <w:r>
                    <w:rPr>
                      <w:rFonts w:hAnsi="宋体"/>
                      <w:color w:val="000000"/>
                      <w:kern w:val="0"/>
                      <w:szCs w:val="21"/>
                    </w:rPr>
                    <w:cr/>
                  </w:r>
                  <w:r>
                    <w:rPr>
                      <w:rFonts w:hAnsi="宋体"/>
                      <w:color w:val="000000"/>
                      <w:kern w:val="0"/>
                      <w:szCs w:val="21"/>
                    </w:rPr>
                    <w:t>红线</w:t>
                  </w:r>
                </w:p>
              </w:tc>
              <w:tc>
                <w:tcPr>
                  <w:tcW w:w="2407"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Ansi="宋体"/>
                      <w:color w:val="0D0D0D" w:themeColor="text1" w:themeTint="F2"/>
                      <w:kern w:val="0"/>
                      <w:szCs w:val="21"/>
                      <w14:textFill>
                        <w14:solidFill>
                          <w14:schemeClr w14:val="tx1">
                            <w14:lumMod w14:val="95000"/>
                            <w14:lumOff w14:val="5000"/>
                          </w14:schemeClr>
                        </w14:solidFill>
                      </w14:textFill>
                    </w:rPr>
                    <w:t>生态保护红线是生态空间范围内具有特殊重要生态功能必须实行强制性严格保护的区域</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在生态保护红线范围内</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严控各类开发建设活动</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依法不予审批新建工业项目和矿产开发项目的环评文件</w:t>
                  </w:r>
                </w:p>
              </w:tc>
              <w:tc>
                <w:tcPr>
                  <w:tcW w:w="2514"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Ansi="宋体"/>
                      <w:color w:val="0D0D0D" w:themeColor="text1" w:themeTint="F2"/>
                      <w:kern w:val="0"/>
                      <w:szCs w:val="21"/>
                      <w14:textFill>
                        <w14:solidFill>
                          <w14:schemeClr w14:val="tx1">
                            <w14:lumMod w14:val="95000"/>
                            <w14:lumOff w14:val="5000"/>
                          </w14:schemeClr>
                        </w14:solidFill>
                      </w14:textFill>
                    </w:rPr>
                    <w:t>本项目位于</w:t>
                  </w:r>
                  <w:r>
                    <w:rPr>
                      <w:rFonts w:hint="default" w:ascii="Times New Roman" w:hAnsi="宋体" w:cs="Times New Roman"/>
                      <w:color w:val="0D0D0D" w:themeColor="text1" w:themeTint="F2"/>
                      <w:kern w:val="0"/>
                      <w:szCs w:val="21"/>
                      <w14:textFill>
                        <w14:solidFill>
                          <w14:schemeClr w14:val="tx1">
                            <w14:lumMod w14:val="95000"/>
                            <w14:lumOff w14:val="5000"/>
                          </w14:schemeClr>
                        </w14:solidFill>
                      </w14:textFill>
                    </w:rPr>
                    <w:t>三山区经济开发区春洲路2号</w:t>
                  </w:r>
                  <w:r>
                    <w:rPr>
                      <w:rFonts w:hint="eastAsia" w:hAnsi="宋体"/>
                      <w:color w:val="0D0D0D" w:themeColor="text1" w:themeTint="F2"/>
                      <w:kern w:val="24"/>
                      <w:szCs w:val="21"/>
                      <w14:textFill>
                        <w14:solidFill>
                          <w14:schemeClr w14:val="tx1">
                            <w14:lumMod w14:val="95000"/>
                            <w14:lumOff w14:val="5000"/>
                          </w14:schemeClr>
                        </w14:solidFill>
                      </w14:textFill>
                    </w:rPr>
                    <w:t>，</w:t>
                  </w:r>
                  <w:r>
                    <w:rPr>
                      <w:rFonts w:hint="eastAsia" w:hAnsi="宋体"/>
                      <w:color w:val="0D0D0D" w:themeColor="text1" w:themeTint="F2"/>
                      <w:kern w:val="0"/>
                      <w:szCs w:val="21"/>
                      <w14:textFill>
                        <w14:solidFill>
                          <w14:schemeClr w14:val="tx1">
                            <w14:lumMod w14:val="95000"/>
                            <w14:lumOff w14:val="5000"/>
                          </w14:schemeClr>
                        </w14:solidFill>
                      </w14:textFill>
                    </w:rPr>
                    <w:t>用地性质属于工业用地，</w:t>
                  </w:r>
                  <w:r>
                    <w:rPr>
                      <w:rFonts w:hAnsi="宋体"/>
                      <w:color w:val="0D0D0D" w:themeColor="text1" w:themeTint="F2"/>
                      <w:kern w:val="0"/>
                      <w:szCs w:val="21"/>
                      <w14:textFill>
                        <w14:solidFill>
                          <w14:schemeClr w14:val="tx1">
                            <w14:lumMod w14:val="95000"/>
                            <w14:lumOff w14:val="5000"/>
                          </w14:schemeClr>
                        </w14:solidFill>
                      </w14:textFill>
                    </w:rPr>
                    <w:t>不在生态红线范围内</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环境质量底线</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环境质量现状超标地区以及未达到环境质量目标考核要求的地区上新项目将受到限制</w:t>
                  </w:r>
                  <w:r>
                    <w:rPr>
                      <w:rFonts w:hint="eastAsia" w:hAnsi="宋体"/>
                      <w:color w:val="000000"/>
                      <w:kern w:val="0"/>
                      <w:szCs w:val="21"/>
                    </w:rPr>
                    <w:t>；</w:t>
                  </w:r>
                  <w:r>
                    <w:rPr>
                      <w:rFonts w:hAnsi="宋体"/>
                      <w:color w:val="000000"/>
                      <w:kern w:val="0"/>
                      <w:szCs w:val="21"/>
                    </w:rPr>
                    <w:t>对环境质量现状超标的地区</w:t>
                  </w:r>
                  <w:r>
                    <w:rPr>
                      <w:rFonts w:hint="eastAsia" w:hAnsi="宋体"/>
                      <w:color w:val="000000"/>
                      <w:kern w:val="0"/>
                      <w:szCs w:val="21"/>
                    </w:rPr>
                    <w:t>，</w:t>
                  </w:r>
                  <w:r>
                    <w:rPr>
                      <w:rFonts w:hAnsi="宋体"/>
                      <w:color w:val="000000"/>
                      <w:kern w:val="0"/>
                      <w:szCs w:val="21"/>
                    </w:rPr>
                    <w:t>项目拟采取的措施不能满足区域环境质量改善目标管理要求的</w:t>
                  </w:r>
                  <w:r>
                    <w:rPr>
                      <w:rFonts w:hint="eastAsia" w:hAnsi="宋体"/>
                      <w:color w:val="000000"/>
                      <w:kern w:val="0"/>
                      <w:szCs w:val="21"/>
                    </w:rPr>
                    <w:t>，</w:t>
                  </w:r>
                  <w:r>
                    <w:rPr>
                      <w:rFonts w:hAnsi="宋体"/>
                      <w:color w:val="000000"/>
                      <w:kern w:val="0"/>
                      <w:szCs w:val="21"/>
                    </w:rPr>
                    <w:t>依法不予审批其环评</w:t>
                  </w:r>
                  <w:r>
                    <w:rPr>
                      <w:rFonts w:hAnsi="宋体"/>
                      <w:color w:val="000000"/>
                      <w:kern w:val="0"/>
                      <w:szCs w:val="21"/>
                    </w:rPr>
                    <w:cr/>
                  </w:r>
                  <w:r>
                    <w:rPr>
                      <w:rFonts w:hAnsi="宋体"/>
                      <w:color w:val="000000"/>
                      <w:kern w:val="0"/>
                      <w:szCs w:val="21"/>
                    </w:rPr>
                    <w:t>件</w:t>
                  </w:r>
                </w:p>
              </w:tc>
              <w:tc>
                <w:tcPr>
                  <w:tcW w:w="2514" w:type="dxa"/>
                  <w:vAlign w:val="center"/>
                </w:tcPr>
                <w:p>
                  <w:pPr>
                    <w:autoSpaceDE w:val="0"/>
                    <w:autoSpaceDN w:val="0"/>
                    <w:jc w:val="center"/>
                    <w:rPr>
                      <w:color w:val="000000"/>
                      <w:szCs w:val="16"/>
                    </w:rPr>
                  </w:pPr>
                  <w:r>
                    <w:rPr>
                      <w:color w:val="000000"/>
                      <w:szCs w:val="16"/>
                    </w:rPr>
                    <w:t>本项目所在区域为</w:t>
                  </w:r>
                  <w:r>
                    <w:rPr>
                      <w:rFonts w:hint="eastAsia" w:hAnsi="宋体"/>
                      <w:color w:val="000000"/>
                      <w:kern w:val="0"/>
                      <w:szCs w:val="21"/>
                    </w:rPr>
                    <w:t>芜湖市三山区</w:t>
                  </w:r>
                  <w:r>
                    <w:rPr>
                      <w:rFonts w:hint="eastAsia"/>
                      <w:color w:val="000000"/>
                      <w:szCs w:val="16"/>
                    </w:rPr>
                    <w:t>，为达标区</w:t>
                  </w:r>
                  <w:r>
                    <w:rPr>
                      <w:rFonts w:hint="eastAsia"/>
                      <w:kern w:val="24"/>
                      <w:szCs w:val="21"/>
                    </w:rPr>
                    <w:t>；根据工程分析及污染防治分析项目所采取污染防治措施合理可行，各污染物达标排放，不会造成环境质量超标</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3</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资源</w:t>
                  </w:r>
                  <w:r>
                    <w:rPr>
                      <w:rFonts w:hint="eastAsia" w:hAnsi="宋体"/>
                      <w:color w:val="000000"/>
                      <w:kern w:val="0"/>
                      <w:szCs w:val="21"/>
                    </w:rPr>
                    <w:t>利用上线</w:t>
                  </w:r>
                </w:p>
              </w:tc>
              <w:tc>
                <w:tcPr>
                  <w:tcW w:w="2407"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Ansi="宋体"/>
                      <w:color w:val="0D0D0D" w:themeColor="text1" w:themeTint="F2"/>
                      <w:kern w:val="0"/>
                      <w:szCs w:val="21"/>
                      <w14:textFill>
                        <w14:solidFill>
                          <w14:schemeClr w14:val="tx1">
                            <w14:lumMod w14:val="95000"/>
                            <w14:lumOff w14:val="5000"/>
                          </w14:schemeClr>
                        </w14:solidFill>
                      </w14:textFill>
                    </w:rPr>
                    <w:t>依据有关资源利用上线要求</w:t>
                  </w:r>
                  <w:r>
                    <w:rPr>
                      <w:rFonts w:hint="eastAsia" w:hAnsi="宋体"/>
                      <w:color w:val="0D0D0D" w:themeColor="text1" w:themeTint="F2"/>
                      <w:kern w:val="0"/>
                      <w:szCs w:val="21"/>
                      <w14:textFill>
                        <w14:solidFill>
                          <w14:schemeClr w14:val="tx1">
                            <w14:lumMod w14:val="95000"/>
                            <w14:lumOff w14:val="5000"/>
                          </w14:schemeClr>
                        </w14:solidFill>
                      </w14:textFill>
                    </w:rPr>
                    <w:t xml:space="preserve">， </w:t>
                  </w:r>
                  <w:r>
                    <w:rPr>
                      <w:rFonts w:hAnsi="宋体"/>
                      <w:color w:val="0D0D0D" w:themeColor="text1" w:themeTint="F2"/>
                      <w:kern w:val="0"/>
                      <w:szCs w:val="21"/>
                      <w14:textFill>
                        <w14:solidFill>
                          <w14:schemeClr w14:val="tx1">
                            <w14:lumMod w14:val="95000"/>
                            <w14:lumOff w14:val="5000"/>
                          </w14:schemeClr>
                        </w14:solidFill>
                      </w14:textFill>
                    </w:rPr>
                    <w:t>即各地区能源</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水</w:t>
                  </w:r>
                  <w:r>
                    <w:rPr>
                      <w:rFonts w:hint="eastAsia" w:hAnsi="宋体"/>
                      <w:color w:val="0D0D0D" w:themeColor="text1" w:themeTint="F2"/>
                      <w:kern w:val="0"/>
                      <w:szCs w:val="21"/>
                      <w14:textFill>
                        <w14:solidFill>
                          <w14:schemeClr w14:val="tx1">
                            <w14:lumMod w14:val="95000"/>
                            <w14:lumOff w14:val="5000"/>
                          </w14:schemeClr>
                        </w14:solidFill>
                      </w14:textFill>
                    </w:rPr>
                    <w:t>、</w:t>
                  </w:r>
                  <w:r>
                    <w:rPr>
                      <w:rFonts w:hAnsi="宋体"/>
                      <w:color w:val="0D0D0D" w:themeColor="text1" w:themeTint="F2"/>
                      <w:kern w:val="0"/>
                      <w:szCs w:val="21"/>
                      <w14:textFill>
                        <w14:solidFill>
                          <w14:schemeClr w14:val="tx1">
                            <w14:lumMod w14:val="95000"/>
                            <w14:lumOff w14:val="5000"/>
                          </w14:schemeClr>
                        </w14:solidFill>
                      </w14:textFill>
                    </w:rPr>
                    <w:t>土地等资源消耗是不得突破的</w:t>
                  </w:r>
                  <w:r>
                    <w:rPr>
                      <w:rFonts w:hint="eastAsia" w:hAnsi="宋体"/>
                      <w:color w:val="0D0D0D" w:themeColor="text1" w:themeTint="F2"/>
                      <w:kern w:val="0"/>
                      <w:szCs w:val="21"/>
                      <w14:textFill>
                        <w14:solidFill>
                          <w14:schemeClr w14:val="tx1">
                            <w14:lumMod w14:val="95000"/>
                            <w14:lumOff w14:val="5000"/>
                          </w14:schemeClr>
                        </w14:solidFill>
                      </w14:textFill>
                    </w:rPr>
                    <w:t>“天花板”</w:t>
                  </w:r>
                </w:p>
              </w:tc>
              <w:tc>
                <w:tcPr>
                  <w:tcW w:w="2514"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color w:val="0D0D0D" w:themeColor="text1" w:themeTint="F2"/>
                      <w:szCs w:val="21"/>
                      <w14:textFill>
                        <w14:solidFill>
                          <w14:schemeClr w14:val="tx1">
                            <w14:lumMod w14:val="95000"/>
                            <w14:lumOff w14:val="5000"/>
                          </w14:schemeClr>
                        </w14:solidFill>
                      </w14:textFill>
                    </w:rPr>
                    <w:t>本项目用水来自自来水管网，用电由市政电网供给，</w:t>
                  </w:r>
                  <w:r>
                    <w:rPr>
                      <w:rFonts w:hint="eastAsia"/>
                      <w:color w:val="0D0D0D" w:themeColor="text1" w:themeTint="F2"/>
                      <w:szCs w:val="21"/>
                      <w14:textFill>
                        <w14:solidFill>
                          <w14:schemeClr w14:val="tx1">
                            <w14:lumMod w14:val="95000"/>
                            <w14:lumOff w14:val="5000"/>
                          </w14:schemeClr>
                        </w14:solidFill>
                      </w14:textFill>
                    </w:rPr>
                    <w:t>项目</w:t>
                  </w:r>
                  <w:r>
                    <w:rPr>
                      <w:color w:val="0D0D0D" w:themeColor="text1" w:themeTint="F2"/>
                      <w:szCs w:val="21"/>
                      <w14:textFill>
                        <w14:solidFill>
                          <w14:schemeClr w14:val="tx1">
                            <w14:lumMod w14:val="95000"/>
                            <w14:lumOff w14:val="5000"/>
                          </w14:schemeClr>
                        </w14:solidFill>
                      </w14:textFill>
                    </w:rPr>
                    <w:t>用地为规划工业用地，因此，项目用水、用电、用地均不会达到资源利用上线</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76" w:type="dxa"/>
                  <w:vAlign w:val="center"/>
                </w:tcPr>
                <w:p>
                  <w:pPr>
                    <w:autoSpaceDE w:val="0"/>
                    <w:autoSpaceDN w:val="0"/>
                    <w:jc w:val="center"/>
                    <w:rPr>
                      <w:rFonts w:hAnsi="宋体"/>
                      <w:color w:val="000000"/>
                      <w:kern w:val="0"/>
                      <w:szCs w:val="21"/>
                    </w:rPr>
                  </w:pPr>
                  <w:r>
                    <w:rPr>
                      <w:rFonts w:hint="eastAsia" w:hAnsi="宋体"/>
                      <w:color w:val="000000"/>
                      <w:kern w:val="0"/>
                      <w:szCs w:val="21"/>
                    </w:rPr>
                    <w:t>4</w:t>
                  </w:r>
                </w:p>
              </w:tc>
              <w:tc>
                <w:tcPr>
                  <w:tcW w:w="880" w:type="dxa"/>
                  <w:vAlign w:val="center"/>
                </w:tcPr>
                <w:p>
                  <w:pPr>
                    <w:autoSpaceDE w:val="0"/>
                    <w:autoSpaceDN w:val="0"/>
                    <w:jc w:val="center"/>
                    <w:rPr>
                      <w:rFonts w:hAnsi="宋体"/>
                      <w:color w:val="000000"/>
                      <w:kern w:val="0"/>
                      <w:szCs w:val="21"/>
                    </w:rPr>
                  </w:pPr>
                  <w:r>
                    <w:rPr>
                      <w:rFonts w:hAnsi="宋体"/>
                      <w:color w:val="000000"/>
                      <w:kern w:val="0"/>
                      <w:szCs w:val="21"/>
                    </w:rPr>
                    <w:t>环境准入负面清单</w:t>
                  </w:r>
                </w:p>
              </w:tc>
              <w:tc>
                <w:tcPr>
                  <w:tcW w:w="2407" w:type="dxa"/>
                  <w:vAlign w:val="center"/>
                </w:tcPr>
                <w:p>
                  <w:pPr>
                    <w:autoSpaceDE w:val="0"/>
                    <w:autoSpaceDN w:val="0"/>
                    <w:jc w:val="center"/>
                    <w:rPr>
                      <w:rFonts w:hAnsi="宋体"/>
                      <w:color w:val="000000"/>
                      <w:kern w:val="0"/>
                      <w:szCs w:val="21"/>
                    </w:rPr>
                  </w:pPr>
                  <w:r>
                    <w:rPr>
                      <w:rFonts w:hAnsi="宋体"/>
                      <w:color w:val="000000"/>
                      <w:kern w:val="0"/>
                      <w:szCs w:val="21"/>
                    </w:rPr>
                    <w:t>环境准入负面清单是基于生态保护红线</w:t>
                  </w:r>
                  <w:r>
                    <w:rPr>
                      <w:rFonts w:hint="eastAsia" w:hAnsi="宋体"/>
                      <w:color w:val="000000"/>
                      <w:kern w:val="0"/>
                      <w:szCs w:val="21"/>
                    </w:rPr>
                    <w:t>、</w:t>
                  </w:r>
                  <w:r>
                    <w:rPr>
                      <w:rFonts w:hAnsi="宋体"/>
                      <w:color w:val="000000"/>
                      <w:kern w:val="0"/>
                      <w:szCs w:val="21"/>
                    </w:rPr>
                    <w:t>环境质量底线和资源利用上线</w:t>
                  </w:r>
                  <w:r>
                    <w:rPr>
                      <w:rFonts w:hint="eastAsia" w:hAnsi="宋体"/>
                      <w:color w:val="000000"/>
                      <w:kern w:val="0"/>
                      <w:szCs w:val="21"/>
                    </w:rPr>
                    <w:t>，</w:t>
                  </w:r>
                  <w:r>
                    <w:rPr>
                      <w:rFonts w:hAnsi="宋体"/>
                      <w:color w:val="000000"/>
                      <w:kern w:val="0"/>
                      <w:szCs w:val="21"/>
                    </w:rPr>
                    <w:t>以清单方式列出的禁止</w:t>
                  </w:r>
                  <w:r>
                    <w:rPr>
                      <w:rFonts w:hint="eastAsia" w:hAnsi="宋体"/>
                      <w:color w:val="000000"/>
                      <w:kern w:val="0"/>
                      <w:szCs w:val="21"/>
                    </w:rPr>
                    <w:t>、</w:t>
                  </w:r>
                  <w:r>
                    <w:rPr>
                      <w:rFonts w:hAnsi="宋体"/>
                      <w:color w:val="000000"/>
                      <w:kern w:val="0"/>
                      <w:szCs w:val="21"/>
                    </w:rPr>
                    <w:t>限制等差别化环境准入条件和要求</w:t>
                  </w:r>
                  <w:r>
                    <w:rPr>
                      <w:rFonts w:hint="eastAsia" w:hAnsi="宋体"/>
                      <w:color w:val="000000"/>
                      <w:kern w:val="0"/>
                      <w:szCs w:val="21"/>
                    </w:rPr>
                    <w:t>。</w:t>
                  </w:r>
                  <w:r>
                    <w:rPr>
                      <w:rFonts w:hAnsi="宋体"/>
                      <w:color w:val="000000"/>
                      <w:kern w:val="0"/>
                      <w:szCs w:val="21"/>
                    </w:rPr>
                    <w:t>要在规划环评清单式管理试点的基础上</w:t>
                  </w:r>
                  <w:r>
                    <w:rPr>
                      <w:rFonts w:hint="eastAsia" w:hAnsi="宋体"/>
                      <w:color w:val="000000"/>
                      <w:kern w:val="0"/>
                      <w:szCs w:val="21"/>
                    </w:rPr>
                    <w:t>，</w:t>
                  </w:r>
                  <w:r>
                    <w:rPr>
                      <w:rFonts w:hAnsi="宋体"/>
                      <w:color w:val="000000"/>
                      <w:kern w:val="0"/>
                      <w:szCs w:val="21"/>
                    </w:rPr>
                    <w:t>从布局选址</w:t>
                  </w:r>
                  <w:r>
                    <w:rPr>
                      <w:rFonts w:hint="eastAsia" w:hAnsi="宋体"/>
                      <w:color w:val="000000"/>
                      <w:kern w:val="0"/>
                      <w:szCs w:val="21"/>
                    </w:rPr>
                    <w:t>、</w:t>
                  </w:r>
                  <w:r>
                    <w:rPr>
                      <w:rFonts w:hAnsi="宋体"/>
                      <w:color w:val="000000"/>
                      <w:kern w:val="0"/>
                      <w:szCs w:val="21"/>
                    </w:rPr>
                    <w:t>资源利用率</w:t>
                  </w:r>
                  <w:r>
                    <w:rPr>
                      <w:rFonts w:hint="eastAsia" w:hAnsi="宋体"/>
                      <w:color w:val="000000"/>
                      <w:kern w:val="0"/>
                      <w:szCs w:val="21"/>
                    </w:rPr>
                    <w:t>、</w:t>
                  </w:r>
                  <w:r>
                    <w:rPr>
                      <w:rFonts w:hAnsi="宋体"/>
                      <w:color w:val="000000"/>
                      <w:kern w:val="0"/>
                      <w:szCs w:val="21"/>
                    </w:rPr>
                    <w:t>资源配置方式等方面入手</w:t>
                  </w:r>
                  <w:r>
                    <w:rPr>
                      <w:rFonts w:hint="eastAsia" w:hAnsi="宋体"/>
                      <w:color w:val="000000"/>
                      <w:kern w:val="0"/>
                      <w:szCs w:val="21"/>
                    </w:rPr>
                    <w:t>，</w:t>
                  </w:r>
                  <w:r>
                    <w:rPr>
                      <w:rFonts w:hAnsi="宋体"/>
                      <w:color w:val="000000"/>
                      <w:kern w:val="0"/>
                      <w:szCs w:val="21"/>
                    </w:rPr>
                    <w:t>制定环境准入负面清单</w:t>
                  </w:r>
                  <w:r>
                    <w:rPr>
                      <w:rFonts w:hint="eastAsia" w:hAnsi="宋体"/>
                      <w:color w:val="000000"/>
                      <w:kern w:val="0"/>
                      <w:szCs w:val="21"/>
                    </w:rPr>
                    <w:t>，</w:t>
                  </w:r>
                  <w:r>
                    <w:rPr>
                      <w:rFonts w:hAnsi="宋体"/>
                      <w:color w:val="000000"/>
                      <w:kern w:val="0"/>
                      <w:szCs w:val="21"/>
                    </w:rPr>
                    <w:t>充分发挥负面清单对产业发展和项目准入的指导和约</w:t>
                  </w:r>
                  <w:r>
                    <w:rPr>
                      <w:rFonts w:hint="eastAsia" w:hAnsi="宋体"/>
                      <w:color w:val="000000"/>
                      <w:kern w:val="0"/>
                      <w:szCs w:val="21"/>
                    </w:rPr>
                    <w:t>束</w:t>
                  </w:r>
                  <w:r>
                    <w:rPr>
                      <w:rFonts w:hAnsi="宋体"/>
                      <w:color w:val="000000"/>
                      <w:kern w:val="0"/>
                      <w:szCs w:val="21"/>
                    </w:rPr>
                    <w:t>作用</w:t>
                  </w:r>
                </w:p>
              </w:tc>
              <w:tc>
                <w:tcPr>
                  <w:tcW w:w="2514" w:type="dxa"/>
                  <w:vAlign w:val="center"/>
                </w:tcPr>
                <w:p>
                  <w:pPr>
                    <w:autoSpaceDE w:val="0"/>
                    <w:autoSpaceDN w:val="0"/>
                    <w:jc w:val="center"/>
                    <w:rPr>
                      <w:rFonts w:hAnsi="宋体"/>
                      <w:color w:val="000000"/>
                      <w:kern w:val="0"/>
                      <w:szCs w:val="21"/>
                    </w:rPr>
                  </w:pPr>
                  <w:r>
                    <w:rPr>
                      <w:rFonts w:hAnsi="宋体"/>
                      <w:color w:val="000000"/>
                      <w:kern w:val="0"/>
                      <w:szCs w:val="21"/>
                    </w:rPr>
                    <w:t>本项目属于</w:t>
                  </w:r>
                  <w:r>
                    <w:rPr>
                      <w:rFonts w:hint="eastAsia" w:hAnsi="宋体"/>
                      <w:color w:val="000000"/>
                      <w:kern w:val="0"/>
                      <w:szCs w:val="21"/>
                    </w:rPr>
                    <w:t>其它非金属矿物制品制造行业，</w:t>
                  </w:r>
                  <w:r>
                    <w:rPr>
                      <w:rFonts w:hAnsi="宋体"/>
                      <w:color w:val="000000"/>
                      <w:kern w:val="0"/>
                      <w:szCs w:val="21"/>
                    </w:rPr>
                    <w:t>本项目不属于</w:t>
                  </w:r>
                  <w:r>
                    <w:rPr>
                      <w:rFonts w:hint="eastAsia" w:hAnsi="宋体"/>
                      <w:color w:val="000000"/>
                      <w:kern w:val="0"/>
                      <w:szCs w:val="21"/>
                    </w:rPr>
                    <w:t>《产业结构调整指导目录（20</w:t>
                  </w:r>
                  <w:r>
                    <w:rPr>
                      <w:rFonts w:hint="eastAsia" w:hAnsi="宋体"/>
                      <w:color w:val="0D0D0D"/>
                      <w:kern w:val="0"/>
                      <w:szCs w:val="21"/>
                    </w:rPr>
                    <w:t>19年本）》鼓励类、限制类和</w:t>
                  </w:r>
                  <w:r>
                    <w:rPr>
                      <w:rFonts w:hint="eastAsia" w:hAnsi="宋体"/>
                      <w:color w:val="000000"/>
                      <w:kern w:val="0"/>
                      <w:szCs w:val="21"/>
                    </w:rPr>
                    <w:t>淘汰类，视为允许类，本项目符合国家和地方产业政策</w:t>
                  </w:r>
                </w:p>
              </w:tc>
              <w:tc>
                <w:tcPr>
                  <w:tcW w:w="93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spacing w:line="360" w:lineRule="auto"/>
              <w:ind w:firstLine="480" w:firstLineChars="200"/>
              <w:rPr>
                <w:sz w:val="28"/>
                <w:szCs w:val="28"/>
              </w:rPr>
            </w:pPr>
            <w:r>
              <w:rPr>
                <w:rFonts w:hint="eastAsia"/>
                <w:color w:val="000000"/>
                <w:sz w:val="24"/>
              </w:rPr>
              <w:t>综上所述，本项目建设满足生态保护红线、环境质量底线、资源利用上线，且不在环境准入负面清单中，符合“三线一单”环保要求。</w:t>
            </w:r>
          </w:p>
          <w:p>
            <w:pPr>
              <w:autoSpaceDE w:val="0"/>
              <w:autoSpaceDN w:val="0"/>
              <w:adjustRightInd w:val="0"/>
              <w:spacing w:line="360" w:lineRule="auto"/>
              <w:ind w:firstLine="422" w:firstLineChars="200"/>
              <w:jc w:val="left"/>
              <w:rPr>
                <w:rFonts w:hAnsi="宋体"/>
                <w:b/>
                <w:color w:val="000000"/>
                <w:kern w:val="0"/>
                <w:sz w:val="24"/>
              </w:rPr>
            </w:pPr>
            <w:r>
              <w:rPr>
                <w:rFonts w:hint="eastAsia"/>
                <w:b/>
                <w:color w:val="000000"/>
              </w:rPr>
              <w:t>3、</w:t>
            </w:r>
            <w:r>
              <w:rPr>
                <w:rFonts w:hint="eastAsia"/>
                <w:b/>
                <w:bCs/>
                <w:sz w:val="24"/>
              </w:rPr>
              <w:t>与</w:t>
            </w:r>
            <w:r>
              <w:rPr>
                <w:rFonts w:hint="eastAsia" w:hAnsi="宋体"/>
                <w:b/>
                <w:color w:val="000000"/>
                <w:kern w:val="0"/>
                <w:sz w:val="24"/>
              </w:rPr>
              <w:t>《中共安徽省委安徽省人民政府关于全面打造水清岸绿产业优美丽长江（安徽）经济带的实施意见（升级版）》（皖发〔</w:t>
            </w:r>
            <w:r>
              <w:rPr>
                <w:rFonts w:hAnsi="宋体"/>
                <w:b/>
                <w:color w:val="000000"/>
                <w:kern w:val="0"/>
                <w:sz w:val="24"/>
              </w:rPr>
              <w:t>2021</w:t>
            </w:r>
            <w:r>
              <w:rPr>
                <w:rFonts w:hint="eastAsia" w:hAnsi="宋体"/>
                <w:b/>
                <w:color w:val="000000"/>
                <w:kern w:val="0"/>
                <w:sz w:val="24"/>
              </w:rPr>
              <w:t>〕</w:t>
            </w:r>
            <w:r>
              <w:rPr>
                <w:rFonts w:hAnsi="宋体"/>
                <w:b/>
                <w:color w:val="000000"/>
                <w:kern w:val="0"/>
                <w:sz w:val="24"/>
              </w:rPr>
              <w:t xml:space="preserve">19 </w:t>
            </w:r>
            <w:r>
              <w:rPr>
                <w:rFonts w:hint="eastAsia" w:hAnsi="宋体"/>
                <w:b/>
                <w:color w:val="000000"/>
                <w:kern w:val="0"/>
                <w:sz w:val="24"/>
              </w:rPr>
              <w:t>号）相符性分析</w:t>
            </w:r>
          </w:p>
          <w:p>
            <w:pPr>
              <w:autoSpaceDE w:val="0"/>
              <w:autoSpaceDN w:val="0"/>
              <w:adjustRightInd w:val="0"/>
              <w:spacing w:line="360" w:lineRule="auto"/>
              <w:ind w:firstLine="480" w:firstLineChars="200"/>
              <w:jc w:val="left"/>
              <w:rPr>
                <w:color w:val="000000"/>
                <w:sz w:val="24"/>
              </w:rPr>
            </w:pPr>
            <w:r>
              <w:rPr>
                <w:color w:val="000000"/>
                <w:sz w:val="24"/>
              </w:rPr>
              <w:t>2021</w:t>
            </w:r>
            <w:r>
              <w:rPr>
                <w:rFonts w:hint="eastAsia"/>
                <w:color w:val="000000"/>
                <w:sz w:val="24"/>
              </w:rPr>
              <w:t>年</w:t>
            </w:r>
            <w:r>
              <w:rPr>
                <w:color w:val="000000"/>
                <w:sz w:val="24"/>
              </w:rPr>
              <w:t>8</w:t>
            </w:r>
            <w:r>
              <w:rPr>
                <w:rFonts w:hint="eastAsia"/>
                <w:color w:val="000000"/>
                <w:sz w:val="24"/>
              </w:rPr>
              <w:t>月</w:t>
            </w:r>
            <w:r>
              <w:rPr>
                <w:color w:val="000000"/>
                <w:sz w:val="24"/>
              </w:rPr>
              <w:t>9</w:t>
            </w:r>
            <w:r>
              <w:rPr>
                <w:rFonts w:hint="eastAsia"/>
                <w:color w:val="000000"/>
                <w:sz w:val="24"/>
              </w:rPr>
              <w:t>日中共安徽省委、省政府印发了《关于打造水清岸绿产业优美丽长江（安徽）经济带的实施意见（升级版）》。《意见》指出了打造水更清、岸更绿、天更蓝色和产业更优的美丽长江</w:t>
            </w:r>
            <w:r>
              <w:rPr>
                <w:color w:val="000000"/>
                <w:sz w:val="24"/>
              </w:rPr>
              <w:t>(</w:t>
            </w:r>
            <w:r>
              <w:rPr>
                <w:rFonts w:hint="eastAsia"/>
                <w:color w:val="000000"/>
                <w:sz w:val="24"/>
              </w:rPr>
              <w:t>安徽</w:t>
            </w:r>
            <w:r>
              <w:rPr>
                <w:color w:val="000000"/>
                <w:sz w:val="24"/>
              </w:rPr>
              <w:t>)</w:t>
            </w:r>
            <w:r>
              <w:rPr>
                <w:rFonts w:hint="eastAsia"/>
                <w:color w:val="000000"/>
                <w:sz w:val="24"/>
              </w:rPr>
              <w:t>经济带的思路目标。筑牢</w:t>
            </w:r>
            <w:r>
              <w:rPr>
                <w:color w:val="000000"/>
                <w:sz w:val="24"/>
              </w:rPr>
              <w:t>1</w:t>
            </w:r>
            <w:r>
              <w:rPr>
                <w:rFonts w:hint="eastAsia"/>
                <w:color w:val="000000"/>
                <w:sz w:val="24"/>
              </w:rPr>
              <w:t>公里、</w:t>
            </w:r>
            <w:r>
              <w:rPr>
                <w:color w:val="000000"/>
                <w:sz w:val="24"/>
              </w:rPr>
              <w:t>5</w:t>
            </w:r>
            <w:r>
              <w:rPr>
                <w:rFonts w:hint="eastAsia"/>
                <w:color w:val="000000"/>
                <w:sz w:val="24"/>
              </w:rPr>
              <w:t>公里、</w:t>
            </w:r>
            <w:r>
              <w:rPr>
                <w:color w:val="000000"/>
                <w:sz w:val="24"/>
              </w:rPr>
              <w:t>15</w:t>
            </w:r>
            <w:r>
              <w:rPr>
                <w:rFonts w:hint="eastAsia"/>
                <w:color w:val="000000"/>
                <w:sz w:val="24"/>
              </w:rPr>
              <w:t>公里“三道防线”：</w:t>
            </w:r>
          </w:p>
          <w:p>
            <w:pPr>
              <w:autoSpaceDE w:val="0"/>
              <w:autoSpaceDN w:val="0"/>
              <w:adjustRightInd w:val="0"/>
              <w:spacing w:line="360" w:lineRule="auto"/>
              <w:ind w:firstLine="480" w:firstLineChars="200"/>
              <w:jc w:val="left"/>
              <w:rPr>
                <w:color w:val="000000"/>
                <w:sz w:val="24"/>
              </w:rPr>
            </w:pPr>
            <w:r>
              <w:rPr>
                <w:rFonts w:hint="eastAsia"/>
                <w:color w:val="000000"/>
                <w:sz w:val="24"/>
              </w:rPr>
              <w:t>——沿江</w:t>
            </w:r>
            <w:r>
              <w:rPr>
                <w:color w:val="000000"/>
                <w:sz w:val="24"/>
              </w:rPr>
              <w:t>1</w:t>
            </w:r>
            <w:r>
              <w:rPr>
                <w:rFonts w:hint="eastAsia"/>
                <w:color w:val="000000"/>
                <w:sz w:val="24"/>
              </w:rPr>
              <w:t>公里范围内“五个达标”得到巩固。长江干流及主要支流国家考核断面水质全面实现达标，优良比例达</w:t>
            </w:r>
            <w:r>
              <w:rPr>
                <w:color w:val="000000"/>
                <w:sz w:val="24"/>
              </w:rPr>
              <w:t>100</w:t>
            </w:r>
            <w:r>
              <w:rPr>
                <w:rFonts w:hint="eastAsia"/>
                <w:color w:val="000000"/>
                <w:sz w:val="24"/>
              </w:rPr>
              <w:t>％。长江干流</w:t>
            </w:r>
            <w:r>
              <w:rPr>
                <w:color w:val="000000"/>
                <w:sz w:val="24"/>
              </w:rPr>
              <w:t>40</w:t>
            </w:r>
            <w:r>
              <w:rPr>
                <w:rFonts w:hint="eastAsia"/>
                <w:color w:val="000000"/>
                <w:sz w:val="24"/>
              </w:rPr>
              <w:t>个水功能区水质全部稳定达标，水质达标率</w:t>
            </w:r>
            <w:r>
              <w:rPr>
                <w:color w:val="000000"/>
                <w:sz w:val="24"/>
              </w:rPr>
              <w:t>100%</w:t>
            </w:r>
            <w:r>
              <w:rPr>
                <w:rFonts w:hint="eastAsia"/>
                <w:color w:val="000000"/>
                <w:sz w:val="24"/>
              </w:rPr>
              <w:t>，湿地全面保护。沿江</w:t>
            </w:r>
            <w:r>
              <w:rPr>
                <w:color w:val="000000"/>
                <w:sz w:val="24"/>
              </w:rPr>
              <w:t>5</w:t>
            </w:r>
            <w:r>
              <w:rPr>
                <w:rFonts w:hint="eastAsia"/>
                <w:color w:val="000000"/>
                <w:sz w:val="24"/>
              </w:rPr>
              <w:t>市细颗粒物（</w:t>
            </w:r>
            <w:r>
              <w:rPr>
                <w:color w:val="000000"/>
                <w:sz w:val="24"/>
              </w:rPr>
              <w:t>PM2.5)</w:t>
            </w:r>
            <w:r>
              <w:rPr>
                <w:rFonts w:hint="eastAsia"/>
                <w:color w:val="000000"/>
                <w:sz w:val="24"/>
              </w:rPr>
              <w:t>指标国家考核要求全面达标。应绿尽绿全面达标，宜林地段绿化率达</w:t>
            </w:r>
            <w:r>
              <w:rPr>
                <w:color w:val="000000"/>
                <w:sz w:val="24"/>
              </w:rPr>
              <w:t>100</w:t>
            </w:r>
            <w:r>
              <w:rPr>
                <w:rFonts w:hint="eastAsia"/>
                <w:color w:val="000000"/>
                <w:sz w:val="24"/>
              </w:rPr>
              <w:t>％。不符合环保和安全要求的重化工、重污染企业，全部依法搬迁实现达标。</w:t>
            </w:r>
          </w:p>
          <w:p>
            <w:pPr>
              <w:autoSpaceDE w:val="0"/>
              <w:autoSpaceDN w:val="0"/>
              <w:adjustRightInd w:val="0"/>
              <w:spacing w:line="360" w:lineRule="auto"/>
              <w:ind w:firstLine="480" w:firstLineChars="200"/>
              <w:jc w:val="left"/>
              <w:rPr>
                <w:color w:val="000000"/>
                <w:sz w:val="24"/>
              </w:rPr>
            </w:pPr>
            <w:r>
              <w:rPr>
                <w:rFonts w:hint="eastAsia"/>
                <w:color w:val="000000"/>
                <w:sz w:val="24"/>
              </w:rPr>
              <w:t>——沿江</w:t>
            </w:r>
            <w:r>
              <w:rPr>
                <w:color w:val="000000"/>
                <w:sz w:val="24"/>
              </w:rPr>
              <w:t>5</w:t>
            </w:r>
            <w:r>
              <w:rPr>
                <w:rFonts w:hint="eastAsia"/>
                <w:color w:val="000000"/>
                <w:sz w:val="24"/>
              </w:rPr>
              <w:t>公里范围内“五个一律”得到坚持。畜禽养殖和“三网”水产养殖问题一律整改到位，实现畜禽养殖废弃物资源化利用。</w:t>
            </w:r>
            <w:r>
              <w:rPr>
                <w:color w:val="000000"/>
                <w:sz w:val="24"/>
              </w:rPr>
              <w:t>25</w:t>
            </w:r>
            <w:r>
              <w:rPr>
                <w:rFonts w:hint="eastAsia"/>
                <w:color w:val="000000"/>
                <w:sz w:val="24"/>
              </w:rPr>
              <w:t>度以上坡耕地一律依法依规退耕还林还草，实现植被全覆盖。在建重化工项目一律对标评估，环保和安全不能达标的全部暂停建设，依法依规整改或搬迁。现有重化工企业一律实施提标改造，达不到最新环保和安全要求的，依法依规搬迁或转型。“散乱污”企业一律依法依规处置，坚决关停取缔一批、整改提升一批、搬迁入园一批。</w:t>
            </w:r>
          </w:p>
          <w:p>
            <w:pPr>
              <w:autoSpaceDE w:val="0"/>
              <w:autoSpaceDN w:val="0"/>
              <w:adjustRightInd w:val="0"/>
              <w:spacing w:line="360" w:lineRule="auto"/>
              <w:ind w:firstLine="480" w:firstLineChars="200"/>
              <w:jc w:val="left"/>
              <w:rPr>
                <w:color w:val="000000"/>
                <w:sz w:val="24"/>
              </w:rPr>
            </w:pPr>
            <w:r>
              <w:rPr>
                <w:rFonts w:hint="eastAsia"/>
                <w:color w:val="000000"/>
                <w:sz w:val="24"/>
              </w:rPr>
              <w:t>——沿江</w:t>
            </w:r>
            <w:r>
              <w:rPr>
                <w:color w:val="000000"/>
                <w:sz w:val="24"/>
              </w:rPr>
              <w:t>15</w:t>
            </w:r>
            <w:r>
              <w:rPr>
                <w:rFonts w:hint="eastAsia"/>
                <w:color w:val="000000"/>
                <w:sz w:val="24"/>
              </w:rPr>
              <w:t>公里范围内“五个合规”得到提升。现有污水处理厂出水水质全面合规，全部达到一级</w:t>
            </w:r>
            <w:r>
              <w:rPr>
                <w:color w:val="000000"/>
                <w:sz w:val="24"/>
              </w:rPr>
              <w:t>A</w:t>
            </w:r>
            <w:r>
              <w:rPr>
                <w:rFonts w:hint="eastAsia"/>
                <w:color w:val="000000"/>
                <w:sz w:val="24"/>
              </w:rPr>
              <w:t>排放标准，设区市污泥无害化处置率达到</w:t>
            </w:r>
            <w:r>
              <w:rPr>
                <w:color w:val="000000"/>
                <w:sz w:val="24"/>
              </w:rPr>
              <w:t>95</w:t>
            </w:r>
            <w:r>
              <w:rPr>
                <w:rFonts w:hint="eastAsia"/>
                <w:color w:val="000000"/>
                <w:sz w:val="24"/>
              </w:rPr>
              <w:t>％以上。城市黑臭水体治理全面合规，透明度、溶解氧、氧化还原电位、氨氮等指标和周边群众满意度达到国家规定要求，实现长制久清。规模畜禽养殖场粪污处理设施装配排放合规，粪污处理设施装配率达</w:t>
            </w:r>
            <w:r>
              <w:rPr>
                <w:color w:val="000000"/>
                <w:sz w:val="24"/>
              </w:rPr>
              <w:t>100%</w:t>
            </w:r>
            <w:r>
              <w:rPr>
                <w:rFonts w:hint="eastAsia"/>
                <w:color w:val="000000"/>
                <w:sz w:val="24"/>
              </w:rPr>
              <w:t>，畜禽粪污综合利用率达</w:t>
            </w:r>
            <w:r>
              <w:rPr>
                <w:color w:val="000000"/>
                <w:sz w:val="24"/>
              </w:rPr>
              <w:t>85</w:t>
            </w:r>
            <w:r>
              <w:rPr>
                <w:rFonts w:hint="eastAsia"/>
                <w:color w:val="000000"/>
                <w:sz w:val="24"/>
              </w:rPr>
              <w:t>％以上。新建项目全部合规，环保和安全达标，工艺技术和装备水平行业先进，产品处于产业链、价值链中高端。工业园区优化整合全面合规，不合规的园区全部整治清理，打造主业突出、特色鲜明、竞争力强、绿色发展的产业集聚区。</w:t>
            </w:r>
          </w:p>
          <w:p>
            <w:pPr>
              <w:autoSpaceDE w:val="0"/>
              <w:autoSpaceDN w:val="0"/>
              <w:adjustRightInd w:val="0"/>
              <w:spacing w:line="360" w:lineRule="auto"/>
              <w:ind w:firstLine="480" w:firstLineChars="200"/>
              <w:jc w:val="left"/>
              <w:rPr>
                <w:b/>
                <w:bCs/>
                <w:color w:val="000000"/>
                <w:sz w:val="24"/>
              </w:rPr>
            </w:pPr>
            <w:r>
              <w:rPr>
                <w:sz w:val="24"/>
              </w:rPr>
              <w:t>本项目</w:t>
            </w:r>
            <w:r>
              <w:rPr>
                <w:color w:val="auto"/>
                <w:sz w:val="24"/>
              </w:rPr>
              <w:t>距离长江</w:t>
            </w:r>
            <w:r>
              <w:rPr>
                <w:rFonts w:hint="eastAsia"/>
                <w:color w:val="auto"/>
                <w:sz w:val="24"/>
                <w:lang w:val="en-US" w:eastAsia="zh-CN"/>
              </w:rPr>
              <w:t>2.4</w:t>
            </w:r>
            <w:r>
              <w:rPr>
                <w:color w:val="auto"/>
                <w:sz w:val="24"/>
              </w:rPr>
              <w:t>公里</w:t>
            </w:r>
            <w:r>
              <w:rPr>
                <w:rFonts w:hint="eastAsia"/>
                <w:color w:val="000000"/>
                <w:sz w:val="24"/>
              </w:rPr>
              <w:t>，位于《意见》中“三道防线”在1公里范围之外、</w:t>
            </w:r>
            <w:r>
              <w:rPr>
                <w:color w:val="000000"/>
                <w:sz w:val="24"/>
              </w:rPr>
              <w:t>5</w:t>
            </w:r>
            <w:r>
              <w:rPr>
                <w:rFonts w:hint="eastAsia"/>
                <w:color w:val="000000"/>
                <w:sz w:val="24"/>
              </w:rPr>
              <w:t>公里范围之内。项目建成后将按照环保和安全有关要求进行生产，环保和安全能够确保达标，工艺技术和装备水平行业先进，项目产品为机制砂生产。项目建成后将严格按照省委、省政府提出的全面落实打造水清、岸绿、产业优的美丽长江（安徽）经济带的重要精神，严格管理，不断加强大气、水环境保护与治理，提高环境风险防控和环境监测能力，为实现水清、岸绿、产业优的美丽长江做出企业应有的努力。符合《中共安徽省委安徽省人民政府关于全面打造水清岸绿产业优美丽长江（安徽）经济带的实施意见（升级版）》（皖发〔</w:t>
            </w:r>
            <w:r>
              <w:rPr>
                <w:color w:val="000000"/>
                <w:sz w:val="24"/>
              </w:rPr>
              <w:t>2021</w:t>
            </w:r>
            <w:r>
              <w:rPr>
                <w:rFonts w:hint="eastAsia"/>
                <w:color w:val="000000"/>
                <w:sz w:val="24"/>
              </w:rPr>
              <w:t>〕</w:t>
            </w:r>
            <w:r>
              <w:rPr>
                <w:color w:val="000000"/>
                <w:sz w:val="24"/>
              </w:rPr>
              <w:t>19</w:t>
            </w:r>
            <w:r>
              <w:rPr>
                <w:rFonts w:hint="eastAsia"/>
                <w:color w:val="000000"/>
                <w:sz w:val="24"/>
              </w:rPr>
              <w:t>号）的有关精神。</w:t>
            </w:r>
          </w:p>
          <w:p>
            <w:pPr>
              <w:spacing w:line="340" w:lineRule="auto"/>
              <w:rPr>
                <w:rFonts w:hint="eastAsia"/>
                <w:b/>
                <w:color w:val="000000"/>
                <w:sz w:val="24"/>
              </w:rPr>
            </w:pPr>
            <w:r>
              <w:rPr>
                <w:rFonts w:hint="eastAsia"/>
                <w:b/>
                <w:color w:val="000000"/>
                <w:sz w:val="24"/>
              </w:rPr>
              <w:t>4、与《中华人民共和国长江保护法》相符性分析</w:t>
            </w:r>
          </w:p>
          <w:p>
            <w:pPr>
              <w:autoSpaceDE w:val="0"/>
              <w:autoSpaceDN w:val="0"/>
              <w:spacing w:before="120" w:beforeLines="50"/>
              <w:ind w:firstLine="482" w:firstLineChars="200"/>
              <w:jc w:val="center"/>
              <w:rPr>
                <w:rFonts w:hint="eastAsia" w:ascii="Times New Roman" w:hAnsi="宋体" w:cs="Times New Roman"/>
                <w:b/>
                <w:color w:val="000000"/>
                <w:kern w:val="0"/>
                <w:sz w:val="24"/>
              </w:rPr>
            </w:pPr>
            <w:r>
              <w:rPr>
                <w:rFonts w:hint="eastAsia" w:ascii="Times New Roman" w:hAnsi="宋体" w:cs="Times New Roman"/>
                <w:b/>
                <w:color w:val="000000"/>
                <w:kern w:val="0"/>
                <w:sz w:val="24"/>
              </w:rPr>
              <w:t>表 1-4 与《中华人民共和国长江保护法》要求相符性分析</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4406"/>
              <w:gridCol w:w="1886"/>
              <w:gridCol w:w="7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38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187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72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380"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第二十六条 国家对长江流域河湖岸线实施</w:t>
                  </w:r>
                </w:p>
                <w:p>
                  <w:pPr>
                    <w:autoSpaceDE w:val="0"/>
                    <w:autoSpaceDN w:val="0"/>
                    <w:jc w:val="center"/>
                    <w:rPr>
                      <w:rFonts w:hint="eastAsia" w:hAnsi="宋体"/>
                      <w:color w:val="000000"/>
                      <w:kern w:val="0"/>
                      <w:szCs w:val="21"/>
                    </w:rPr>
                  </w:pPr>
                  <w:r>
                    <w:rPr>
                      <w:rFonts w:hint="eastAsia" w:hAnsi="宋体"/>
                      <w:color w:val="000000"/>
                      <w:kern w:val="0"/>
                      <w:szCs w:val="21"/>
                    </w:rPr>
                    <w:t>特殊管制。国家长江流域协调机制统筹协调</w:t>
                  </w:r>
                </w:p>
                <w:p>
                  <w:pPr>
                    <w:autoSpaceDE w:val="0"/>
                    <w:autoSpaceDN w:val="0"/>
                    <w:jc w:val="center"/>
                    <w:rPr>
                      <w:rFonts w:hint="eastAsia" w:hAnsi="宋体"/>
                      <w:color w:val="000000"/>
                      <w:kern w:val="0"/>
                      <w:szCs w:val="21"/>
                    </w:rPr>
                  </w:pPr>
                  <w:r>
                    <w:rPr>
                      <w:rFonts w:hint="eastAsia" w:hAnsi="宋体"/>
                      <w:color w:val="000000"/>
                      <w:kern w:val="0"/>
                      <w:szCs w:val="21"/>
                    </w:rPr>
                    <w:t>国务院自然资源、水行政、生态环境、住房</w:t>
                  </w:r>
                </w:p>
                <w:p>
                  <w:pPr>
                    <w:autoSpaceDE w:val="0"/>
                    <w:autoSpaceDN w:val="0"/>
                    <w:jc w:val="center"/>
                    <w:rPr>
                      <w:rFonts w:hint="eastAsia" w:hAnsi="宋体"/>
                      <w:color w:val="000000"/>
                      <w:kern w:val="0"/>
                      <w:szCs w:val="21"/>
                    </w:rPr>
                  </w:pPr>
                  <w:r>
                    <w:rPr>
                      <w:rFonts w:hint="eastAsia" w:hAnsi="宋体"/>
                      <w:color w:val="000000"/>
                      <w:kern w:val="0"/>
                      <w:szCs w:val="21"/>
                    </w:rPr>
                    <w:t>和城乡建设、农业农村、交通运输、林业和</w:t>
                  </w:r>
                </w:p>
                <w:p>
                  <w:pPr>
                    <w:autoSpaceDE w:val="0"/>
                    <w:autoSpaceDN w:val="0"/>
                    <w:jc w:val="center"/>
                    <w:rPr>
                      <w:rFonts w:hint="eastAsia" w:hAnsi="宋体"/>
                      <w:color w:val="000000"/>
                      <w:kern w:val="0"/>
                      <w:szCs w:val="21"/>
                    </w:rPr>
                  </w:pPr>
                  <w:r>
                    <w:rPr>
                      <w:rFonts w:hint="eastAsia" w:hAnsi="宋体"/>
                      <w:color w:val="000000"/>
                      <w:kern w:val="0"/>
                      <w:szCs w:val="21"/>
                    </w:rPr>
                    <w:t>草原等部门和长江流域省级人民政府划定河</w:t>
                  </w:r>
                </w:p>
                <w:p>
                  <w:pPr>
                    <w:autoSpaceDE w:val="0"/>
                    <w:autoSpaceDN w:val="0"/>
                    <w:jc w:val="center"/>
                    <w:rPr>
                      <w:rFonts w:hint="eastAsia" w:hAnsi="宋体"/>
                      <w:color w:val="000000"/>
                      <w:kern w:val="0"/>
                      <w:szCs w:val="21"/>
                    </w:rPr>
                  </w:pPr>
                  <w:r>
                    <w:rPr>
                      <w:rFonts w:hint="eastAsia" w:hAnsi="宋体"/>
                      <w:color w:val="000000"/>
                      <w:kern w:val="0"/>
                      <w:szCs w:val="21"/>
                    </w:rPr>
                    <w:t>湖岸线保护范围，制定河湖岸线保护规划，</w:t>
                  </w:r>
                </w:p>
                <w:p>
                  <w:pPr>
                    <w:autoSpaceDE w:val="0"/>
                    <w:autoSpaceDN w:val="0"/>
                    <w:jc w:val="center"/>
                    <w:rPr>
                      <w:rFonts w:hint="eastAsia" w:hAnsi="宋体"/>
                      <w:color w:val="000000"/>
                      <w:kern w:val="0"/>
                      <w:szCs w:val="21"/>
                    </w:rPr>
                  </w:pPr>
                  <w:r>
                    <w:rPr>
                      <w:rFonts w:hint="eastAsia" w:hAnsi="宋体"/>
                      <w:color w:val="000000"/>
                      <w:kern w:val="0"/>
                      <w:szCs w:val="21"/>
                    </w:rPr>
                    <w:t>严格控制岸线开发建设，促进岸线合理高效</w:t>
                  </w:r>
                </w:p>
                <w:p>
                  <w:pPr>
                    <w:autoSpaceDE w:val="0"/>
                    <w:autoSpaceDN w:val="0"/>
                    <w:jc w:val="center"/>
                    <w:rPr>
                      <w:rFonts w:hint="eastAsia" w:hAnsi="宋体"/>
                      <w:color w:val="000000"/>
                      <w:kern w:val="0"/>
                      <w:szCs w:val="21"/>
                    </w:rPr>
                  </w:pPr>
                  <w:r>
                    <w:rPr>
                      <w:rFonts w:hint="eastAsia" w:hAnsi="宋体"/>
                      <w:color w:val="000000"/>
                      <w:kern w:val="0"/>
                      <w:szCs w:val="21"/>
                    </w:rPr>
                    <w:t>利用。</w:t>
                  </w:r>
                </w:p>
                <w:p>
                  <w:pPr>
                    <w:autoSpaceDE w:val="0"/>
                    <w:autoSpaceDN w:val="0"/>
                    <w:jc w:val="center"/>
                    <w:rPr>
                      <w:rFonts w:hint="eastAsia" w:hAnsi="宋体"/>
                      <w:color w:val="000000"/>
                      <w:kern w:val="0"/>
                      <w:szCs w:val="21"/>
                    </w:rPr>
                  </w:pPr>
                  <w:r>
                    <w:rPr>
                      <w:rFonts w:hint="eastAsia" w:hAnsi="宋体"/>
                      <w:color w:val="000000"/>
                      <w:kern w:val="0"/>
                      <w:szCs w:val="21"/>
                    </w:rPr>
                    <w:t>禁止在长江干支流岸线一公里范围内新建、</w:t>
                  </w:r>
                </w:p>
                <w:p>
                  <w:pPr>
                    <w:autoSpaceDE w:val="0"/>
                    <w:autoSpaceDN w:val="0"/>
                    <w:jc w:val="center"/>
                    <w:rPr>
                      <w:rFonts w:hint="eastAsia" w:hAnsi="宋体"/>
                      <w:color w:val="000000"/>
                      <w:kern w:val="0"/>
                      <w:szCs w:val="21"/>
                    </w:rPr>
                  </w:pPr>
                  <w:r>
                    <w:rPr>
                      <w:rFonts w:hint="eastAsia" w:hAnsi="宋体"/>
                      <w:color w:val="000000"/>
                      <w:kern w:val="0"/>
                      <w:szCs w:val="21"/>
                    </w:rPr>
                    <w:t>扩建化工园区和化工项目。</w:t>
                  </w:r>
                </w:p>
                <w:p>
                  <w:pPr>
                    <w:autoSpaceDE w:val="0"/>
                    <w:autoSpaceDN w:val="0"/>
                    <w:jc w:val="center"/>
                    <w:rPr>
                      <w:rFonts w:hint="eastAsia" w:hAnsi="宋体"/>
                      <w:color w:val="000000"/>
                      <w:kern w:val="0"/>
                      <w:szCs w:val="21"/>
                    </w:rPr>
                  </w:pPr>
                  <w:r>
                    <w:rPr>
                      <w:rFonts w:hint="eastAsia" w:hAnsi="宋体"/>
                      <w:color w:val="000000"/>
                      <w:kern w:val="0"/>
                      <w:szCs w:val="21"/>
                    </w:rPr>
                    <w:t>禁止在长江干流岸线三公里范围内和重要支</w:t>
                  </w:r>
                </w:p>
                <w:p>
                  <w:pPr>
                    <w:autoSpaceDE w:val="0"/>
                    <w:autoSpaceDN w:val="0"/>
                    <w:jc w:val="center"/>
                    <w:rPr>
                      <w:rFonts w:hint="eastAsia" w:hAnsi="宋体"/>
                      <w:color w:val="000000"/>
                      <w:kern w:val="0"/>
                      <w:szCs w:val="21"/>
                    </w:rPr>
                  </w:pPr>
                  <w:r>
                    <w:rPr>
                      <w:rFonts w:hint="eastAsia" w:hAnsi="宋体"/>
                      <w:color w:val="000000"/>
                      <w:kern w:val="0"/>
                      <w:szCs w:val="21"/>
                    </w:rPr>
                    <w:t>流岸线一公里范围内新建、改建、扩建尾矿</w:t>
                  </w:r>
                </w:p>
                <w:p>
                  <w:pPr>
                    <w:autoSpaceDE w:val="0"/>
                    <w:autoSpaceDN w:val="0"/>
                    <w:jc w:val="center"/>
                    <w:rPr>
                      <w:rFonts w:hint="eastAsia" w:hAnsi="宋体"/>
                      <w:color w:val="000000"/>
                      <w:kern w:val="0"/>
                      <w:szCs w:val="21"/>
                    </w:rPr>
                  </w:pPr>
                  <w:r>
                    <w:rPr>
                      <w:rFonts w:hint="eastAsia" w:hAnsi="宋体"/>
                      <w:color w:val="000000"/>
                      <w:kern w:val="0"/>
                      <w:szCs w:val="21"/>
                    </w:rPr>
                    <w:t>库；但是以提升安全、生态环境保护水平为</w:t>
                  </w:r>
                </w:p>
                <w:p>
                  <w:pPr>
                    <w:autoSpaceDE w:val="0"/>
                    <w:autoSpaceDN w:val="0"/>
                    <w:jc w:val="center"/>
                    <w:rPr>
                      <w:rFonts w:hAnsi="宋体"/>
                      <w:color w:val="000000"/>
                      <w:kern w:val="0"/>
                      <w:szCs w:val="21"/>
                    </w:rPr>
                  </w:pPr>
                  <w:r>
                    <w:rPr>
                      <w:rFonts w:hint="eastAsia" w:hAnsi="宋体"/>
                      <w:color w:val="000000"/>
                      <w:kern w:val="0"/>
                      <w:szCs w:val="21"/>
                    </w:rPr>
                    <w:t>目的的改建除外</w:t>
                  </w:r>
                </w:p>
              </w:tc>
              <w:tc>
                <w:tcPr>
                  <w:tcW w:w="1875"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int="eastAsia" w:ascii="Times New Roman" w:hAnsi="宋体" w:cs="Times New Roman"/>
                      <w:color w:val="000000"/>
                      <w:kern w:val="0"/>
                      <w:szCs w:val="21"/>
                    </w:rPr>
                    <w:t>本项目位于</w:t>
                  </w:r>
                  <w:r>
                    <w:rPr>
                      <w:rFonts w:hint="default" w:ascii="Times New Roman" w:hAnsi="宋体" w:cs="Times New Roman"/>
                      <w:color w:val="000000"/>
                      <w:kern w:val="0"/>
                      <w:szCs w:val="21"/>
                    </w:rPr>
                    <w:t>三山区经济开发区春洲路2号</w:t>
                  </w:r>
                  <w:r>
                    <w:rPr>
                      <w:rFonts w:hint="eastAsia" w:ascii="Times New Roman" w:hAnsi="宋体" w:cs="Times New Roman"/>
                      <w:color w:val="000000"/>
                      <w:kern w:val="0"/>
                      <w:szCs w:val="21"/>
                    </w:rPr>
                    <w:t>，距离长江约</w:t>
                  </w:r>
                  <w:r>
                    <w:rPr>
                      <w:rFonts w:hint="eastAsia" w:ascii="Times New Roman" w:hAnsi="宋体" w:cs="Times New Roman"/>
                      <w:color w:val="000000"/>
                      <w:kern w:val="0"/>
                      <w:szCs w:val="21"/>
                      <w:lang w:val="en-US" w:eastAsia="zh-CN"/>
                    </w:rPr>
                    <w:t>2.4公里</w:t>
                  </w:r>
                  <w:r>
                    <w:rPr>
                      <w:rFonts w:hint="eastAsia" w:ascii="Times New Roman" w:hAnsi="宋体" w:cs="Times New Roman"/>
                      <w:color w:val="000000"/>
                      <w:kern w:val="0"/>
                      <w:szCs w:val="21"/>
                    </w:rPr>
                    <w:t>，</w:t>
                  </w:r>
                  <w:r>
                    <w:rPr>
                      <w:rFonts w:hint="eastAsia" w:ascii="Times New Roman" w:hAnsi="宋体" w:cs="Times New Roman"/>
                      <w:color w:val="000000"/>
                      <w:kern w:val="0"/>
                      <w:szCs w:val="21"/>
                      <w:lang w:val="en-US" w:eastAsia="zh-CN"/>
                    </w:rPr>
                    <w:t>属于长江干流岸线三公里范围内，但本项目不属于尾矿库的项目</w:t>
                  </w:r>
                </w:p>
              </w:tc>
              <w:tc>
                <w:tcPr>
                  <w:tcW w:w="72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4380"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第六十六条 长江流域县级以上地方人民政</w:t>
                  </w:r>
                </w:p>
                <w:p>
                  <w:pPr>
                    <w:autoSpaceDE w:val="0"/>
                    <w:autoSpaceDN w:val="0"/>
                    <w:jc w:val="center"/>
                    <w:rPr>
                      <w:rFonts w:hint="eastAsia" w:hAnsi="宋体"/>
                      <w:color w:val="000000"/>
                      <w:kern w:val="0"/>
                      <w:szCs w:val="21"/>
                    </w:rPr>
                  </w:pPr>
                  <w:r>
                    <w:rPr>
                      <w:rFonts w:hint="eastAsia" w:hAnsi="宋体"/>
                      <w:color w:val="000000"/>
                      <w:kern w:val="0"/>
                      <w:szCs w:val="21"/>
                    </w:rPr>
                    <w:t>府应当推动钢铁、石油、化工、有色金属、</w:t>
                  </w:r>
                </w:p>
                <w:p>
                  <w:pPr>
                    <w:autoSpaceDE w:val="0"/>
                    <w:autoSpaceDN w:val="0"/>
                    <w:jc w:val="center"/>
                    <w:rPr>
                      <w:rFonts w:hint="eastAsia" w:hAnsi="宋体"/>
                      <w:color w:val="000000"/>
                      <w:kern w:val="0"/>
                      <w:szCs w:val="21"/>
                    </w:rPr>
                  </w:pPr>
                  <w:r>
                    <w:rPr>
                      <w:rFonts w:hint="eastAsia" w:hAnsi="宋体"/>
                      <w:color w:val="000000"/>
                      <w:kern w:val="0"/>
                      <w:szCs w:val="21"/>
                    </w:rPr>
                    <w:t>建材、船舶等产业升级改造，提升技术装备</w:t>
                  </w:r>
                </w:p>
                <w:p>
                  <w:pPr>
                    <w:autoSpaceDE w:val="0"/>
                    <w:autoSpaceDN w:val="0"/>
                    <w:jc w:val="center"/>
                    <w:rPr>
                      <w:rFonts w:hint="eastAsia" w:hAnsi="宋体"/>
                      <w:color w:val="000000"/>
                      <w:kern w:val="0"/>
                      <w:szCs w:val="21"/>
                    </w:rPr>
                  </w:pPr>
                  <w:r>
                    <w:rPr>
                      <w:rFonts w:hint="eastAsia" w:hAnsi="宋体"/>
                      <w:color w:val="000000"/>
                      <w:kern w:val="0"/>
                      <w:szCs w:val="21"/>
                    </w:rPr>
                    <w:t>水平；推动造纸、制革、电镀、印染、有色</w:t>
                  </w:r>
                </w:p>
                <w:p>
                  <w:pPr>
                    <w:autoSpaceDE w:val="0"/>
                    <w:autoSpaceDN w:val="0"/>
                    <w:jc w:val="center"/>
                    <w:rPr>
                      <w:rFonts w:hint="eastAsia" w:hAnsi="宋体"/>
                      <w:color w:val="000000"/>
                      <w:kern w:val="0"/>
                      <w:szCs w:val="21"/>
                    </w:rPr>
                  </w:pPr>
                  <w:r>
                    <w:rPr>
                      <w:rFonts w:hint="eastAsia" w:hAnsi="宋体"/>
                      <w:color w:val="000000"/>
                      <w:kern w:val="0"/>
                      <w:szCs w:val="21"/>
                    </w:rPr>
                    <w:t>金属、农药、氮肥、焦化、原料药制造等企</w:t>
                  </w:r>
                </w:p>
                <w:p>
                  <w:pPr>
                    <w:autoSpaceDE w:val="0"/>
                    <w:autoSpaceDN w:val="0"/>
                    <w:jc w:val="center"/>
                    <w:rPr>
                      <w:rFonts w:hint="eastAsia" w:hAnsi="宋体"/>
                      <w:color w:val="000000"/>
                      <w:kern w:val="0"/>
                      <w:szCs w:val="21"/>
                    </w:rPr>
                  </w:pPr>
                  <w:r>
                    <w:rPr>
                      <w:rFonts w:hint="eastAsia" w:hAnsi="宋体"/>
                      <w:color w:val="000000"/>
                      <w:kern w:val="0"/>
                      <w:szCs w:val="21"/>
                    </w:rPr>
                    <w:t>业实施清洁化改造。企业应当通过技术创新</w:t>
                  </w:r>
                </w:p>
                <w:p>
                  <w:pPr>
                    <w:autoSpaceDE w:val="0"/>
                    <w:autoSpaceDN w:val="0"/>
                    <w:jc w:val="center"/>
                    <w:rPr>
                      <w:rFonts w:hAnsi="宋体"/>
                      <w:color w:val="000000"/>
                      <w:kern w:val="0"/>
                      <w:szCs w:val="21"/>
                    </w:rPr>
                  </w:pPr>
                  <w:r>
                    <w:rPr>
                      <w:rFonts w:hint="eastAsia" w:hAnsi="宋体"/>
                      <w:color w:val="000000"/>
                      <w:kern w:val="0"/>
                      <w:szCs w:val="21"/>
                    </w:rPr>
                    <w:t>减少资源消耗和污染物排放</w:t>
                  </w:r>
                </w:p>
              </w:tc>
              <w:tc>
                <w:tcPr>
                  <w:tcW w:w="1875" w:type="dxa"/>
                  <w:vAlign w:val="center"/>
                </w:tcPr>
                <w:p>
                  <w:pPr>
                    <w:autoSpaceDE w:val="0"/>
                    <w:autoSpaceDN w:val="0"/>
                    <w:jc w:val="center"/>
                    <w:rPr>
                      <w:color w:val="000000"/>
                      <w:szCs w:val="16"/>
                    </w:rPr>
                  </w:pPr>
                  <w:r>
                    <w:rPr>
                      <w:rFonts w:hint="eastAsia" w:ascii="Times New Roman" w:hAnsi="宋体" w:cs="Times New Roman"/>
                      <w:color w:val="000000"/>
                      <w:kern w:val="0"/>
                      <w:szCs w:val="21"/>
                    </w:rPr>
                    <w:t>企业通过技术创新</w:t>
                  </w:r>
                  <w:r>
                    <w:rPr>
                      <w:rFonts w:hint="default" w:ascii="Times New Roman" w:hAnsi="宋体" w:cs="Times New Roman"/>
                      <w:color w:val="000000"/>
                      <w:kern w:val="0"/>
                      <w:szCs w:val="21"/>
                    </w:rPr>
                    <w:t>减少资源消耗和污染物排放</w:t>
                  </w:r>
                </w:p>
              </w:tc>
              <w:tc>
                <w:tcPr>
                  <w:tcW w:w="72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autoSpaceDE w:val="0"/>
              <w:autoSpaceDN w:val="0"/>
              <w:adjustRightInd w:val="0"/>
              <w:spacing w:line="360" w:lineRule="auto"/>
              <w:ind w:firstLine="480" w:firstLineChars="200"/>
              <w:jc w:val="left"/>
              <w:rPr>
                <w:rFonts w:hint="eastAsia" w:ascii="Times New Roman" w:hAnsi="Times New Roman" w:cs="Times New Roman"/>
                <w:color w:val="000000"/>
                <w:sz w:val="24"/>
              </w:rPr>
            </w:pPr>
            <w:r>
              <w:rPr>
                <w:rFonts w:hint="eastAsia" w:ascii="Times New Roman" w:hAnsi="Times New Roman" w:cs="Times New Roman"/>
                <w:color w:val="000000"/>
                <w:sz w:val="24"/>
              </w:rPr>
              <w:t>由上表可知，本项目的建设与《中华人民共和国长江保护法》中要</w:t>
            </w:r>
          </w:p>
          <w:p>
            <w:pPr>
              <w:autoSpaceDE w:val="0"/>
              <w:autoSpaceDN w:val="0"/>
              <w:adjustRightInd w:val="0"/>
              <w:spacing w:line="360" w:lineRule="auto"/>
              <w:jc w:val="left"/>
              <w:rPr>
                <w:rFonts w:hint="eastAsia" w:ascii="Times New Roman" w:hAnsi="Times New Roman" w:cs="Times New Roman"/>
                <w:color w:val="000000"/>
                <w:sz w:val="24"/>
              </w:rPr>
            </w:pPr>
            <w:r>
              <w:rPr>
                <w:rFonts w:hint="eastAsia" w:ascii="Times New Roman" w:hAnsi="Times New Roman" w:cs="Times New Roman"/>
                <w:color w:val="000000"/>
                <w:sz w:val="24"/>
              </w:rPr>
              <w:t>求相符。</w:t>
            </w:r>
          </w:p>
          <w:p>
            <w:pPr>
              <w:spacing w:line="340" w:lineRule="auto"/>
              <w:rPr>
                <w:rFonts w:hint="eastAsia"/>
                <w:b/>
                <w:color w:val="000000"/>
                <w:sz w:val="24"/>
              </w:rPr>
            </w:pPr>
            <w:r>
              <w:rPr>
                <w:rFonts w:hint="eastAsia"/>
                <w:b/>
                <w:color w:val="000000"/>
                <w:sz w:val="24"/>
              </w:rPr>
              <w:t>5、与《长江经济带发展负面清单指南（试行）》相符性分析</w:t>
            </w:r>
          </w:p>
          <w:p>
            <w:pPr>
              <w:spacing w:line="340" w:lineRule="auto"/>
              <w:jc w:val="center"/>
              <w:rPr>
                <w:rFonts w:hint="eastAsia"/>
                <w:b/>
                <w:color w:val="000000"/>
                <w:sz w:val="24"/>
              </w:rPr>
            </w:pPr>
            <w:r>
              <w:rPr>
                <w:rFonts w:hint="eastAsia"/>
                <w:b/>
                <w:color w:val="000000"/>
                <w:sz w:val="24"/>
              </w:rPr>
              <w:t>表 1-5 “长江经济带发展负面清单指南（试行）”符合性分析一览表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8"/>
              <w:gridCol w:w="4089"/>
              <w:gridCol w:w="2399"/>
              <w:gridCol w:w="4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65" w:type="dxa"/>
                  <w:vAlign w:val="center"/>
                </w:tcPr>
                <w:p>
                  <w:pPr>
                    <w:autoSpaceDE w:val="0"/>
                    <w:autoSpaceDN w:val="0"/>
                    <w:spacing w:line="360" w:lineRule="auto"/>
                    <w:jc w:val="both"/>
                    <w:rPr>
                      <w:rFonts w:ascii="Times New Roman" w:hAnsi="宋体" w:eastAsia="宋体" w:cs="Times New Roman"/>
                      <w:b/>
                      <w:color w:val="000000"/>
                      <w:kern w:val="0"/>
                      <w:sz w:val="21"/>
                      <w:szCs w:val="21"/>
                      <w:lang w:val="en-US" w:eastAsia="zh-CN" w:bidi="ar-SA"/>
                    </w:rPr>
                  </w:pPr>
                  <w:r>
                    <w:rPr>
                      <w:rFonts w:hAnsi="宋体"/>
                      <w:b/>
                      <w:color w:val="000000"/>
                      <w:kern w:val="0"/>
                      <w:szCs w:val="21"/>
                    </w:rPr>
                    <w:t>序号</w:t>
                  </w:r>
                </w:p>
              </w:tc>
              <w:tc>
                <w:tcPr>
                  <w:tcW w:w="4065" w:type="dxa"/>
                  <w:vAlign w:val="center"/>
                </w:tcPr>
                <w:p>
                  <w:pPr>
                    <w:autoSpaceDE w:val="0"/>
                    <w:autoSpaceDN w:val="0"/>
                    <w:spacing w:line="360" w:lineRule="auto"/>
                    <w:jc w:val="center"/>
                    <w:rPr>
                      <w:rFonts w:hint="default" w:ascii="Times New Roman" w:hAnsi="宋体" w:eastAsia="宋体" w:cs="Times New Roman"/>
                      <w:b/>
                      <w:color w:val="000000"/>
                      <w:kern w:val="0"/>
                      <w:sz w:val="21"/>
                      <w:szCs w:val="21"/>
                      <w:lang w:val="en-US" w:eastAsia="zh-CN" w:bidi="ar-SA"/>
                    </w:rPr>
                  </w:pPr>
                  <w:r>
                    <w:rPr>
                      <w:rFonts w:hint="eastAsia" w:hAnsi="宋体"/>
                      <w:b/>
                      <w:color w:val="000000"/>
                      <w:kern w:val="0"/>
                      <w:szCs w:val="21"/>
                      <w:lang w:val="en-US" w:eastAsia="zh-CN"/>
                    </w:rPr>
                    <w:t>文件要求</w:t>
                  </w:r>
                </w:p>
              </w:tc>
              <w:tc>
                <w:tcPr>
                  <w:tcW w:w="2385" w:type="dxa"/>
                  <w:vAlign w:val="center"/>
                </w:tcPr>
                <w:p>
                  <w:pPr>
                    <w:autoSpaceDE w:val="0"/>
                    <w:autoSpaceDN w:val="0"/>
                    <w:spacing w:line="360" w:lineRule="auto"/>
                    <w:jc w:val="center"/>
                    <w:rPr>
                      <w:rFonts w:ascii="Times New Roman" w:hAnsi="宋体" w:eastAsia="宋体" w:cs="Times New Roman"/>
                      <w:b/>
                      <w:color w:val="000000"/>
                      <w:kern w:val="0"/>
                      <w:sz w:val="21"/>
                      <w:szCs w:val="21"/>
                      <w:lang w:val="en-US" w:eastAsia="zh-CN" w:bidi="ar-SA"/>
                    </w:rPr>
                  </w:pPr>
                  <w:r>
                    <w:rPr>
                      <w:rFonts w:hint="eastAsia" w:hAnsi="宋体"/>
                      <w:b/>
                      <w:color w:val="000000"/>
                      <w:kern w:val="0"/>
                      <w:szCs w:val="21"/>
                    </w:rPr>
                    <w:t>本项目相符性分析</w:t>
                  </w:r>
                </w:p>
              </w:tc>
              <w:tc>
                <w:tcPr>
                  <w:tcW w:w="495" w:type="dxa"/>
                  <w:vAlign w:val="center"/>
                </w:tcPr>
                <w:p>
                  <w:pPr>
                    <w:autoSpaceDE w:val="0"/>
                    <w:autoSpaceDN w:val="0"/>
                    <w:spacing w:line="360" w:lineRule="auto"/>
                    <w:jc w:val="center"/>
                    <w:rPr>
                      <w:rFonts w:ascii="Times New Roman" w:hAnsi="宋体" w:eastAsia="宋体" w:cs="Times New Roman"/>
                      <w:b/>
                      <w:color w:val="000000"/>
                      <w:kern w:val="0"/>
                      <w:sz w:val="21"/>
                      <w:szCs w:val="21"/>
                      <w:lang w:val="en-US" w:eastAsia="zh-CN" w:bidi="ar-SA"/>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6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禁止建设不符合全国和省级港口布局规划以及港口总体现划的码头项目，禁止建设不符合《长江干线过江通道布局规划》的过长江通道项目</w:t>
                  </w:r>
                </w:p>
              </w:tc>
              <w:tc>
                <w:tcPr>
                  <w:tcW w:w="2385" w:type="dxa"/>
                  <w:vAlign w:val="center"/>
                </w:tcPr>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本项目不属于码头项目和过长江通道项目</w:t>
                  </w:r>
                </w:p>
              </w:tc>
              <w:tc>
                <w:tcPr>
                  <w:tcW w:w="49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Ansi="宋体"/>
                      <w:color w:val="000000"/>
                      <w:kern w:val="0"/>
                      <w:szCs w:val="21"/>
                    </w:rPr>
                  </w:pPr>
                  <w:r>
                    <w:rPr>
                      <w:rFonts w:hint="eastAsia" w:hAnsi="宋体"/>
                      <w:color w:val="000000"/>
                      <w:kern w:val="0"/>
                      <w:szCs w:val="21"/>
                    </w:rPr>
                    <w:t>2</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禁止在自然保护区核心区、缓冲区的岸线</w:t>
                  </w:r>
                </w:p>
                <w:p>
                  <w:pPr>
                    <w:autoSpaceDE w:val="0"/>
                    <w:autoSpaceDN w:val="0"/>
                    <w:jc w:val="center"/>
                    <w:rPr>
                      <w:rFonts w:hAnsi="宋体"/>
                      <w:color w:val="000000"/>
                      <w:kern w:val="0"/>
                      <w:szCs w:val="21"/>
                    </w:rPr>
                  </w:pPr>
                  <w:r>
                    <w:rPr>
                      <w:rFonts w:hint="eastAsia" w:hAnsi="宋体"/>
                      <w:color w:val="000000"/>
                      <w:kern w:val="0"/>
                      <w:szCs w:val="21"/>
                    </w:rPr>
                    <w:t>和河段范围内投资建设旅游和生产经营项目。禁止在风景名胜区核心景区的岸线和河段范围内投资建设与风景名胜资源保护无关的项目</w:t>
                  </w:r>
                </w:p>
              </w:tc>
              <w:tc>
                <w:tcPr>
                  <w:tcW w:w="2385" w:type="dxa"/>
                  <w:vAlign w:val="center"/>
                </w:tcPr>
                <w:p>
                  <w:pPr>
                    <w:autoSpaceDE w:val="0"/>
                    <w:autoSpaceDN w:val="0"/>
                    <w:jc w:val="center"/>
                    <w:rPr>
                      <w:color w:val="000000"/>
                      <w:szCs w:val="16"/>
                    </w:rPr>
                  </w:pPr>
                  <w:r>
                    <w:rPr>
                      <w:rFonts w:hint="eastAsia"/>
                      <w:color w:val="000000"/>
                      <w:szCs w:val="16"/>
                    </w:rPr>
                    <w:t>本项目不在自然保护区核心区、缓冲区的岸线和河段范围内和风景名胜区核心景区的岸线和河段范围内</w:t>
                  </w:r>
                </w:p>
              </w:tc>
              <w:tc>
                <w:tcPr>
                  <w:tcW w:w="495"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3</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2385" w:type="dxa"/>
                  <w:vAlign w:val="center"/>
                </w:tcPr>
                <w:p>
                  <w:pPr>
                    <w:autoSpaceDE w:val="0"/>
                    <w:autoSpaceDN w:val="0"/>
                    <w:jc w:val="center"/>
                    <w:rPr>
                      <w:color w:val="000000"/>
                      <w:szCs w:val="16"/>
                    </w:rPr>
                  </w:pPr>
                  <w:r>
                    <w:rPr>
                      <w:rFonts w:hint="eastAsia"/>
                      <w:color w:val="000000"/>
                      <w:szCs w:val="16"/>
                    </w:rPr>
                    <w:t>本项目不在饮用水水源一级保护区的岸线和河段范围内和饮用水水源二级保护区的岸线和河段范围内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4</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2385" w:type="dxa"/>
                  <w:vAlign w:val="center"/>
                </w:tcPr>
                <w:p>
                  <w:pPr>
                    <w:autoSpaceDE w:val="0"/>
                    <w:autoSpaceDN w:val="0"/>
                    <w:jc w:val="center"/>
                    <w:rPr>
                      <w:color w:val="000000"/>
                      <w:szCs w:val="16"/>
                    </w:rPr>
                  </w:pPr>
                  <w:r>
                    <w:rPr>
                      <w:rFonts w:hint="eastAsia"/>
                      <w:color w:val="000000"/>
                      <w:szCs w:val="16"/>
                    </w:rPr>
                    <w:t>本项目不在水产种质资源保护区的岸线和河段范围内和国家湿地公园的岸线和河段范围内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5</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禁止在《长江岸线保护和开发利用总体规</w:t>
                  </w:r>
                </w:p>
                <w:p>
                  <w:pPr>
                    <w:autoSpaceDE w:val="0"/>
                    <w:autoSpaceDN w:val="0"/>
                    <w:jc w:val="center"/>
                    <w:rPr>
                      <w:rFonts w:hint="eastAsia" w:hAnsi="宋体"/>
                      <w:color w:val="000000"/>
                      <w:kern w:val="0"/>
                      <w:szCs w:val="21"/>
                    </w:rPr>
                  </w:pPr>
                  <w:r>
                    <w:rPr>
                      <w:rFonts w:hint="eastAsia" w:hAnsi="宋体"/>
                      <w:color w:val="000000"/>
                      <w:kern w:val="0"/>
                      <w:szCs w:val="21"/>
                    </w:rPr>
                    <w:t>划》划定的岸线保护区内投资建设除保障</w:t>
                  </w:r>
                </w:p>
                <w:p>
                  <w:pPr>
                    <w:autoSpaceDE w:val="0"/>
                    <w:autoSpaceDN w:val="0"/>
                    <w:jc w:val="center"/>
                    <w:rPr>
                      <w:rFonts w:hint="eastAsia" w:hAnsi="宋体"/>
                      <w:color w:val="000000"/>
                      <w:kern w:val="0"/>
                      <w:szCs w:val="21"/>
                    </w:rPr>
                  </w:pPr>
                  <w:r>
                    <w:rPr>
                      <w:rFonts w:hint="eastAsia" w:hAnsi="宋体"/>
                      <w:color w:val="000000"/>
                      <w:kern w:val="0"/>
                      <w:szCs w:val="21"/>
                    </w:rPr>
                    <w:t>防洪安全、河势稳定、供水安全以及保护</w:t>
                  </w:r>
                </w:p>
                <w:p>
                  <w:pPr>
                    <w:autoSpaceDE w:val="0"/>
                    <w:autoSpaceDN w:val="0"/>
                    <w:jc w:val="center"/>
                    <w:rPr>
                      <w:rFonts w:hAnsi="宋体"/>
                      <w:color w:val="000000"/>
                      <w:kern w:val="0"/>
                      <w:szCs w:val="21"/>
                    </w:rPr>
                  </w:pPr>
                  <w:r>
                    <w:rPr>
                      <w:rFonts w:hint="eastAsia" w:hAnsi="宋体"/>
                      <w:color w:val="000000"/>
                      <w:kern w:val="0"/>
                      <w:szCs w:val="21"/>
                    </w:rPr>
                    <w:t>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2385" w:type="dxa"/>
                  <w:vAlign w:val="center"/>
                </w:tcPr>
                <w:p>
                  <w:pPr>
                    <w:autoSpaceDE w:val="0"/>
                    <w:autoSpaceDN w:val="0"/>
                    <w:jc w:val="center"/>
                    <w:rPr>
                      <w:color w:val="000000"/>
                      <w:szCs w:val="16"/>
                    </w:rPr>
                  </w:pPr>
                  <w:r>
                    <w:rPr>
                      <w:rFonts w:hint="eastAsia"/>
                      <w:color w:val="000000"/>
                      <w:szCs w:val="16"/>
                    </w:rPr>
                    <w:t>本项目不在《长江岸线保护和开发利用总体规划》划定的岸线保护区内和《全国重要江河湖泊水功能区划》划定的河段保护区、保留区内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6</w:t>
                  </w:r>
                </w:p>
              </w:tc>
              <w:tc>
                <w:tcPr>
                  <w:tcW w:w="4065" w:type="dxa"/>
                  <w:vAlign w:val="center"/>
                </w:tcPr>
                <w:p>
                  <w:pPr>
                    <w:autoSpaceDE w:val="0"/>
                    <w:autoSpaceDN w:val="0"/>
                    <w:jc w:val="center"/>
                    <w:rPr>
                      <w:rFonts w:hAnsi="宋体"/>
                      <w:color w:val="000000"/>
                      <w:kern w:val="0"/>
                      <w:szCs w:val="21"/>
                    </w:rPr>
                  </w:pPr>
                  <w:r>
                    <w:rPr>
                      <w:rFonts w:hint="eastAsia" w:hAnsi="宋体"/>
                      <w:color w:val="000000"/>
                      <w:kern w:val="0"/>
                      <w:szCs w:val="21"/>
                    </w:rPr>
                    <w:t>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2385" w:type="dxa"/>
                  <w:vAlign w:val="center"/>
                </w:tcPr>
                <w:p>
                  <w:pPr>
                    <w:autoSpaceDE w:val="0"/>
                    <w:autoSpaceDN w:val="0"/>
                    <w:jc w:val="center"/>
                    <w:rPr>
                      <w:color w:val="000000"/>
                      <w:szCs w:val="16"/>
                    </w:rPr>
                  </w:pPr>
                  <w:r>
                    <w:rPr>
                      <w:rFonts w:hint="eastAsia"/>
                      <w:color w:val="000000"/>
                      <w:szCs w:val="16"/>
                    </w:rPr>
                    <w:t>本项目不在生态保护红线和永久基本农田范围内</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7</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禁止在长江干流岸线三公里范围内和重要支流岸线一公里范围内新建、改建、扩建尾矿库；但是以提升安全、生态环境保护水平为目的的改建除外</w:t>
                  </w:r>
                </w:p>
              </w:tc>
              <w:tc>
                <w:tcPr>
                  <w:tcW w:w="2385" w:type="dxa"/>
                  <w:vAlign w:val="center"/>
                </w:tcPr>
                <w:p>
                  <w:pPr>
                    <w:autoSpaceDE w:val="0"/>
                    <w:autoSpaceDN w:val="0"/>
                    <w:jc w:val="center"/>
                    <w:rPr>
                      <w:rFonts w:hint="default" w:eastAsia="宋体"/>
                      <w:color w:val="000000"/>
                      <w:szCs w:val="16"/>
                      <w:lang w:val="en-US" w:eastAsia="zh-CN"/>
                    </w:rPr>
                  </w:pPr>
                  <w:r>
                    <w:rPr>
                      <w:rFonts w:hint="eastAsia"/>
                      <w:color w:val="000000"/>
                      <w:szCs w:val="16"/>
                    </w:rPr>
                    <w:t>本项目</w:t>
                  </w:r>
                  <w:r>
                    <w:rPr>
                      <w:rFonts w:hint="eastAsia"/>
                      <w:color w:val="000000"/>
                      <w:szCs w:val="16"/>
                      <w:lang w:val="en-US" w:eastAsia="zh-CN"/>
                    </w:rPr>
                    <w:t>不属于尾矿库</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8</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禁止新建、扩建不符合国家石化、现代煤</w:t>
                  </w:r>
                </w:p>
                <w:p>
                  <w:pPr>
                    <w:autoSpaceDE w:val="0"/>
                    <w:autoSpaceDN w:val="0"/>
                    <w:jc w:val="center"/>
                    <w:rPr>
                      <w:rFonts w:hint="eastAsia" w:hAnsi="宋体"/>
                      <w:color w:val="000000"/>
                      <w:kern w:val="0"/>
                      <w:szCs w:val="21"/>
                    </w:rPr>
                  </w:pPr>
                  <w:r>
                    <w:rPr>
                      <w:rFonts w:hint="eastAsia" w:hAnsi="宋体"/>
                      <w:color w:val="000000"/>
                      <w:kern w:val="0"/>
                      <w:szCs w:val="21"/>
                    </w:rPr>
                    <w:t>化工等产业布局规划的项目</w:t>
                  </w:r>
                </w:p>
              </w:tc>
              <w:tc>
                <w:tcPr>
                  <w:tcW w:w="2385" w:type="dxa"/>
                  <w:vAlign w:val="center"/>
                </w:tcPr>
                <w:p>
                  <w:pPr>
                    <w:autoSpaceDE w:val="0"/>
                    <w:autoSpaceDN w:val="0"/>
                    <w:jc w:val="center"/>
                    <w:rPr>
                      <w:color w:val="000000"/>
                      <w:szCs w:val="16"/>
                    </w:rPr>
                  </w:pPr>
                  <w:r>
                    <w:rPr>
                      <w:rFonts w:hint="eastAsia"/>
                      <w:color w:val="000000"/>
                      <w:szCs w:val="16"/>
                    </w:rPr>
                    <w:t>本项目不属于石化、现代煤化工等项目</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eastAsia" w:hAnsi="宋体" w:eastAsia="宋体"/>
                      <w:color w:val="000000"/>
                      <w:kern w:val="0"/>
                      <w:szCs w:val="21"/>
                      <w:lang w:val="en-US" w:eastAsia="zh-CN"/>
                    </w:rPr>
                  </w:pPr>
                  <w:r>
                    <w:rPr>
                      <w:rFonts w:hint="eastAsia" w:hAnsi="宋体"/>
                      <w:color w:val="000000"/>
                      <w:kern w:val="0"/>
                      <w:szCs w:val="21"/>
                      <w:lang w:val="en-US" w:eastAsia="zh-CN"/>
                    </w:rPr>
                    <w:t>9</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禁止新建、扩建法律法规和相关政策明令</w:t>
                  </w:r>
                </w:p>
                <w:p>
                  <w:pPr>
                    <w:autoSpaceDE w:val="0"/>
                    <w:autoSpaceDN w:val="0"/>
                    <w:jc w:val="center"/>
                    <w:rPr>
                      <w:rFonts w:hint="eastAsia" w:hAnsi="宋体"/>
                      <w:color w:val="000000"/>
                      <w:kern w:val="0"/>
                      <w:szCs w:val="21"/>
                    </w:rPr>
                  </w:pPr>
                  <w:r>
                    <w:rPr>
                      <w:rFonts w:hint="eastAsia" w:hAnsi="宋体"/>
                      <w:color w:val="000000"/>
                      <w:kern w:val="0"/>
                      <w:szCs w:val="21"/>
                    </w:rPr>
                    <w:t>禁止的落后产能项目</w:t>
                  </w:r>
                </w:p>
              </w:tc>
              <w:tc>
                <w:tcPr>
                  <w:tcW w:w="2385" w:type="dxa"/>
                  <w:vAlign w:val="center"/>
                </w:tcPr>
                <w:p>
                  <w:pPr>
                    <w:autoSpaceDE w:val="0"/>
                    <w:autoSpaceDN w:val="0"/>
                    <w:jc w:val="center"/>
                    <w:rPr>
                      <w:color w:val="000000"/>
                      <w:szCs w:val="16"/>
                    </w:rPr>
                  </w:pPr>
                  <w:r>
                    <w:rPr>
                      <w:rFonts w:hint="eastAsia"/>
                      <w:color w:val="000000"/>
                      <w:szCs w:val="16"/>
                    </w:rPr>
                    <w:t>对照《产业结构调整指导目录（2019 年本）》，本项目不属于鼓励类，也非限制类和淘汰类，为允许类，因此，本项目的建设符合国家的产业结构调整指导目录要求</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5" w:hRule="atLeast"/>
              </w:trPr>
              <w:tc>
                <w:tcPr>
                  <w:tcW w:w="465" w:type="dxa"/>
                  <w:vAlign w:val="center"/>
                </w:tcPr>
                <w:p>
                  <w:pPr>
                    <w:autoSpaceDE w:val="0"/>
                    <w:autoSpaceDN w:val="0"/>
                    <w:jc w:val="center"/>
                    <w:rPr>
                      <w:rFonts w:hint="default" w:hAnsi="宋体" w:eastAsia="宋体"/>
                      <w:color w:val="000000"/>
                      <w:kern w:val="0"/>
                      <w:szCs w:val="21"/>
                      <w:lang w:val="en-US" w:eastAsia="zh-CN"/>
                    </w:rPr>
                  </w:pPr>
                  <w:r>
                    <w:rPr>
                      <w:rFonts w:hint="eastAsia" w:hAnsi="宋体"/>
                      <w:color w:val="000000"/>
                      <w:kern w:val="0"/>
                      <w:szCs w:val="21"/>
                      <w:lang w:val="en-US" w:eastAsia="zh-CN"/>
                    </w:rPr>
                    <w:t>10</w:t>
                  </w:r>
                </w:p>
              </w:tc>
              <w:tc>
                <w:tcPr>
                  <w:tcW w:w="4065"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禁止新建、扩建不符合国家产能置换要求</w:t>
                  </w:r>
                </w:p>
                <w:p>
                  <w:pPr>
                    <w:autoSpaceDE w:val="0"/>
                    <w:autoSpaceDN w:val="0"/>
                    <w:jc w:val="center"/>
                    <w:rPr>
                      <w:rFonts w:hint="eastAsia" w:hAnsi="宋体"/>
                      <w:color w:val="000000"/>
                      <w:kern w:val="0"/>
                      <w:szCs w:val="21"/>
                    </w:rPr>
                  </w:pPr>
                  <w:r>
                    <w:rPr>
                      <w:rFonts w:hint="eastAsia" w:hAnsi="宋体"/>
                      <w:color w:val="000000"/>
                      <w:kern w:val="0"/>
                      <w:szCs w:val="21"/>
                    </w:rPr>
                    <w:t>的严重过剩产能行业的项目</w:t>
                  </w:r>
                </w:p>
              </w:tc>
              <w:tc>
                <w:tcPr>
                  <w:tcW w:w="2385" w:type="dxa"/>
                  <w:vAlign w:val="center"/>
                </w:tcPr>
                <w:p>
                  <w:pPr>
                    <w:autoSpaceDE w:val="0"/>
                    <w:autoSpaceDN w:val="0"/>
                    <w:jc w:val="center"/>
                    <w:rPr>
                      <w:rFonts w:hint="eastAsia"/>
                      <w:color w:val="000000"/>
                      <w:szCs w:val="16"/>
                    </w:rPr>
                  </w:pPr>
                  <w:r>
                    <w:rPr>
                      <w:rFonts w:hint="eastAsia"/>
                      <w:color w:val="000000"/>
                      <w:szCs w:val="16"/>
                    </w:rPr>
                    <w:t>本项目不属于国家产能置换要求的严重过剩产能行业的项目</w:t>
                  </w:r>
                </w:p>
              </w:tc>
              <w:tc>
                <w:tcPr>
                  <w:tcW w:w="495" w:type="dxa"/>
                  <w:vAlign w:val="center"/>
                </w:tcPr>
                <w:p>
                  <w:pPr>
                    <w:autoSpaceDE w:val="0"/>
                    <w:autoSpaceDN w:val="0"/>
                    <w:spacing w:line="360" w:lineRule="auto"/>
                    <w:jc w:val="center"/>
                    <w:rPr>
                      <w:rFonts w:ascii="Times New Roman" w:hAnsi="宋体" w:eastAsia="宋体" w:cs="Times New Roman"/>
                      <w:color w:val="000000"/>
                      <w:kern w:val="0"/>
                      <w:sz w:val="21"/>
                      <w:szCs w:val="21"/>
                      <w:lang w:val="en-US" w:eastAsia="zh-CN" w:bidi="ar-SA"/>
                    </w:rPr>
                  </w:pPr>
                  <w:r>
                    <w:rPr>
                      <w:rFonts w:hAnsi="宋体"/>
                      <w:color w:val="000000"/>
                      <w:kern w:val="0"/>
                      <w:szCs w:val="21"/>
                    </w:rPr>
                    <w:t>相符</w:t>
                  </w:r>
                </w:p>
              </w:tc>
            </w:tr>
          </w:tbl>
          <w:p>
            <w:pPr>
              <w:spacing w:line="340" w:lineRule="auto"/>
              <w:rPr>
                <w:rFonts w:hint="eastAsia"/>
                <w:b/>
                <w:color w:val="000000"/>
                <w:sz w:val="24"/>
              </w:rPr>
            </w:pPr>
          </w:p>
          <w:p>
            <w:pPr>
              <w:spacing w:line="340" w:lineRule="auto"/>
              <w:rPr>
                <w:rFonts w:hint="eastAsia"/>
                <w:b/>
                <w:color w:val="000000"/>
                <w:sz w:val="24"/>
              </w:rPr>
            </w:pPr>
            <w:r>
              <w:rPr>
                <w:rFonts w:hint="eastAsia"/>
                <w:b/>
                <w:color w:val="000000"/>
                <w:sz w:val="24"/>
              </w:rPr>
              <w:t>6、与《安徽省2021 年应对气候变化和大气污染防治重点工作任务》</w:t>
            </w:r>
          </w:p>
          <w:p>
            <w:pPr>
              <w:spacing w:line="340" w:lineRule="auto"/>
              <w:rPr>
                <w:rFonts w:hint="eastAsia"/>
                <w:b/>
                <w:color w:val="000000"/>
                <w:sz w:val="24"/>
              </w:rPr>
            </w:pPr>
            <w:r>
              <w:rPr>
                <w:rFonts w:hint="eastAsia"/>
                <w:b/>
                <w:color w:val="000000"/>
                <w:sz w:val="24"/>
              </w:rPr>
              <w:t>相符性分析</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表 1-6“安徽省 2021 年应对气候变化和大气污染防治重点工作任务”符合性分析一览表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4315"/>
              <w:gridCol w:w="2248"/>
              <w:gridCol w:w="4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29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223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45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290" w:type="dxa"/>
                  <w:vAlign w:val="center"/>
                </w:tcPr>
                <w:p>
                  <w:pPr>
                    <w:autoSpaceDE w:val="0"/>
                    <w:autoSpaceDN w:val="0"/>
                    <w:jc w:val="center"/>
                    <w:rPr>
                      <w:rFonts w:hint="eastAsia" w:hAnsi="宋体"/>
                      <w:color w:val="000000"/>
                      <w:kern w:val="0"/>
                      <w:szCs w:val="21"/>
                    </w:rPr>
                  </w:pPr>
                  <w:r>
                    <w:rPr>
                      <w:rFonts w:hint="eastAsia" w:hAnsi="宋体"/>
                      <w:color w:val="000000"/>
                      <w:kern w:val="0"/>
                      <w:szCs w:val="21"/>
                    </w:rPr>
                    <w:t>6.优化产业结构及布局。对标节能减排要求和碳达峰碳中和目标，坚决遏制高耗能高排放项目盲目发展。提高新建项目节能环保准入标准，加大落后和过剩产能压减力度。严格执行国家高耗能、高污染和高资源型行业准入条件，钢铁、水泥熟料、平板玻璃、焦化等新、扩建项目严格实施产能置换，未纳入国家规划的炼油、煤化工等项目不再新建。加快推动沿江地区制造业绿色发展，形成一批国内领先的绿色工厂、绿色产品、绿色园区、绿色供应链。以清洁生产一级水平为</w:t>
                  </w:r>
                </w:p>
                <w:p>
                  <w:pPr>
                    <w:autoSpaceDE w:val="0"/>
                    <w:autoSpaceDN w:val="0"/>
                    <w:jc w:val="center"/>
                    <w:rPr>
                      <w:rFonts w:hAnsi="宋体"/>
                      <w:color w:val="000000"/>
                      <w:kern w:val="0"/>
                      <w:szCs w:val="21"/>
                    </w:rPr>
                  </w:pPr>
                  <w:r>
                    <w:rPr>
                      <w:rFonts w:hint="eastAsia" w:hAnsi="宋体"/>
                      <w:color w:val="000000"/>
                      <w:kern w:val="0"/>
                      <w:szCs w:val="21"/>
                    </w:rPr>
                    <w:t>标杆，加快传统产业技术改造，推动我省长三角中心区内 8 市钢铁、石化、有色金属、建材、船舶、纺织印染、酿造等传统产业绿色转型。严格按照《产业结构调整指导目录》，支持发展先进产能，依法淘汰落后产能，建立“散乱污”企业动态管理机制，坚决杜绝“散乱污”企业异地转移，严防死灰复燃</w:t>
                  </w:r>
                </w:p>
              </w:tc>
              <w:tc>
                <w:tcPr>
                  <w:tcW w:w="2235" w:type="dxa"/>
                  <w:vAlign w:val="center"/>
                </w:tcPr>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对照《产业结构调整</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指导目录（2019 年</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本）》，本项目不属</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于鼓励类，也非限制</w:t>
                  </w:r>
                </w:p>
                <w:p>
                  <w:pPr>
                    <w:autoSpaceDE w:val="0"/>
                    <w:autoSpaceDN w:val="0"/>
                    <w:jc w:val="center"/>
                    <w:rPr>
                      <w:rFonts w:hint="eastAsia"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类和淘汰类，为允许</w:t>
                  </w:r>
                </w:p>
                <w:p>
                  <w:pPr>
                    <w:autoSpaceDE w:val="0"/>
                    <w:autoSpaceDN w:val="0"/>
                    <w:jc w:val="center"/>
                    <w:rPr>
                      <w:rFonts w:hAnsi="宋体"/>
                      <w:color w:val="0D0D0D" w:themeColor="text1" w:themeTint="F2"/>
                      <w:kern w:val="0"/>
                      <w:szCs w:val="21"/>
                      <w14:textFill>
                        <w14:solidFill>
                          <w14:schemeClr w14:val="tx1">
                            <w14:lumMod w14:val="95000"/>
                            <w14:lumOff w14:val="5000"/>
                          </w14:schemeClr>
                        </w14:solidFill>
                      </w14:textFill>
                    </w:rPr>
                  </w:pPr>
                  <w:r>
                    <w:rPr>
                      <w:rFonts w:hint="eastAsia" w:hAnsi="宋体"/>
                      <w:color w:val="0D0D0D" w:themeColor="text1" w:themeTint="F2"/>
                      <w:kern w:val="0"/>
                      <w:szCs w:val="21"/>
                      <w14:textFill>
                        <w14:solidFill>
                          <w14:schemeClr w14:val="tx1">
                            <w14:lumMod w14:val="95000"/>
                            <w14:lumOff w14:val="5000"/>
                          </w14:schemeClr>
                        </w14:solidFill>
                      </w14:textFill>
                    </w:rPr>
                    <w:t>类</w:t>
                  </w:r>
                </w:p>
              </w:tc>
              <w:tc>
                <w:tcPr>
                  <w:tcW w:w="45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rPr>
                <w:rFonts w:hint="eastAsia"/>
                <w:b/>
                <w:color w:val="000000"/>
                <w:sz w:val="24"/>
              </w:rPr>
            </w:pPr>
          </w:p>
          <w:p>
            <w:pPr>
              <w:spacing w:line="340" w:lineRule="auto"/>
              <w:rPr>
                <w:rFonts w:hint="eastAsia" w:ascii="Times New Roman" w:hAnsi="Times New Roman" w:cs="Times New Roman"/>
                <w:b/>
                <w:color w:val="000000"/>
                <w:sz w:val="24"/>
              </w:rPr>
            </w:pPr>
            <w:r>
              <w:rPr>
                <w:rFonts w:hint="eastAsia" w:ascii="Times New Roman" w:hAnsi="Times New Roman" w:cs="Times New Roman"/>
                <w:b/>
                <w:color w:val="000000"/>
                <w:sz w:val="24"/>
                <w:lang w:val="en-US" w:eastAsia="zh-CN"/>
              </w:rPr>
              <w:t>7、</w:t>
            </w:r>
            <w:r>
              <w:rPr>
                <w:rFonts w:hint="eastAsia" w:ascii="Times New Roman" w:hAnsi="Times New Roman" w:cs="Times New Roman"/>
                <w:b/>
                <w:color w:val="000000"/>
                <w:sz w:val="24"/>
              </w:rPr>
              <w:t>与《安徽省生态环境厅关于印发加强高耗能、高排放项目生态环境源头防控的实施意见的通知》相符性分析</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表 1-7“安徽省生态环境厅关于印发加强高耗能、高排放项目生态环境</w:t>
            </w:r>
          </w:p>
          <w:p>
            <w:pPr>
              <w:spacing w:line="340" w:lineRule="auto"/>
              <w:jc w:val="center"/>
              <w:rPr>
                <w:rFonts w:hint="eastAsia" w:ascii="Times New Roman" w:hAnsi="Times New Roman" w:cs="Times New Roman"/>
                <w:b/>
                <w:color w:val="000000"/>
                <w:sz w:val="24"/>
              </w:rPr>
            </w:pPr>
            <w:r>
              <w:rPr>
                <w:rFonts w:hint="eastAsia" w:ascii="Times New Roman" w:hAnsi="Times New Roman" w:cs="Times New Roman"/>
                <w:b/>
                <w:color w:val="000000"/>
                <w:sz w:val="24"/>
              </w:rPr>
              <w:t>源头防控的实施意见的通知”符合性分析一览表</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38"/>
              <w:gridCol w:w="4315"/>
              <w:gridCol w:w="2248"/>
              <w:gridCol w:w="4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5"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序号</w:t>
                  </w:r>
                </w:p>
              </w:tc>
              <w:tc>
                <w:tcPr>
                  <w:tcW w:w="4290" w:type="dxa"/>
                  <w:vAlign w:val="center"/>
                </w:tcPr>
                <w:p>
                  <w:pPr>
                    <w:autoSpaceDE w:val="0"/>
                    <w:autoSpaceDN w:val="0"/>
                    <w:spacing w:line="360" w:lineRule="auto"/>
                    <w:jc w:val="center"/>
                    <w:rPr>
                      <w:rFonts w:hint="default" w:hAnsi="宋体" w:eastAsia="宋体"/>
                      <w:b/>
                      <w:color w:val="000000"/>
                      <w:kern w:val="0"/>
                      <w:szCs w:val="21"/>
                      <w:lang w:val="en-US" w:eastAsia="zh-CN"/>
                    </w:rPr>
                  </w:pPr>
                  <w:r>
                    <w:rPr>
                      <w:rFonts w:hint="eastAsia" w:hAnsi="宋体"/>
                      <w:b/>
                      <w:color w:val="000000"/>
                      <w:kern w:val="0"/>
                      <w:szCs w:val="21"/>
                      <w:lang w:val="en-US" w:eastAsia="zh-CN"/>
                    </w:rPr>
                    <w:t>文件要求</w:t>
                  </w:r>
                </w:p>
              </w:tc>
              <w:tc>
                <w:tcPr>
                  <w:tcW w:w="2235" w:type="dxa"/>
                  <w:vAlign w:val="center"/>
                </w:tcPr>
                <w:p>
                  <w:pPr>
                    <w:autoSpaceDE w:val="0"/>
                    <w:autoSpaceDN w:val="0"/>
                    <w:spacing w:line="360" w:lineRule="auto"/>
                    <w:jc w:val="center"/>
                    <w:rPr>
                      <w:rFonts w:hAnsi="宋体"/>
                      <w:b/>
                      <w:color w:val="000000"/>
                      <w:kern w:val="0"/>
                      <w:szCs w:val="21"/>
                    </w:rPr>
                  </w:pPr>
                  <w:r>
                    <w:rPr>
                      <w:rFonts w:hint="eastAsia" w:hAnsi="宋体"/>
                      <w:b/>
                      <w:color w:val="000000"/>
                      <w:kern w:val="0"/>
                      <w:szCs w:val="21"/>
                    </w:rPr>
                    <w:t>本项目相符性分析</w:t>
                  </w:r>
                </w:p>
              </w:tc>
              <w:tc>
                <w:tcPr>
                  <w:tcW w:w="450" w:type="dxa"/>
                  <w:vAlign w:val="center"/>
                </w:tcPr>
                <w:p>
                  <w:pPr>
                    <w:autoSpaceDE w:val="0"/>
                    <w:autoSpaceDN w:val="0"/>
                    <w:spacing w:line="360" w:lineRule="auto"/>
                    <w:jc w:val="center"/>
                    <w:rPr>
                      <w:rFonts w:hAnsi="宋体"/>
                      <w:b/>
                      <w:color w:val="000000"/>
                      <w:kern w:val="0"/>
                      <w:szCs w:val="21"/>
                    </w:rPr>
                  </w:pPr>
                  <w:r>
                    <w:rPr>
                      <w:rFonts w:hAnsi="宋体"/>
                      <w:b/>
                      <w:color w:val="000000"/>
                      <w:kern w:val="0"/>
                      <w:szCs w:val="21"/>
                    </w:rPr>
                    <w:t>相符性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15" w:hRule="atLeast"/>
              </w:trPr>
              <w:tc>
                <w:tcPr>
                  <w:tcW w:w="435" w:type="dxa"/>
                  <w:vAlign w:val="center"/>
                </w:tcPr>
                <w:p>
                  <w:pPr>
                    <w:autoSpaceDE w:val="0"/>
                    <w:autoSpaceDN w:val="0"/>
                    <w:jc w:val="center"/>
                    <w:rPr>
                      <w:rFonts w:hAnsi="宋体"/>
                      <w:color w:val="000000"/>
                      <w:kern w:val="0"/>
                      <w:szCs w:val="21"/>
                    </w:rPr>
                  </w:pPr>
                  <w:r>
                    <w:rPr>
                      <w:rFonts w:hint="eastAsia" w:hAnsi="宋体"/>
                      <w:color w:val="000000"/>
                      <w:kern w:val="0"/>
                      <w:szCs w:val="21"/>
                    </w:rPr>
                    <w:t>1</w:t>
                  </w:r>
                </w:p>
              </w:tc>
              <w:tc>
                <w:tcPr>
                  <w:tcW w:w="4290" w:type="dxa"/>
                  <w:vAlign w:val="center"/>
                </w:tcPr>
                <w:p>
                  <w:pPr>
                    <w:autoSpaceDE w:val="0"/>
                    <w:autoSpaceDN w:val="0"/>
                    <w:jc w:val="center"/>
                    <w:rPr>
                      <w:rFonts w:hint="eastAsia" w:ascii="Times New Roman" w:hAnsi="宋体" w:cs="Times New Roman"/>
                      <w:color w:val="000000"/>
                      <w:kern w:val="0"/>
                      <w:szCs w:val="21"/>
                    </w:rPr>
                  </w:pPr>
                  <w:r>
                    <w:rPr>
                      <w:rFonts w:hint="eastAsia" w:ascii="Times New Roman" w:hAnsi="宋体" w:cs="Times New Roman"/>
                      <w:color w:val="000000"/>
                      <w:kern w:val="0"/>
                      <w:szCs w:val="21"/>
                    </w:rPr>
                    <w:t>三、严格环境准入。各地不得受理钢铁、水泥、电解铝、平板玻璃、铸造等产能严重过剩行业新增产能项目的环评文件；对国家明令淘汰、禁止建设、不符合国家产业政策的项目环评文件，一律不批；沿江各市应按国家推长办《长江经济带发展负面清单指南（试行）》及我省实施细则要求，对合规园区外新建、扩建钢铁、石化、化工、焦化、建材、有色等“两高”项目的环评文件一律不批。新增主要污染物排放量的“两高”项目应按照生态环境部办公厅《关于加强重点行业建</w:t>
                  </w:r>
                </w:p>
                <w:p>
                  <w:pPr>
                    <w:autoSpaceDE w:val="0"/>
                    <w:autoSpaceDN w:val="0"/>
                    <w:jc w:val="center"/>
                    <w:rPr>
                      <w:rFonts w:hAnsi="宋体"/>
                      <w:color w:val="000000"/>
                      <w:kern w:val="0"/>
                      <w:szCs w:val="21"/>
                    </w:rPr>
                  </w:pPr>
                  <w:r>
                    <w:rPr>
                      <w:rFonts w:hint="eastAsia" w:ascii="Times New Roman" w:hAnsi="宋体" w:cs="Times New Roman"/>
                      <w:color w:val="000000"/>
                      <w:kern w:val="0"/>
                      <w:szCs w:val="21"/>
                    </w:rPr>
                    <w:t>设项目区域削减措施监督管理的通知》（环办环评〔2020〕36 号）要求，依据区域环境质量改善目标，制定配套区域污染物削减方案，采取有效的污染物区域削减措施，相应的减排措施应在项目投产前完成</w:t>
                  </w:r>
                </w:p>
              </w:tc>
              <w:tc>
                <w:tcPr>
                  <w:tcW w:w="2235" w:type="dxa"/>
                  <w:vAlign w:val="center"/>
                </w:tcPr>
                <w:p>
                  <w:pPr>
                    <w:rPr>
                      <w:rFonts w:hAnsi="宋体"/>
                      <w:color w:val="0D0D0D" w:themeColor="text1" w:themeTint="F2"/>
                      <w:kern w:val="0"/>
                      <w:szCs w:val="21"/>
                      <w14:textFill>
                        <w14:solidFill>
                          <w14:schemeClr w14:val="tx1">
                            <w14:lumMod w14:val="95000"/>
                            <w14:lumOff w14:val="5000"/>
                          </w14:schemeClr>
                        </w14:solidFill>
                      </w14:textFill>
                    </w:rPr>
                  </w:pPr>
                  <w:r>
                    <w:rPr>
                      <w:rFonts w:hint="eastAsia"/>
                    </w:rPr>
                    <w:t>本项目属于</w:t>
                  </w:r>
                  <w:r>
                    <w:rPr>
                      <w:rFonts w:hint="eastAsia"/>
                      <w:lang w:val="en-US" w:eastAsia="zh-CN"/>
                    </w:rPr>
                    <w:t>其他非金属矿物制品</w:t>
                  </w:r>
                  <w:r>
                    <w:rPr>
                      <w:rFonts w:hint="eastAsia"/>
                    </w:rPr>
                    <w:t>制造行业，不属于钢铁、水泥、电解铝、平板玻璃、铸造等产能严重过剩的行业，不属于钢铁、石化、化工、焦化、建材、有色等“两高”行业，对照《产业结构调整指导目录（2019 年本）》，本项目不属于鼓励类，也非限制类和淘汰类，为允许类项目</w:t>
                  </w:r>
                </w:p>
              </w:tc>
              <w:tc>
                <w:tcPr>
                  <w:tcW w:w="450" w:type="dxa"/>
                  <w:vAlign w:val="center"/>
                </w:tcPr>
                <w:p>
                  <w:pPr>
                    <w:autoSpaceDE w:val="0"/>
                    <w:autoSpaceDN w:val="0"/>
                    <w:spacing w:line="360" w:lineRule="auto"/>
                    <w:jc w:val="center"/>
                    <w:rPr>
                      <w:rFonts w:hAnsi="宋体"/>
                      <w:color w:val="000000"/>
                      <w:kern w:val="0"/>
                      <w:szCs w:val="21"/>
                    </w:rPr>
                  </w:pPr>
                  <w:r>
                    <w:rPr>
                      <w:rFonts w:hAnsi="宋体"/>
                      <w:color w:val="000000"/>
                      <w:kern w:val="0"/>
                      <w:szCs w:val="21"/>
                    </w:rPr>
                    <w:t>相符</w:t>
                  </w:r>
                </w:p>
              </w:tc>
            </w:tr>
          </w:tbl>
          <w:p>
            <w:pPr>
              <w:rPr>
                <w:rFonts w:cs="宋体"/>
                <w:kern w:val="0"/>
                <w:sz w:val="24"/>
              </w:rPr>
            </w:pPr>
          </w:p>
          <w:p>
            <w:pPr>
              <w:spacing w:line="340" w:lineRule="auto"/>
              <w:rPr>
                <w:rFonts w:hint="eastAsia" w:ascii="Times New Roman" w:hAnsi="Times New Roman" w:cs="Times New Roman"/>
                <w:b/>
                <w:color w:val="000000"/>
                <w:sz w:val="24"/>
              </w:rPr>
            </w:pPr>
            <w:r>
              <w:rPr>
                <w:rFonts w:hint="eastAsia" w:ascii="Times New Roman" w:hAnsi="Times New Roman" w:eastAsia="宋体" w:cs="Times New Roman"/>
                <w:b/>
                <w:color w:val="000000"/>
                <w:sz w:val="24"/>
                <w:lang w:val="en-US" w:eastAsia="zh-CN"/>
              </w:rPr>
              <w:t>9、与国家发展改革委等部门关于发布《高耗能行业重点领域能效标杆水平和基准水平（2021年版）》的通知</w:t>
            </w:r>
            <w:r>
              <w:rPr>
                <w:rFonts w:hint="eastAsia" w:ascii="Times New Roman" w:hAnsi="Times New Roman" w:cs="Times New Roman"/>
                <w:b/>
                <w:color w:val="000000"/>
                <w:sz w:val="24"/>
              </w:rPr>
              <w:t>相符性分析</w:t>
            </w:r>
          </w:p>
          <w:p>
            <w:pPr>
              <w:pStyle w:val="8"/>
              <w:spacing w:line="360" w:lineRule="auto"/>
              <w:ind w:firstLine="480" w:firstLineChars="20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为指导各地科学有序做好高耗能行业节能降碳技术改造，有效遏制“两高”项目盲目发展，国家发展改革委、工业和信息化部、生态环境部、国家市场监督管理总局和国家能源局联合印发了《关于发布(高耗能行业重点领域能效标杆水平和基准水平(2021年版))的通知》指出了高耗能行业的客观属性和重要作用，强调要突出标准引领作用、分类推动项目提效达标、限期分批改造升级和淘汰、完善相关配套支持政策，要求各地方坚持系统观念，尊重市场规律，细化工作要求，强化责任落实，稳妥有序推动节能降碳技术改造，切实避免“一刀切”管理和“运动式”减碳，确保产业链供应链稳定和经济社会平稳运行。</w:t>
            </w:r>
          </w:p>
          <w:p>
            <w:pPr>
              <w:pStyle w:val="8"/>
              <w:spacing w:line="360" w:lineRule="auto"/>
              <w:ind w:firstLine="480" w:firstLineChars="200"/>
              <w:rPr>
                <w:rFonts w:hint="eastAsia" w:eastAsia="宋体" w:cs="宋体"/>
                <w:kern w:val="0"/>
                <w:sz w:val="24"/>
                <w:lang w:val="en-US" w:eastAsia="zh-CN"/>
              </w:rPr>
            </w:pPr>
            <w:r>
              <w:rPr>
                <w:rFonts w:hint="eastAsia" w:ascii="Times New Roman" w:hAnsi="Times New Roman" w:eastAsia="宋体" w:cs="Times New Roman"/>
                <w:lang w:val="en-US" w:eastAsia="zh-CN"/>
              </w:rPr>
              <w:t>本项目属于其他非金属矿物制品制造行业，不属于钢铁、石化、化工、焦化、建材、有色等“两高”行业，对照《产业结构调整指导目录（2019 年本）》，本项目不属于鼓励类，也非限制类和淘汰类，为允许类项目</w:t>
            </w:r>
            <w:r>
              <w:rPr>
                <w:rFonts w:hint="eastAsia" w:cs="Times New Roman"/>
                <w:lang w:val="en-US" w:eastAsia="zh-CN"/>
              </w:rPr>
              <w:t>。</w:t>
            </w:r>
          </w:p>
        </w:tc>
      </w:tr>
    </w:tbl>
    <w:p>
      <w:pPr>
        <w:spacing w:line="360" w:lineRule="auto"/>
        <w:outlineLvl w:val="0"/>
        <w:rPr>
          <w:sz w:val="30"/>
        </w:rPr>
        <w:sectPr>
          <w:footerReference r:id="rId3" w:type="default"/>
          <w:pgSz w:w="11906" w:h="16838"/>
          <w:pgMar w:top="1701" w:right="1531" w:bottom="1701" w:left="1531" w:header="851" w:footer="1077" w:gutter="0"/>
          <w:pgNumType w:start="1"/>
          <w:cols w:space="720" w:num="1"/>
          <w:docGrid w:linePitch="312" w:charSpace="0"/>
        </w:sectPr>
      </w:pPr>
    </w:p>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二、建设项目工程分析</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9"/>
        <w:gridCol w:w="79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85" w:hRule="atLeast"/>
          <w:jc w:val="center"/>
        </w:trPr>
        <w:tc>
          <w:tcPr>
            <w:tcW w:w="889" w:type="dxa"/>
            <w:vAlign w:val="center"/>
          </w:tcPr>
          <w:p>
            <w:pPr>
              <w:pStyle w:val="24"/>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szCs w:val="24"/>
              </w:rPr>
              <w:t>建设内容</w:t>
            </w:r>
          </w:p>
        </w:tc>
        <w:tc>
          <w:tcPr>
            <w:tcW w:w="7935" w:type="dxa"/>
          </w:tcPr>
          <w:p>
            <w:pPr>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1、企业概况及项目背景</w:t>
            </w:r>
          </w:p>
          <w:p>
            <w:pPr>
              <w:pStyle w:val="8"/>
              <w:spacing w:line="360" w:lineRule="auto"/>
              <w:ind w:firstLine="480" w:firstLineChars="200"/>
              <w:rPr>
                <w:rFonts w:hint="eastAsia"/>
              </w:rPr>
            </w:pPr>
            <w:r>
              <w:rPr>
                <w:rFonts w:hint="eastAsia"/>
              </w:rPr>
              <w:t>芜湖新兴新材料产业园有限公司是新兴铸管股份有限公司的全资子公司，是新兴铸管股份有限公司最大的管配件生产基地之一，注册资本1亿元，经营范围主要是球铁管件及其他铸造制品的设计、生产、销售。</w:t>
            </w:r>
          </w:p>
          <w:p>
            <w:pPr>
              <w:pStyle w:val="31"/>
              <w:spacing w:line="360" w:lineRule="auto"/>
              <w:ind w:firstLine="480" w:firstLineChars="200"/>
              <w:jc w:val="both"/>
              <w:rPr>
                <w:rFonts w:hint="eastAsia"/>
              </w:rPr>
            </w:pPr>
            <w:r>
              <w:rPr>
                <w:rFonts w:hint="eastAsia"/>
              </w:rPr>
              <w:t>自建厂以来，新兴铸管股份有限公司没有设立砂库，只能通过供应商将自制水洗砂送货至在线的砂仓，</w:t>
            </w:r>
            <w:r>
              <w:rPr>
                <w:rFonts w:hint="eastAsia"/>
                <w:lang w:val="en-US" w:eastAsia="zh-CN"/>
              </w:rPr>
              <w:t>为保证</w:t>
            </w:r>
            <w:r>
              <w:rPr>
                <w:rFonts w:hint="default"/>
              </w:rPr>
              <w:t>新兴铸管股份有限公司</w:t>
            </w:r>
            <w:r>
              <w:rPr>
                <w:rFonts w:hint="eastAsia"/>
                <w:lang w:val="en-US" w:eastAsia="zh-CN"/>
              </w:rPr>
              <w:t>正常生产，</w:t>
            </w:r>
            <w:r>
              <w:rPr>
                <w:rFonts w:hint="default"/>
                <w:lang w:eastAsia="zh-CN"/>
              </w:rPr>
              <w:t>芜湖新兴新材料产业园有限公司</w:t>
            </w:r>
            <w:r>
              <w:rPr>
                <w:rFonts w:hint="default"/>
                <w:lang w:val="en-US" w:eastAsia="zh-CN"/>
              </w:rPr>
              <w:t>购买</w:t>
            </w:r>
            <w:r>
              <w:rPr>
                <w:rFonts w:hint="default"/>
                <w:lang w:eastAsia="zh-CN"/>
              </w:rPr>
              <w:t>安徽省芜湖市三山区经济开发区春洲路</w:t>
            </w:r>
            <w:r>
              <w:rPr>
                <w:rFonts w:hint="default" w:ascii="Times New Roman" w:hAnsi="Times New Roman" w:cs="Times New Roman"/>
                <w:lang w:eastAsia="zh-CN"/>
              </w:rPr>
              <w:t>2</w:t>
            </w:r>
            <w:r>
              <w:rPr>
                <w:rFonts w:hint="default"/>
                <w:lang w:eastAsia="zh-CN"/>
              </w:rPr>
              <w:t>号</w:t>
            </w:r>
            <w:r>
              <w:rPr>
                <w:rFonts w:hint="default"/>
              </w:rPr>
              <w:t>进行</w:t>
            </w:r>
            <w:r>
              <w:rPr>
                <w:rFonts w:hint="eastAsia"/>
                <w:lang w:val="en-US" w:eastAsia="zh-CN"/>
              </w:rPr>
              <w:t>原</w:t>
            </w:r>
            <w:r>
              <w:rPr>
                <w:rFonts w:hint="default"/>
              </w:rPr>
              <w:t>项</w:t>
            </w:r>
            <w:r>
              <w:rPr>
                <w:rFonts w:hint="default"/>
                <w:lang w:eastAsia="zh-CN"/>
              </w:rPr>
              <w:t>目</w:t>
            </w:r>
            <w:r>
              <w:rPr>
                <w:rFonts w:hint="default"/>
                <w:lang w:val="en-US" w:eastAsia="zh-CN"/>
              </w:rPr>
              <w:t>“</w:t>
            </w:r>
            <w:r>
              <w:rPr>
                <w:rFonts w:hint="default"/>
                <w:lang w:eastAsia="zh-CN"/>
              </w:rPr>
              <w:t>造型材料制品车间项目</w:t>
            </w:r>
            <w:r>
              <w:rPr>
                <w:rFonts w:hint="default"/>
                <w:lang w:val="en-US" w:eastAsia="zh-CN"/>
              </w:rPr>
              <w:t>”</w:t>
            </w:r>
            <w:r>
              <w:rPr>
                <w:rFonts w:hint="default"/>
                <w:lang w:eastAsia="zh-CN"/>
              </w:rPr>
              <w:t>建设</w:t>
            </w:r>
            <w:r>
              <w:rPr>
                <w:rFonts w:hint="default"/>
                <w:lang w:val="en-US" w:eastAsia="zh-CN"/>
              </w:rPr>
              <w:t>。</w:t>
            </w:r>
            <w:r>
              <w:rPr>
                <w:rFonts w:hint="default"/>
                <w:lang w:eastAsia="zh-CN"/>
              </w:rPr>
              <w:t>该项目</w:t>
            </w:r>
            <w:r>
              <w:rPr>
                <w:rFonts w:hint="eastAsia"/>
                <w:lang w:eastAsia="zh-CN"/>
              </w:rPr>
              <w:t>于</w:t>
            </w:r>
            <w:r>
              <w:rPr>
                <w:rFonts w:hint="eastAsia" w:ascii="Times New Roman" w:hAnsi="Times New Roman" w:cs="Times New Roman"/>
                <w:lang w:eastAsia="zh-CN"/>
              </w:rPr>
              <w:t>2019</w:t>
            </w:r>
            <w:r>
              <w:rPr>
                <w:rFonts w:hint="eastAsia"/>
                <w:lang w:eastAsia="zh-CN"/>
              </w:rPr>
              <w:t>年</w:t>
            </w:r>
            <w:r>
              <w:rPr>
                <w:rFonts w:hint="eastAsia" w:ascii="Times New Roman" w:hAnsi="Times New Roman" w:cs="Times New Roman"/>
                <w:lang w:eastAsia="zh-CN"/>
              </w:rPr>
              <w:t>12</w:t>
            </w:r>
            <w:r>
              <w:rPr>
                <w:rFonts w:hint="eastAsia"/>
                <w:lang w:eastAsia="zh-CN"/>
              </w:rPr>
              <w:t>月</w:t>
            </w:r>
            <w:r>
              <w:rPr>
                <w:rFonts w:hint="eastAsia" w:ascii="Times New Roman" w:hAnsi="Times New Roman" w:cs="Times New Roman"/>
                <w:lang w:eastAsia="zh-CN"/>
              </w:rPr>
              <w:t>25</w:t>
            </w:r>
            <w:r>
              <w:rPr>
                <w:rFonts w:hint="eastAsia"/>
                <w:lang w:eastAsia="zh-CN"/>
              </w:rPr>
              <w:t>日取得芜湖市三山区发展和改革委员会文件《关于同意芜湖新兴新材料产业园有限公司造型材料制品车间项目登记备案的通知》（三发改</w:t>
            </w:r>
            <w:r>
              <w:rPr>
                <w:rFonts w:hint="default" w:ascii="Times New Roman" w:hAnsi="Times New Roman" w:cs="Times New Roman"/>
                <w:lang w:eastAsia="zh-CN"/>
              </w:rPr>
              <w:t>[2019]149</w:t>
            </w:r>
            <w:r>
              <w:rPr>
                <w:rFonts w:hint="eastAsia"/>
                <w:lang w:eastAsia="zh-CN"/>
              </w:rPr>
              <w:t>）。</w:t>
            </w:r>
            <w:r>
              <w:rPr>
                <w:rFonts w:hint="eastAsia" w:ascii="Times New Roman" w:hAnsi="Times New Roman" w:cs="Times New Roman"/>
                <w:lang w:val="en-US" w:eastAsia="zh-CN"/>
              </w:rPr>
              <w:t>2020</w:t>
            </w:r>
            <w:r>
              <w:rPr>
                <w:rFonts w:hint="eastAsia" w:ascii="Times New Roman" w:hAnsi="Times New Roman" w:eastAsia="宋体" w:cs="Times New Roman"/>
                <w:color w:val="auto"/>
                <w:kern w:val="0"/>
                <w:sz w:val="24"/>
                <w:szCs w:val="20"/>
                <w:lang w:val="en-US" w:eastAsia="zh-CN" w:bidi="ar-SA"/>
              </w:rPr>
              <w:t>年</w:t>
            </w:r>
            <w:r>
              <w:rPr>
                <w:rFonts w:hint="eastAsia" w:ascii="Times New Roman" w:hAnsi="Times New Roman" w:cs="Times New Roman"/>
                <w:lang w:val="en-US" w:eastAsia="zh-CN"/>
              </w:rPr>
              <w:t>2</w:t>
            </w:r>
            <w:r>
              <w:rPr>
                <w:rFonts w:hint="eastAsia" w:ascii="Times New Roman" w:hAnsi="Times New Roman" w:eastAsia="宋体" w:cs="Times New Roman"/>
                <w:color w:val="auto"/>
                <w:kern w:val="0"/>
                <w:sz w:val="24"/>
                <w:szCs w:val="20"/>
                <w:lang w:val="en-US" w:eastAsia="zh-CN" w:bidi="ar-SA"/>
              </w:rPr>
              <w:t>月，委托安徽海智博天环保科技有限公司编制了《芜湖新兴新材料产业园有限公司造型材料制品车间项目环境影响报告表》，</w:t>
            </w:r>
            <w:r>
              <w:rPr>
                <w:rFonts w:hint="eastAsia" w:ascii="Times New Roman" w:hAnsi="Times New Roman" w:cs="Times New Roman"/>
                <w:lang w:val="en-US" w:eastAsia="zh-CN"/>
              </w:rPr>
              <w:t>2020</w:t>
            </w:r>
            <w:r>
              <w:rPr>
                <w:rFonts w:hint="eastAsia" w:ascii="Times New Roman" w:hAnsi="Times New Roman" w:eastAsia="宋体" w:cs="Times New Roman"/>
                <w:color w:val="auto"/>
                <w:kern w:val="0"/>
                <w:sz w:val="24"/>
                <w:szCs w:val="20"/>
                <w:lang w:val="en-US" w:eastAsia="zh-CN" w:bidi="ar-SA"/>
              </w:rPr>
              <w:t>年</w:t>
            </w:r>
            <w:r>
              <w:rPr>
                <w:rFonts w:hint="eastAsia" w:ascii="Times New Roman" w:hAnsi="Times New Roman" w:cs="Times New Roman"/>
                <w:lang w:val="en-US" w:eastAsia="zh-CN"/>
              </w:rPr>
              <w:t>3</w:t>
            </w:r>
            <w:r>
              <w:rPr>
                <w:rFonts w:hint="eastAsia" w:ascii="Times New Roman" w:hAnsi="Times New Roman" w:eastAsia="宋体" w:cs="Times New Roman"/>
                <w:color w:val="auto"/>
                <w:kern w:val="0"/>
                <w:sz w:val="24"/>
                <w:szCs w:val="20"/>
                <w:lang w:val="en-US" w:eastAsia="zh-CN" w:bidi="ar-SA"/>
              </w:rPr>
              <w:t>月</w:t>
            </w:r>
            <w:r>
              <w:rPr>
                <w:rFonts w:hint="eastAsia" w:ascii="Times New Roman" w:hAnsi="Times New Roman" w:cs="Times New Roman"/>
                <w:lang w:val="en-US" w:eastAsia="zh-CN"/>
              </w:rPr>
              <w:t>17</w:t>
            </w:r>
            <w:r>
              <w:rPr>
                <w:rFonts w:hint="eastAsia" w:ascii="Times New Roman" w:hAnsi="Times New Roman" w:eastAsia="宋体" w:cs="Times New Roman"/>
                <w:color w:val="auto"/>
                <w:kern w:val="0"/>
                <w:sz w:val="24"/>
                <w:szCs w:val="20"/>
                <w:lang w:val="en-US" w:eastAsia="zh-CN" w:bidi="ar-SA"/>
              </w:rPr>
              <w:t>日取得芜湖市生态环境局的审批意见（芜环评审</w:t>
            </w:r>
            <w:r>
              <w:rPr>
                <w:rFonts w:hint="eastAsia" w:ascii="Times New Roman" w:hAnsi="Times New Roman" w:cs="Times New Roman"/>
                <w:lang w:val="en-US" w:eastAsia="zh-CN"/>
              </w:rPr>
              <w:t>[2020]53</w:t>
            </w:r>
            <w:r>
              <w:rPr>
                <w:rFonts w:hint="eastAsia" w:ascii="Times New Roman" w:hAnsi="Times New Roman" w:eastAsia="宋体" w:cs="Times New Roman"/>
                <w:color w:val="auto"/>
                <w:kern w:val="0"/>
                <w:sz w:val="24"/>
                <w:szCs w:val="20"/>
                <w:lang w:val="en-US" w:eastAsia="zh-CN" w:bidi="ar-SA"/>
              </w:rPr>
              <w:t>号）。并于</w:t>
            </w:r>
            <w:r>
              <w:rPr>
                <w:rFonts w:hint="eastAsia" w:ascii="Times New Roman" w:hAnsi="Times New Roman" w:cs="Times New Roman"/>
                <w:lang w:val="en-US" w:eastAsia="zh-CN"/>
              </w:rPr>
              <w:t>2020</w:t>
            </w:r>
            <w:r>
              <w:rPr>
                <w:rFonts w:hint="eastAsia" w:ascii="Times New Roman" w:hAnsi="Times New Roman" w:eastAsia="宋体" w:cs="Times New Roman"/>
                <w:color w:val="auto"/>
                <w:kern w:val="0"/>
                <w:sz w:val="24"/>
                <w:szCs w:val="20"/>
                <w:lang w:val="en-US" w:eastAsia="zh-CN" w:bidi="ar-SA"/>
              </w:rPr>
              <w:t>年</w:t>
            </w:r>
            <w:r>
              <w:rPr>
                <w:rFonts w:hint="eastAsia" w:ascii="Times New Roman" w:hAnsi="Times New Roman" w:cs="Times New Roman"/>
                <w:lang w:val="en-US" w:eastAsia="zh-CN"/>
              </w:rPr>
              <w:t>10</w:t>
            </w:r>
            <w:r>
              <w:rPr>
                <w:rFonts w:hint="eastAsia" w:ascii="Times New Roman" w:hAnsi="Times New Roman" w:eastAsia="宋体" w:cs="Times New Roman"/>
                <w:color w:val="auto"/>
                <w:kern w:val="0"/>
                <w:sz w:val="24"/>
                <w:szCs w:val="20"/>
                <w:lang w:val="en-US" w:eastAsia="zh-CN" w:bidi="ar-SA"/>
              </w:rPr>
              <w:t>月通过环保验收。</w:t>
            </w:r>
          </w:p>
          <w:p>
            <w:pPr>
              <w:pStyle w:val="8"/>
              <w:spacing w:line="360" w:lineRule="auto"/>
              <w:ind w:firstLine="480" w:firstLineChars="200"/>
              <w:rPr>
                <w:rFonts w:hint="eastAsia"/>
              </w:rPr>
            </w:pPr>
            <w:r>
              <w:rPr>
                <w:rFonts w:hint="default"/>
                <w:lang w:val="en-US" w:eastAsia="zh-CN"/>
              </w:rPr>
              <w:t>为扩大产品规模，</w:t>
            </w:r>
            <w:r>
              <w:rPr>
                <w:rFonts w:hint="eastAsia"/>
                <w:lang w:val="en-US" w:eastAsia="zh-CN"/>
              </w:rPr>
              <w:t>芜湖新兴新材料产业园有限公司</w:t>
            </w:r>
            <w:r>
              <w:rPr>
                <w:rFonts w:hint="default"/>
                <w:lang w:val="en-US" w:eastAsia="zh-CN"/>
              </w:rPr>
              <w:t xml:space="preserve">计划购置国内最先进的生产设备建设一条涂衬造型材料砂生产线，淘汰原有老旧设备，另新增一条生产线，年产 </w:t>
            </w:r>
            <w:r>
              <w:rPr>
                <w:rFonts w:hint="default" w:ascii="Times New Roman" w:hAnsi="Times New Roman" w:eastAsia="宋体" w:cs="Times New Roman"/>
                <w:color w:val="000000"/>
                <w:kern w:val="0"/>
                <w:sz w:val="24"/>
                <w:szCs w:val="24"/>
                <w:lang w:val="en-US" w:eastAsia="zh-CN" w:bidi="ar-SA"/>
              </w:rPr>
              <w:t>13</w:t>
            </w:r>
            <w:r>
              <w:rPr>
                <w:rFonts w:hint="default"/>
                <w:lang w:val="en-US" w:eastAsia="zh-CN"/>
              </w:rPr>
              <w:t xml:space="preserve"> 万吨铸造用砂制品。</w:t>
            </w:r>
            <w:r>
              <w:rPr>
                <w:rFonts w:hint="eastAsia"/>
                <w:lang w:val="en-US" w:eastAsia="zh-CN"/>
              </w:rPr>
              <w:t>安徽芜湖三山经济开发区管委会经济发展局</w:t>
            </w:r>
            <w:r>
              <w:rPr>
                <w:rFonts w:hint="default"/>
                <w:lang w:val="en-US" w:eastAsia="zh-CN"/>
              </w:rPr>
              <w:t>于</w:t>
            </w:r>
            <w:r>
              <w:rPr>
                <w:rFonts w:hint="default" w:ascii="Times New Roman" w:hAnsi="Times New Roman" w:eastAsia="宋体" w:cs="Times New Roman"/>
                <w:color w:val="000000"/>
                <w:kern w:val="0"/>
                <w:sz w:val="24"/>
                <w:szCs w:val="24"/>
                <w:lang w:val="en-US" w:eastAsia="zh-CN" w:bidi="ar-SA"/>
              </w:rPr>
              <w:t>202</w:t>
            </w:r>
            <w:r>
              <w:rPr>
                <w:rFonts w:hint="eastAsia" w:ascii="Times New Roman" w:hAnsi="Times New Roman" w:eastAsia="宋体" w:cs="Times New Roman"/>
                <w:color w:val="000000"/>
                <w:kern w:val="0"/>
                <w:sz w:val="24"/>
                <w:szCs w:val="24"/>
                <w:lang w:val="en-US" w:eastAsia="zh-CN" w:bidi="ar-SA"/>
              </w:rPr>
              <w:t>1</w:t>
            </w:r>
            <w:r>
              <w:rPr>
                <w:rFonts w:hint="default"/>
                <w:lang w:val="en-US" w:eastAsia="zh-CN"/>
              </w:rPr>
              <w:t>年</w:t>
            </w:r>
            <w:r>
              <w:rPr>
                <w:rFonts w:hint="eastAsia" w:ascii="Times New Roman" w:hAnsi="Times New Roman" w:eastAsia="宋体" w:cs="Times New Roman"/>
                <w:color w:val="000000"/>
                <w:kern w:val="0"/>
                <w:sz w:val="24"/>
                <w:szCs w:val="24"/>
                <w:lang w:val="en-US" w:eastAsia="zh-CN" w:bidi="ar-SA"/>
              </w:rPr>
              <w:t>7</w:t>
            </w:r>
            <w:r>
              <w:rPr>
                <w:rFonts w:hint="default"/>
                <w:lang w:val="en-US" w:eastAsia="zh-CN"/>
              </w:rPr>
              <w:t>月</w:t>
            </w:r>
            <w:r>
              <w:rPr>
                <w:rFonts w:hint="eastAsia" w:ascii="Times New Roman" w:hAnsi="Times New Roman" w:eastAsia="宋体" w:cs="Times New Roman"/>
                <w:color w:val="000000"/>
                <w:kern w:val="0"/>
                <w:sz w:val="24"/>
                <w:szCs w:val="24"/>
                <w:lang w:val="en-US" w:eastAsia="zh-CN" w:bidi="ar-SA"/>
              </w:rPr>
              <w:t>19</w:t>
            </w:r>
            <w:r>
              <w:rPr>
                <w:rFonts w:hint="default"/>
                <w:lang w:val="en-US" w:eastAsia="zh-CN"/>
              </w:rPr>
              <w:t>日以</w:t>
            </w:r>
            <w:r>
              <w:rPr>
                <w:rFonts w:hint="eastAsia"/>
                <w:lang w:val="en-US" w:eastAsia="zh-CN"/>
              </w:rPr>
              <w:t>（三经发</w:t>
            </w:r>
            <w:r>
              <w:rPr>
                <w:rFonts w:hint="default" w:ascii="Times New Roman" w:hAnsi="Times New Roman" w:eastAsia="宋体" w:cs="Times New Roman"/>
                <w:color w:val="000000"/>
                <w:kern w:val="0"/>
                <w:sz w:val="24"/>
                <w:szCs w:val="24"/>
                <w:lang w:val="en-US" w:eastAsia="zh-CN" w:bidi="ar-SA"/>
              </w:rPr>
              <w:t>[202</w:t>
            </w:r>
            <w:r>
              <w:rPr>
                <w:rFonts w:hint="eastAsia" w:ascii="Times New Roman" w:hAnsi="Times New Roman" w:eastAsia="宋体" w:cs="Times New Roman"/>
                <w:color w:val="000000"/>
                <w:kern w:val="0"/>
                <w:sz w:val="24"/>
                <w:szCs w:val="24"/>
                <w:lang w:val="en-US" w:eastAsia="zh-CN" w:bidi="ar-SA"/>
              </w:rPr>
              <w:t>1</w:t>
            </w:r>
            <w:r>
              <w:rPr>
                <w:rFonts w:hint="default" w:ascii="Times New Roman" w:hAnsi="Times New Roman" w:eastAsia="宋体" w:cs="Times New Roman"/>
                <w:color w:val="000000"/>
                <w:kern w:val="0"/>
                <w:sz w:val="24"/>
                <w:szCs w:val="24"/>
                <w:lang w:val="en-US" w:eastAsia="zh-CN" w:bidi="ar-SA"/>
              </w:rPr>
              <w:t>]</w:t>
            </w:r>
            <w:r>
              <w:rPr>
                <w:rFonts w:hint="eastAsia" w:ascii="Times New Roman" w:hAnsi="Times New Roman" w:eastAsia="宋体" w:cs="Times New Roman"/>
                <w:color w:val="000000"/>
                <w:kern w:val="0"/>
                <w:sz w:val="24"/>
                <w:szCs w:val="24"/>
                <w:lang w:val="en-US" w:eastAsia="zh-CN" w:bidi="ar-SA"/>
              </w:rPr>
              <w:t>262</w:t>
            </w:r>
            <w:r>
              <w:rPr>
                <w:rFonts w:hint="default"/>
                <w:lang w:val="en-US" w:eastAsia="zh-CN"/>
              </w:rPr>
              <w:t>号文</w:t>
            </w:r>
            <w:r>
              <w:rPr>
                <w:rFonts w:hint="eastAsia"/>
                <w:lang w:val="en-US" w:eastAsia="zh-CN"/>
              </w:rPr>
              <w:t>）</w:t>
            </w:r>
            <w:r>
              <w:rPr>
                <w:rFonts w:hint="default"/>
                <w:lang w:val="en-US" w:eastAsia="zh-CN"/>
              </w:rPr>
              <w:t>对</w:t>
            </w:r>
            <w:r>
              <w:rPr>
                <w:rFonts w:hint="eastAsia"/>
                <w:lang w:val="en-US" w:eastAsia="zh-CN"/>
              </w:rPr>
              <w:t>芜湖新兴新材料产业园有限公司造型材料制品车间改扩建项目</w:t>
            </w:r>
            <w:r>
              <w:rPr>
                <w:rFonts w:hint="default"/>
                <w:lang w:val="en-US" w:eastAsia="zh-CN"/>
              </w:rPr>
              <w:t>予以登记备案。</w:t>
            </w:r>
          </w:p>
          <w:p>
            <w:pPr>
              <w:pStyle w:val="8"/>
              <w:spacing w:line="360" w:lineRule="auto"/>
              <w:ind w:firstLine="480" w:firstLineChars="200"/>
              <w:rPr>
                <w:rFonts w:hint="eastAsia"/>
              </w:rPr>
            </w:pPr>
            <w:r>
              <w:rPr>
                <w:rFonts w:hint="eastAsia"/>
              </w:rPr>
              <w:t>根据《建设项目环境保护管理条例》和《中华人民共和国环境影响评价法》中有关规定，该项目应进行环境影响评价。受建设单位委托，我公司承担了该项目的环境影响评价工作。本项目属于其它非金属矿物制品制造，根据《建设项目环境影响评价分类管理名录》（</w:t>
            </w:r>
            <w:r>
              <w:rPr>
                <w:rFonts w:hint="eastAsia" w:ascii="Times New Roman" w:hAnsi="Times New Roman" w:eastAsia="宋体" w:cs="Times New Roman"/>
                <w:color w:val="000000"/>
                <w:kern w:val="0"/>
                <w:sz w:val="24"/>
                <w:szCs w:val="24"/>
                <w:lang w:val="en-US" w:eastAsia="zh-CN" w:bidi="ar-SA"/>
              </w:rPr>
              <w:t>2021</w:t>
            </w:r>
            <w:r>
              <w:rPr>
                <w:rFonts w:hint="eastAsia"/>
              </w:rPr>
              <w:t xml:space="preserve"> 年版）属于“二十七、非金属矿物制品业</w:t>
            </w:r>
            <w:r>
              <w:rPr>
                <w:rFonts w:hint="eastAsia" w:ascii="Times New Roman" w:hAnsi="Times New Roman" w:eastAsia="宋体" w:cs="Times New Roman"/>
                <w:color w:val="000000"/>
                <w:kern w:val="0"/>
                <w:sz w:val="24"/>
                <w:szCs w:val="24"/>
                <w:lang w:val="en-US" w:eastAsia="zh-CN" w:bidi="ar-SA"/>
              </w:rPr>
              <w:t>30—60</w:t>
            </w:r>
            <w:r>
              <w:rPr>
                <w:rFonts w:hint="eastAsia"/>
              </w:rPr>
              <w:t>、石墨及其他非金属矿物制品制造</w:t>
            </w:r>
            <w:r>
              <w:rPr>
                <w:rFonts w:hint="eastAsia" w:ascii="Times New Roman" w:hAnsi="Times New Roman" w:eastAsia="宋体" w:cs="Times New Roman"/>
                <w:color w:val="000000"/>
                <w:kern w:val="0"/>
                <w:sz w:val="24"/>
                <w:szCs w:val="24"/>
                <w:lang w:val="en-US" w:eastAsia="zh-CN" w:bidi="ar-SA"/>
              </w:rPr>
              <w:t>309</w:t>
            </w:r>
            <w:r>
              <w:rPr>
                <w:rFonts w:hint="eastAsia"/>
              </w:rPr>
              <w:t>—其他”，应编制环境影响报告表。接受委托后，我公司组织有关技术人员进行现场踏勘、收集资料，依据国家有关法规文件和环境影响评价技术导则，编制该项目环境影响报告表。</w:t>
            </w:r>
          </w:p>
          <w:p>
            <w:pPr>
              <w:spacing w:line="360" w:lineRule="auto"/>
              <w:jc w:val="center"/>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表2-1 项目环境影响评价文件类别判定</w:t>
            </w:r>
          </w:p>
          <w:tbl>
            <w:tblPr>
              <w:tblStyle w:val="8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0" w:type="dxa"/>
                <w:bottom w:w="0" w:type="dxa"/>
                <w:right w:w="0" w:type="dxa"/>
              </w:tblCellMar>
            </w:tblPr>
            <w:tblGrid>
              <w:gridCol w:w="486"/>
              <w:gridCol w:w="2010"/>
              <w:gridCol w:w="2451"/>
              <w:gridCol w:w="1638"/>
              <w:gridCol w:w="1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623" w:hRule="atLeast"/>
              </w:trPr>
              <w:tc>
                <w:tcPr>
                  <w:tcW w:w="2737" w:type="dxa"/>
                  <w:gridSpan w:val="2"/>
                  <w:tcBorders>
                    <w:left w:val="nil"/>
                    <w:bottom w:val="single" w:color="auto" w:sz="4" w:space="0"/>
                    <w:tl2br w:val="single" w:color="auto" w:sz="4" w:space="0"/>
                  </w:tcBorders>
                  <w:shd w:val="clear" w:color="auto" w:fill="FFFFFF" w:themeFill="background1"/>
                  <w:vAlign w:val="center"/>
                </w:tcPr>
                <w:p>
                  <w:pPr>
                    <w:pStyle w:val="54"/>
                    <w:spacing w:before="2" w:line="267" w:lineRule="exact"/>
                    <w:ind w:left="1241"/>
                    <w:rPr>
                      <w:rFonts w:hint="eastAsia"/>
                      <w:b/>
                      <w:bCs/>
                      <w:lang w:eastAsia="en-US"/>
                    </w:rPr>
                  </w:pPr>
                  <w:r>
                    <w:rPr>
                      <w:rFonts w:hint="eastAsia"/>
                      <w:b/>
                      <w:bCs/>
                      <w:lang w:eastAsia="en-US"/>
                    </w:rPr>
                    <w:t>环评类别</w:t>
                  </w:r>
                </w:p>
                <w:p>
                  <w:pPr>
                    <w:pStyle w:val="54"/>
                    <w:spacing w:line="267" w:lineRule="exact"/>
                    <w:ind w:left="215"/>
                    <w:jc w:val="left"/>
                    <w:rPr>
                      <w:rFonts w:hint="eastAsia"/>
                      <w:b/>
                      <w:bCs/>
                      <w:lang w:eastAsia="en-US"/>
                    </w:rPr>
                  </w:pPr>
                  <w:r>
                    <w:rPr>
                      <w:rFonts w:hint="eastAsia"/>
                      <w:b/>
                      <w:bCs/>
                      <w:lang w:eastAsia="en-US"/>
                    </w:rPr>
                    <w:t>项目类别</w:t>
                  </w:r>
                </w:p>
              </w:tc>
              <w:tc>
                <w:tcPr>
                  <w:tcW w:w="2688" w:type="dxa"/>
                  <w:tcBorders>
                    <w:bottom w:val="single" w:color="auto" w:sz="4" w:space="0"/>
                  </w:tcBorders>
                  <w:shd w:val="clear" w:color="auto" w:fill="FFFFFF" w:themeFill="background1"/>
                  <w:vAlign w:val="center"/>
                </w:tcPr>
                <w:p>
                  <w:pPr>
                    <w:pStyle w:val="54"/>
                    <w:spacing w:before="107"/>
                    <w:ind w:left="84" w:right="76"/>
                    <w:jc w:val="center"/>
                    <w:rPr>
                      <w:rFonts w:hint="eastAsia"/>
                      <w:b/>
                      <w:bCs/>
                      <w:lang w:eastAsia="en-US"/>
                    </w:rPr>
                  </w:pPr>
                  <w:r>
                    <w:rPr>
                      <w:rFonts w:hint="eastAsia"/>
                      <w:b/>
                      <w:bCs/>
                      <w:lang w:eastAsia="en-US"/>
                    </w:rPr>
                    <w:t>报告书</w:t>
                  </w:r>
                </w:p>
              </w:tc>
              <w:tc>
                <w:tcPr>
                  <w:tcW w:w="1796" w:type="dxa"/>
                  <w:tcBorders>
                    <w:bottom w:val="single" w:color="auto" w:sz="4" w:space="0"/>
                  </w:tcBorders>
                  <w:shd w:val="solid" w:color="A5A5A5" w:themeColor="background1" w:themeShade="A6" w:fill="FFFFFF" w:themeFill="background1"/>
                  <w:vAlign w:val="center"/>
                </w:tcPr>
                <w:p>
                  <w:pPr>
                    <w:pStyle w:val="54"/>
                    <w:spacing w:before="107"/>
                    <w:ind w:left="111" w:right="101"/>
                    <w:jc w:val="center"/>
                    <w:rPr>
                      <w:rFonts w:hint="eastAsia"/>
                      <w:b/>
                      <w:bCs/>
                      <w:lang w:eastAsia="en-US"/>
                    </w:rPr>
                  </w:pPr>
                  <w:r>
                    <w:rPr>
                      <w:rFonts w:hint="eastAsia"/>
                      <w:b/>
                      <w:bCs/>
                      <w:lang w:eastAsia="en-US"/>
                    </w:rPr>
                    <w:t>报告表</w:t>
                  </w:r>
                </w:p>
              </w:tc>
              <w:tc>
                <w:tcPr>
                  <w:tcW w:w="1233" w:type="dxa"/>
                  <w:tcBorders>
                    <w:bottom w:val="single" w:color="auto" w:sz="4" w:space="0"/>
                    <w:right w:val="nil"/>
                  </w:tcBorders>
                  <w:shd w:val="clear" w:color="auto" w:fill="FFFFFF" w:themeFill="background1"/>
                  <w:vAlign w:val="center"/>
                </w:tcPr>
                <w:p>
                  <w:pPr>
                    <w:pStyle w:val="54"/>
                    <w:spacing w:before="107"/>
                    <w:ind w:left="182" w:right="176"/>
                    <w:jc w:val="center"/>
                    <w:rPr>
                      <w:rFonts w:hint="eastAsia"/>
                      <w:b/>
                      <w:bCs/>
                      <w:lang w:eastAsia="en-US"/>
                    </w:rPr>
                  </w:pPr>
                  <w:r>
                    <w:rPr>
                      <w:rFonts w:hint="eastAsia"/>
                      <w:b/>
                      <w:bCs/>
                      <w:lang w:eastAsia="en-US"/>
                    </w:rPr>
                    <w:t>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408" w:hRule="atLeast"/>
              </w:trPr>
              <w:tc>
                <w:tcPr>
                  <w:tcW w:w="8454" w:type="dxa"/>
                  <w:gridSpan w:val="5"/>
                  <w:tcBorders>
                    <w:left w:val="nil"/>
                    <w:right w:val="nil"/>
                  </w:tcBorders>
                  <w:shd w:val="clear" w:color="A5A5A5" w:themeColor="background1" w:themeShade="A6" w:fill="FFFFFF" w:themeFill="background1"/>
                  <w:vAlign w:val="center"/>
                </w:tcPr>
                <w:p>
                  <w:pPr>
                    <w:pStyle w:val="54"/>
                    <w:spacing w:before="1"/>
                    <w:ind w:left="106"/>
                    <w:jc w:val="left"/>
                    <w:rPr>
                      <w:rFonts w:hint="eastAsia"/>
                      <w:lang w:eastAsia="zh-CN"/>
                    </w:rPr>
                  </w:pPr>
                  <w:r>
                    <w:rPr>
                      <w:rFonts w:hint="eastAsia"/>
                      <w:lang w:eastAsia="zh-CN"/>
                    </w:rPr>
                    <w:t>二十七、非金属矿物制品业 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652" w:hRule="atLeast"/>
              </w:trPr>
              <w:tc>
                <w:tcPr>
                  <w:tcW w:w="533" w:type="dxa"/>
                  <w:tcBorders>
                    <w:left w:val="nil"/>
                  </w:tcBorders>
                  <w:shd w:val="clear" w:color="auto" w:fill="FFFFFF" w:themeFill="background1"/>
                  <w:vAlign w:val="center"/>
                </w:tcPr>
                <w:p>
                  <w:pPr>
                    <w:pStyle w:val="54"/>
                    <w:spacing w:before="1"/>
                    <w:rPr>
                      <w:rFonts w:hint="eastAsia"/>
                      <w:lang w:eastAsia="en-US"/>
                    </w:rPr>
                  </w:pPr>
                  <w:r>
                    <w:rPr>
                      <w:rFonts w:hint="eastAsia"/>
                      <w:lang w:eastAsia="en-US"/>
                    </w:rPr>
                    <w:t>70</w:t>
                  </w:r>
                </w:p>
              </w:tc>
              <w:tc>
                <w:tcPr>
                  <w:tcW w:w="2204" w:type="dxa"/>
                  <w:shd w:val="clear" w:color="auto" w:fill="FFFFFF" w:themeFill="background1"/>
                  <w:vAlign w:val="center"/>
                </w:tcPr>
                <w:p>
                  <w:pPr>
                    <w:pStyle w:val="54"/>
                    <w:ind w:left="205"/>
                    <w:rPr>
                      <w:rFonts w:hint="eastAsia"/>
                      <w:lang w:eastAsia="en-US"/>
                    </w:rPr>
                  </w:pPr>
                  <w:r>
                    <w:rPr>
                      <w:rFonts w:hint="eastAsia"/>
                      <w:lang w:eastAsia="zh-CN"/>
                    </w:rPr>
                    <w:t>耐火材料制品制造308；石墨及其他非金属矿物制品制造 309</w:t>
                  </w:r>
                </w:p>
              </w:tc>
              <w:tc>
                <w:tcPr>
                  <w:tcW w:w="2688" w:type="dxa"/>
                  <w:shd w:val="clear" w:color="auto" w:fill="FFFFFF" w:themeFill="background1"/>
                  <w:vAlign w:val="center"/>
                </w:tcPr>
                <w:p>
                  <w:pPr>
                    <w:pStyle w:val="54"/>
                    <w:spacing w:before="72"/>
                    <w:ind w:left="157"/>
                    <w:rPr>
                      <w:rFonts w:hint="eastAsia"/>
                      <w:lang w:eastAsia="zh-CN"/>
                    </w:rPr>
                  </w:pPr>
                  <w:r>
                    <w:rPr>
                      <w:rFonts w:hint="eastAsia"/>
                      <w:lang w:eastAsia="zh-CN"/>
                    </w:rPr>
                    <w:t>石棉制品；含焙烧的石墨、碳素制品</w:t>
                  </w:r>
                </w:p>
              </w:tc>
              <w:tc>
                <w:tcPr>
                  <w:tcW w:w="1796" w:type="dxa"/>
                  <w:shd w:val="solid" w:color="A5A5A5" w:themeColor="background1" w:themeShade="A6" w:fill="FFFFFF" w:themeFill="background1"/>
                  <w:vAlign w:val="center"/>
                </w:tcPr>
                <w:p>
                  <w:pPr>
                    <w:pStyle w:val="54"/>
                    <w:ind w:left="111" w:right="104"/>
                    <w:jc w:val="center"/>
                    <w:rPr>
                      <w:rFonts w:hint="eastAsia"/>
                      <w:lang w:eastAsia="zh-CN"/>
                    </w:rPr>
                  </w:pPr>
                  <w:r>
                    <w:rPr>
                      <w:rFonts w:hint="eastAsia"/>
                      <w:lang w:eastAsia="zh-CN"/>
                    </w:rPr>
                    <w:t>其他</w:t>
                  </w:r>
                </w:p>
              </w:tc>
              <w:tc>
                <w:tcPr>
                  <w:tcW w:w="1233" w:type="dxa"/>
                  <w:tcBorders>
                    <w:right w:val="nil"/>
                  </w:tcBorders>
                  <w:shd w:val="clear" w:color="auto" w:fill="FFFFFF" w:themeFill="background1"/>
                  <w:vAlign w:val="center"/>
                </w:tcPr>
                <w:p>
                  <w:pPr>
                    <w:pStyle w:val="54"/>
                    <w:ind w:left="11"/>
                    <w:jc w:val="center"/>
                    <w:rPr>
                      <w:rFonts w:hint="eastAsia"/>
                      <w:lang w:eastAsia="zh-CN"/>
                    </w:rPr>
                  </w:pPr>
                  <w:r>
                    <w:rPr>
                      <w:rFonts w:hint="eastAsia"/>
                      <w:lang w:eastAsia="zh-CN"/>
                    </w:rPr>
                    <w:t>/</w:t>
                  </w:r>
                </w:p>
              </w:tc>
            </w:tr>
          </w:tbl>
          <w:p>
            <w:pPr>
              <w:pStyle w:val="8"/>
              <w:spacing w:line="360" w:lineRule="auto"/>
              <w:rPr>
                <w:rFonts w:hint="eastAsia"/>
              </w:rPr>
            </w:pPr>
          </w:p>
          <w:p>
            <w:pPr>
              <w:pStyle w:val="8"/>
              <w:spacing w:line="360" w:lineRule="auto"/>
              <w:ind w:firstLine="480" w:firstLineChars="200"/>
              <w:rPr>
                <w:rFonts w:hint="eastAsia"/>
              </w:rPr>
            </w:pPr>
            <w:r>
              <w:rPr>
                <w:rFonts w:hint="eastAsia"/>
              </w:rPr>
              <w:t>本项目属于其它非金属矿物制品制造C</w:t>
            </w:r>
            <w:r>
              <w:rPr>
                <w:rFonts w:hint="eastAsia" w:ascii="Times New Roman" w:hAnsi="Times New Roman" w:eastAsia="宋体" w:cs="Times New Roman"/>
                <w:color w:val="000000"/>
                <w:kern w:val="0"/>
                <w:sz w:val="24"/>
                <w:szCs w:val="24"/>
                <w:lang w:val="en-US" w:eastAsia="zh-CN" w:bidi="ar-SA"/>
              </w:rPr>
              <w:t>3099</w:t>
            </w:r>
            <w:r>
              <w:rPr>
                <w:rFonts w:hint="eastAsia"/>
              </w:rPr>
              <w:t>，对照《固定污染源排污许可分类管理名录》（</w:t>
            </w:r>
            <w:r>
              <w:rPr>
                <w:rFonts w:hint="eastAsia" w:ascii="Times New Roman" w:hAnsi="Times New Roman" w:eastAsia="宋体" w:cs="Times New Roman"/>
                <w:color w:val="000000"/>
                <w:kern w:val="0"/>
                <w:sz w:val="24"/>
                <w:szCs w:val="24"/>
                <w:lang w:val="en-US" w:eastAsia="zh-CN" w:bidi="ar-SA"/>
              </w:rPr>
              <w:t>2019</w:t>
            </w:r>
            <w:r>
              <w:rPr>
                <w:rFonts w:hint="eastAsia"/>
              </w:rPr>
              <w:t>年版），本项目属于《名录》第二十五、非金属矿物制品业</w:t>
            </w:r>
            <w:r>
              <w:rPr>
                <w:rFonts w:hint="eastAsia"/>
                <w:lang w:val="en-US" w:eastAsia="zh-CN"/>
              </w:rPr>
              <w:t>30</w:t>
            </w:r>
            <w:r>
              <w:rPr>
                <w:rFonts w:hint="eastAsia"/>
              </w:rPr>
              <w:t>—</w:t>
            </w:r>
            <w:r>
              <w:rPr>
                <w:rFonts w:hint="eastAsia"/>
                <w:lang w:val="en-US" w:eastAsia="zh-CN"/>
              </w:rPr>
              <w:t xml:space="preserve">70石墨及其他非金属矿物制品制造309中其他非金属矿物制品制造 </w:t>
            </w:r>
            <w:r>
              <w:rPr>
                <w:rFonts w:hint="eastAsia" w:ascii="Times New Roman" w:hAnsi="Times New Roman" w:eastAsia="宋体" w:cs="Times New Roman"/>
                <w:color w:val="000000"/>
                <w:kern w:val="0"/>
                <w:sz w:val="24"/>
                <w:szCs w:val="24"/>
                <w:lang w:val="en-US" w:eastAsia="zh-CN" w:bidi="ar-SA"/>
              </w:rPr>
              <w:t>3099</w:t>
            </w:r>
            <w:r>
              <w:rPr>
                <w:rFonts w:hint="eastAsia"/>
              </w:rPr>
              <w:t>，属于登记管理。本单位已于2020年8月18日获得排污许可证（证书编号：</w:t>
            </w:r>
            <w:r>
              <w:rPr>
                <w:rFonts w:hint="eastAsia" w:ascii="Times New Roman" w:hAnsi="Times New Roman" w:eastAsia="宋体" w:cs="Times New Roman"/>
                <w:color w:val="000000"/>
                <w:kern w:val="0"/>
                <w:sz w:val="24"/>
                <w:szCs w:val="24"/>
                <w:lang w:val="en-US" w:eastAsia="zh-CN" w:bidi="ar-SA"/>
              </w:rPr>
              <w:t>91340208396840152L001U</w:t>
            </w:r>
            <w:r>
              <w:rPr>
                <w:rFonts w:hint="eastAsia"/>
              </w:rPr>
              <w:t>），承诺本项目投入运行并产生实际排污行为之前完成排污许可申报工作。</w:t>
            </w:r>
          </w:p>
          <w:p>
            <w:pPr>
              <w:spacing w:line="360" w:lineRule="auto"/>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表2-2 项目固定污染源排污许可类别判定</w:t>
            </w:r>
          </w:p>
          <w:tbl>
            <w:tblPr>
              <w:tblStyle w:val="89"/>
              <w:tblW w:w="5000" w:type="pct"/>
              <w:jc w:val="center"/>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Layout w:type="fixed"/>
              <w:tblCellMar>
                <w:top w:w="0" w:type="dxa"/>
                <w:left w:w="0" w:type="dxa"/>
                <w:bottom w:w="0" w:type="dxa"/>
                <w:right w:w="0" w:type="dxa"/>
              </w:tblCellMar>
            </w:tblPr>
            <w:tblGrid>
              <w:gridCol w:w="527"/>
              <w:gridCol w:w="991"/>
              <w:gridCol w:w="2121"/>
              <w:gridCol w:w="2799"/>
              <w:gridCol w:w="1281"/>
            </w:tblGrid>
            <w:tr>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96" w:hRule="atLeast"/>
                <w:jc w:val="center"/>
              </w:trPr>
              <w:tc>
                <w:tcPr>
                  <w:tcW w:w="341" w:type="pct"/>
                  <w:shd w:val="clear" w:color="auto" w:fill="auto"/>
                  <w:vAlign w:val="center"/>
                </w:tcPr>
                <w:p>
                  <w:pPr>
                    <w:pStyle w:val="54"/>
                    <w:spacing w:before="0"/>
                    <w:rPr>
                      <w:rFonts w:hint="eastAsia"/>
                      <w:b/>
                      <w:bCs/>
                      <w:lang w:eastAsia="en-US"/>
                    </w:rPr>
                  </w:pPr>
                  <w:r>
                    <w:rPr>
                      <w:rFonts w:hint="eastAsia"/>
                      <w:b/>
                      <w:bCs/>
                      <w:lang w:eastAsia="en-US"/>
                    </w:rPr>
                    <w:t>序号</w:t>
                  </w:r>
                </w:p>
              </w:tc>
              <w:tc>
                <w:tcPr>
                  <w:tcW w:w="642" w:type="pct"/>
                  <w:shd w:val="clear" w:color="auto" w:fill="auto"/>
                  <w:vAlign w:val="center"/>
                </w:tcPr>
                <w:p>
                  <w:pPr>
                    <w:pStyle w:val="54"/>
                    <w:spacing w:before="0"/>
                    <w:rPr>
                      <w:rFonts w:hint="eastAsia"/>
                      <w:b/>
                      <w:bCs/>
                      <w:lang w:eastAsia="en-US"/>
                    </w:rPr>
                  </w:pPr>
                  <w:r>
                    <w:rPr>
                      <w:rFonts w:hint="eastAsia"/>
                      <w:b/>
                      <w:bCs/>
                      <w:lang w:eastAsia="en-US"/>
                    </w:rPr>
                    <w:t>行业类别</w:t>
                  </w:r>
                </w:p>
              </w:tc>
              <w:tc>
                <w:tcPr>
                  <w:tcW w:w="1374" w:type="pct"/>
                  <w:shd w:val="clear" w:color="auto" w:fill="auto"/>
                  <w:vAlign w:val="center"/>
                </w:tcPr>
                <w:p>
                  <w:pPr>
                    <w:pStyle w:val="54"/>
                    <w:spacing w:before="0"/>
                    <w:jc w:val="center"/>
                    <w:rPr>
                      <w:rFonts w:hint="eastAsia"/>
                      <w:b/>
                      <w:bCs/>
                      <w:lang w:eastAsia="en-US"/>
                    </w:rPr>
                  </w:pPr>
                  <w:r>
                    <w:rPr>
                      <w:rFonts w:hint="eastAsia"/>
                      <w:b/>
                      <w:bCs/>
                      <w:lang w:eastAsia="en-US"/>
                    </w:rPr>
                    <w:t>重点管理</w:t>
                  </w:r>
                </w:p>
              </w:tc>
              <w:tc>
                <w:tcPr>
                  <w:tcW w:w="1813" w:type="pct"/>
                  <w:shd w:val="clear" w:color="auto" w:fill="auto"/>
                  <w:vAlign w:val="center"/>
                </w:tcPr>
                <w:p>
                  <w:pPr>
                    <w:pStyle w:val="54"/>
                    <w:spacing w:before="0"/>
                    <w:jc w:val="center"/>
                    <w:rPr>
                      <w:rFonts w:hint="eastAsia"/>
                      <w:b/>
                      <w:bCs/>
                      <w:lang w:eastAsia="en-US"/>
                    </w:rPr>
                  </w:pPr>
                  <w:r>
                    <w:rPr>
                      <w:rFonts w:hint="eastAsia"/>
                      <w:b/>
                      <w:bCs/>
                      <w:lang w:eastAsia="en-US"/>
                    </w:rPr>
                    <w:t>简化管理</w:t>
                  </w:r>
                </w:p>
              </w:tc>
              <w:tc>
                <w:tcPr>
                  <w:tcW w:w="830" w:type="pct"/>
                  <w:shd w:val="clear" w:color="auto" w:fill="7E7E7E" w:themeFill="text1" w:themeFillTint="80"/>
                  <w:vAlign w:val="center"/>
                </w:tcPr>
                <w:p>
                  <w:pPr>
                    <w:pStyle w:val="54"/>
                    <w:spacing w:before="0"/>
                    <w:jc w:val="center"/>
                    <w:rPr>
                      <w:rFonts w:hint="eastAsia"/>
                      <w:lang w:eastAsia="en-US"/>
                    </w:rPr>
                  </w:pPr>
                  <w:r>
                    <w:rPr>
                      <w:rFonts w:hint="eastAsia"/>
                      <w:b/>
                      <w:bCs/>
                      <w:lang w:eastAsia="en-US"/>
                    </w:rPr>
                    <w:t>登记管理</w:t>
                  </w:r>
                </w:p>
              </w:tc>
            </w:tr>
            <w:tr>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CellMar>
                  <w:top w:w="0" w:type="dxa"/>
                  <w:left w:w="0" w:type="dxa"/>
                  <w:bottom w:w="0" w:type="dxa"/>
                  <w:right w:w="0" w:type="dxa"/>
                </w:tblCellMar>
              </w:tblPrEx>
              <w:trPr>
                <w:trHeight w:val="396" w:hRule="atLeast"/>
                <w:jc w:val="center"/>
              </w:trPr>
              <w:tc>
                <w:tcPr>
                  <w:tcW w:w="10550" w:type="dxa"/>
                  <w:gridSpan w:val="5"/>
                  <w:shd w:val="clear" w:color="auto" w:fill="auto"/>
                  <w:vAlign w:val="center"/>
                </w:tcPr>
                <w:p>
                  <w:pPr>
                    <w:pStyle w:val="54"/>
                    <w:spacing w:before="0"/>
                    <w:jc w:val="left"/>
                    <w:rPr>
                      <w:rFonts w:hint="eastAsia"/>
                      <w:lang w:eastAsia="zh-CN"/>
                    </w:rPr>
                  </w:pPr>
                  <w:r>
                    <w:rPr>
                      <w:rFonts w:hint="eastAsia"/>
                      <w:lang w:eastAsia="zh-CN"/>
                    </w:rPr>
                    <w:t>二十五、非金属矿物制品业 30</w:t>
                  </w:r>
                </w:p>
              </w:tc>
            </w:tr>
            <w:tr>
              <w:tblPrEx>
                <w:tblBorders>
                  <w:top w:val="single" w:color="000000" w:sz="8" w:space="0"/>
                  <w:left w:val="none" w:color="auto" w:sz="0" w:space="0"/>
                  <w:bottom w:val="single" w:color="000000" w:sz="8" w:space="0"/>
                  <w:right w:val="none" w:color="auto" w:sz="0" w:space="0"/>
                  <w:insideH w:val="single" w:color="000000" w:sz="8" w:space="0"/>
                  <w:insideV w:val="single" w:color="000000" w:sz="8" w:space="0"/>
                </w:tblBorders>
              </w:tblPrEx>
              <w:trPr>
                <w:trHeight w:val="2254" w:hRule="atLeast"/>
                <w:jc w:val="center"/>
              </w:trPr>
              <w:tc>
                <w:tcPr>
                  <w:tcW w:w="341" w:type="pct"/>
                  <w:shd w:val="clear" w:color="auto" w:fill="auto"/>
                  <w:vAlign w:val="center"/>
                </w:tcPr>
                <w:p>
                  <w:pPr>
                    <w:pStyle w:val="54"/>
                    <w:spacing w:before="0"/>
                    <w:rPr>
                      <w:rFonts w:hint="eastAsia"/>
                      <w:lang w:val="en-US" w:eastAsia="zh-CN"/>
                    </w:rPr>
                  </w:pPr>
                  <w:r>
                    <w:rPr>
                      <w:rFonts w:hint="eastAsia"/>
                      <w:lang w:val="en-US" w:eastAsia="zh-CN"/>
                    </w:rPr>
                    <w:t>70</w:t>
                  </w:r>
                </w:p>
              </w:tc>
              <w:tc>
                <w:tcPr>
                  <w:tcW w:w="642" w:type="pct"/>
                  <w:shd w:val="clear" w:color="auto" w:fill="auto"/>
                  <w:vAlign w:val="center"/>
                </w:tcPr>
                <w:p>
                  <w:pPr>
                    <w:pStyle w:val="54"/>
                    <w:spacing w:before="0"/>
                    <w:rPr>
                      <w:rFonts w:hint="eastAsia"/>
                      <w:lang w:eastAsia="zh-CN"/>
                    </w:rPr>
                  </w:pPr>
                  <w:r>
                    <w:rPr>
                      <w:rFonts w:hint="eastAsia"/>
                      <w:lang w:eastAsia="zh-CN"/>
                    </w:rPr>
                    <w:t>石墨及其他非金属矿物制品制造 309</w:t>
                  </w:r>
                </w:p>
              </w:tc>
              <w:tc>
                <w:tcPr>
                  <w:tcW w:w="1374" w:type="pct"/>
                  <w:shd w:val="clear" w:color="auto" w:fill="auto"/>
                  <w:vAlign w:val="center"/>
                </w:tcPr>
                <w:p>
                  <w:pPr>
                    <w:pStyle w:val="54"/>
                    <w:spacing w:before="0"/>
                    <w:rPr>
                      <w:rFonts w:hint="eastAsia"/>
                      <w:lang w:eastAsia="zh-CN"/>
                    </w:rPr>
                  </w:pPr>
                  <w:r>
                    <w:rPr>
                      <w:rFonts w:hint="eastAsia"/>
                      <w:lang w:eastAsia="zh-CN"/>
                    </w:rPr>
                    <w:t>石墨及碳素制品制造 3091（石墨制品、碳制品、碳素新材料），其他非金属矿物制品制造 3099多晶硅棒）</w:t>
                  </w:r>
                </w:p>
              </w:tc>
              <w:tc>
                <w:tcPr>
                  <w:tcW w:w="1813" w:type="pct"/>
                  <w:shd w:val="clear" w:color="auto" w:fill="auto"/>
                  <w:vAlign w:val="center"/>
                </w:tcPr>
                <w:p>
                  <w:pPr>
                    <w:pStyle w:val="54"/>
                    <w:spacing w:line="260" w:lineRule="exact"/>
                    <w:jc w:val="left"/>
                    <w:rPr>
                      <w:rFonts w:hint="eastAsia"/>
                      <w:lang w:eastAsia="zh-CN"/>
                    </w:rPr>
                  </w:pPr>
                  <w:r>
                    <w:rPr>
                      <w:rFonts w:hint="eastAsia"/>
                      <w:lang w:eastAsia="zh-CN"/>
                    </w:rPr>
                    <w:t>石墨及碳素制品制造 3091（除石墨制品、碳制品、碳素新材料以外的），其他非金属矿物制品制造 3099（单晶硅棒，沥青混合物）</w:t>
                  </w:r>
                </w:p>
              </w:tc>
              <w:tc>
                <w:tcPr>
                  <w:tcW w:w="830" w:type="pct"/>
                  <w:shd w:val="clear" w:color="auto" w:fill="7E7E7E" w:themeFill="text1" w:themeFillTint="80"/>
                  <w:vAlign w:val="center"/>
                </w:tcPr>
                <w:p>
                  <w:pPr>
                    <w:pStyle w:val="54"/>
                    <w:spacing w:before="0"/>
                    <w:jc w:val="left"/>
                    <w:rPr>
                      <w:rFonts w:hint="eastAsia"/>
                      <w:lang w:eastAsia="zh-CN"/>
                    </w:rPr>
                  </w:pPr>
                  <w:r>
                    <w:rPr>
                      <w:rFonts w:hint="eastAsia"/>
                      <w:lang w:eastAsia="zh-CN"/>
                    </w:rPr>
                    <w:t>其他非金属矿物制品制造3099（除重点管理、简化管理以外的）</w:t>
                  </w:r>
                </w:p>
              </w:tc>
            </w:tr>
          </w:tbl>
          <w:p>
            <w:pPr>
              <w:pStyle w:val="8"/>
              <w:spacing w:line="360" w:lineRule="auto"/>
              <w:ind w:firstLine="480" w:firstLineChars="200"/>
              <w:rPr>
                <w:rFonts w:hint="eastAsia"/>
              </w:rPr>
            </w:pPr>
          </w:p>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受芜湖新兴新材料产业园有限公司的委托，我公司承担了本项目环境影响评价工作。我公司接受委托后，迅速进行了现场踏勘、调研，对建设工程进行了全面调查，确定本次环评目的是在了解建设项目厂址周围环境特点和污染物排放特征的基础上，分析预测项目建设过程中以及投入运营对周围环境的影响程度、影响范围以及环境质量可能发生的变化；同时结合实际，依据国家、安徽省环境保护有关法律法规、标准和当地环境功能的要求，规定实行达标排放的污染防治措施，从环境保护角度分析工程建设的可行性，为建设项目工程设计方案的确定以及管理提供科学的依据。</w:t>
            </w:r>
          </w:p>
          <w:p>
            <w:pPr>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2、地理位置及周边关系</w:t>
            </w:r>
          </w:p>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项目位于芜湖市三山区经济开发区春洲路2号。本项目坐标为：东经118°10′4.09″，北纬31°13′8.32″；项目东侧为新兴际华搅拌站，南侧为空地，西侧为芜湖新兴铸管有限责任公司主厂区，北侧为春洲路。项目地理位置详见附图1、周边概况图见附图2。</w:t>
            </w:r>
          </w:p>
          <w:p>
            <w:pPr>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3、工程建设内容及规模</w:t>
            </w:r>
          </w:p>
          <w:p>
            <w:pPr>
              <w:spacing w:line="360" w:lineRule="auto"/>
              <w:ind w:firstLine="48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项目建筑面积约</w:t>
            </w:r>
            <w:r>
              <w:rPr>
                <w:rFonts w:hint="eastAsia" w:ascii="Times New Roman" w:hAnsi="Times New Roman" w:eastAsia="宋体" w:cs="Times New Roman"/>
                <w:color w:val="000000"/>
                <w:kern w:val="0"/>
                <w:sz w:val="24"/>
                <w:szCs w:val="24"/>
                <w:lang w:val="en-US" w:eastAsia="zh-CN" w:bidi="ar-SA"/>
              </w:rPr>
              <w:t>3969m</w:t>
            </w:r>
            <w:r>
              <w:rPr>
                <w:rFonts w:hint="eastAsia" w:ascii="Times New Roman" w:hAnsi="Times New Roman" w:eastAsia="宋体" w:cs="Times New Roman"/>
                <w:color w:val="000000"/>
                <w:kern w:val="0"/>
                <w:sz w:val="24"/>
                <w:szCs w:val="24"/>
                <w:vertAlign w:val="superscript"/>
                <w:lang w:val="en-US" w:eastAsia="zh-CN" w:bidi="ar-SA"/>
              </w:rPr>
              <w:t>2</w:t>
            </w:r>
            <w:r>
              <w:rPr>
                <w:rFonts w:hint="eastAsia"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项目主要工程内容及规模见表2-3：</w:t>
            </w:r>
          </w:p>
          <w:p>
            <w:pPr>
              <w:pStyle w:val="53"/>
              <w:spacing w:line="360" w:lineRule="auto"/>
              <w:ind w:firstLine="0"/>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表2-3   建设项目组成一览表</w:t>
            </w:r>
          </w:p>
          <w:tbl>
            <w:tblPr>
              <w:tblStyle w:val="26"/>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3"/>
              <w:gridCol w:w="622"/>
              <w:gridCol w:w="2072"/>
              <w:gridCol w:w="2520"/>
              <w:gridCol w:w="1872"/>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410" w:type="pct"/>
                  <w:vMerge w:val="restart"/>
                  <w:tcBorders>
                    <w:top w:val="single" w:color="auto" w:sz="8" w:space="0"/>
                    <w:left w:val="nil"/>
                    <w:bottom w:val="single" w:color="auto" w:sz="4" w:space="0"/>
                    <w:right w:val="single" w:color="auto" w:sz="4" w:space="0"/>
                  </w:tcBorders>
                  <w:vAlign w:val="center"/>
                </w:tcPr>
                <w:p>
                  <w:pPr>
                    <w:widowControl/>
                    <w:jc w:val="center"/>
                    <w:rPr>
                      <w:b/>
                      <w:bCs/>
                    </w:rPr>
                  </w:pPr>
                  <w:r>
                    <w:rPr>
                      <w:b/>
                      <w:bCs/>
                    </w:rPr>
                    <w:t>类别</w:t>
                  </w:r>
                </w:p>
              </w:tc>
              <w:tc>
                <w:tcPr>
                  <w:tcW w:w="402" w:type="pct"/>
                  <w:vMerge w:val="restart"/>
                  <w:tcBorders>
                    <w:top w:val="single" w:color="auto" w:sz="8" w:space="0"/>
                    <w:left w:val="single" w:color="auto" w:sz="4" w:space="0"/>
                    <w:bottom w:val="single" w:color="auto" w:sz="4" w:space="0"/>
                    <w:right w:val="single" w:color="auto" w:sz="4" w:space="0"/>
                  </w:tcBorders>
                  <w:vAlign w:val="center"/>
                </w:tcPr>
                <w:p>
                  <w:pPr>
                    <w:widowControl/>
                    <w:jc w:val="center"/>
                    <w:rPr>
                      <w:b/>
                      <w:bCs/>
                    </w:rPr>
                  </w:pPr>
                  <w:r>
                    <w:rPr>
                      <w:b/>
                      <w:bCs/>
                    </w:rPr>
                    <w:t>工程名称</w:t>
                  </w:r>
                </w:p>
              </w:tc>
              <w:tc>
                <w:tcPr>
                  <w:tcW w:w="2974" w:type="pct"/>
                  <w:gridSpan w:val="2"/>
                  <w:tcBorders>
                    <w:top w:val="single" w:color="auto" w:sz="8" w:space="0"/>
                    <w:left w:val="single" w:color="auto" w:sz="4" w:space="0"/>
                    <w:bottom w:val="single" w:color="auto" w:sz="4" w:space="0"/>
                    <w:right w:val="single" w:color="auto" w:sz="4" w:space="0"/>
                  </w:tcBorders>
                  <w:vAlign w:val="center"/>
                </w:tcPr>
                <w:p>
                  <w:pPr>
                    <w:widowControl/>
                    <w:jc w:val="center"/>
                    <w:rPr>
                      <w:b/>
                      <w:bCs/>
                    </w:rPr>
                  </w:pPr>
                  <w:r>
                    <w:rPr>
                      <w:b/>
                      <w:bCs/>
                    </w:rPr>
                    <w:t>建设内容</w:t>
                  </w:r>
                </w:p>
              </w:tc>
              <w:tc>
                <w:tcPr>
                  <w:tcW w:w="1212" w:type="pct"/>
                  <w:vMerge w:val="restart"/>
                  <w:tcBorders>
                    <w:top w:val="single" w:color="auto" w:sz="8" w:space="0"/>
                    <w:left w:val="single" w:color="auto" w:sz="4" w:space="0"/>
                    <w:bottom w:val="single" w:color="auto" w:sz="4" w:space="0"/>
                    <w:right w:val="nil"/>
                  </w:tcBorders>
                  <w:vAlign w:val="center"/>
                </w:tcPr>
                <w:p>
                  <w:pPr>
                    <w:widowControl/>
                    <w:jc w:val="center"/>
                    <w:rPr>
                      <w:b/>
                      <w:bCs/>
                    </w:rPr>
                  </w:pPr>
                  <w:r>
                    <w:rPr>
                      <w:b/>
                      <w:bCs/>
                    </w:rPr>
                    <w:t>备注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410" w:type="pct"/>
                  <w:vMerge w:val="continue"/>
                  <w:tcBorders>
                    <w:top w:val="single" w:color="auto" w:sz="8" w:space="0"/>
                    <w:left w:val="nil"/>
                    <w:bottom w:val="single" w:color="auto" w:sz="4" w:space="0"/>
                    <w:right w:val="single" w:color="auto" w:sz="4" w:space="0"/>
                  </w:tcBorders>
                  <w:vAlign w:val="center"/>
                </w:tcPr>
                <w:p>
                  <w:pPr>
                    <w:widowControl/>
                    <w:jc w:val="center"/>
                  </w:pPr>
                </w:p>
              </w:tc>
              <w:tc>
                <w:tcPr>
                  <w:tcW w:w="402" w:type="pct"/>
                  <w:vMerge w:val="continue"/>
                  <w:tcBorders>
                    <w:top w:val="single" w:color="auto" w:sz="8" w:space="0"/>
                    <w:left w:val="single" w:color="auto" w:sz="4" w:space="0"/>
                    <w:bottom w:val="single" w:color="auto" w:sz="4" w:space="0"/>
                    <w:right w:val="single" w:color="auto" w:sz="4" w:space="0"/>
                  </w:tcBorders>
                  <w:vAlign w:val="center"/>
                </w:tcPr>
                <w:p>
                  <w:pPr>
                    <w:widowControl/>
                    <w:jc w:val="center"/>
                  </w:pPr>
                </w:p>
              </w:tc>
              <w:tc>
                <w:tcPr>
                  <w:tcW w:w="1342"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b/>
                      <w:bCs/>
                    </w:rPr>
                  </w:pPr>
                  <w:r>
                    <w:rPr>
                      <w:rFonts w:hint="eastAsia"/>
                      <w:b/>
                      <w:bCs/>
                    </w:rPr>
                    <w:t>改扩建前</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b/>
                      <w:bCs/>
                    </w:rPr>
                  </w:pPr>
                  <w:r>
                    <w:rPr>
                      <w:rFonts w:hint="eastAsia"/>
                      <w:b/>
                      <w:bCs/>
                    </w:rPr>
                    <w:t>改扩建后</w:t>
                  </w:r>
                </w:p>
              </w:tc>
              <w:tc>
                <w:tcPr>
                  <w:tcW w:w="1212" w:type="pct"/>
                  <w:vMerge w:val="continue"/>
                  <w:tcBorders>
                    <w:top w:val="single" w:color="auto" w:sz="8" w:space="0"/>
                    <w:left w:val="single" w:color="auto" w:sz="4" w:space="0"/>
                    <w:bottom w:val="single" w:color="auto" w:sz="4" w:space="0"/>
                    <w:right w:val="nil"/>
                  </w:tcBorders>
                  <w:vAlign w:val="center"/>
                </w:tcPr>
                <w:p>
                  <w:pPr>
                    <w:widowControl/>
                    <w:jc w:val="cente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410" w:type="pct"/>
                  <w:tcBorders>
                    <w:top w:val="single" w:color="auto" w:sz="4" w:space="0"/>
                    <w:left w:val="nil"/>
                    <w:bottom w:val="single" w:color="auto" w:sz="4" w:space="0"/>
                    <w:right w:val="single" w:color="auto" w:sz="4" w:space="0"/>
                  </w:tcBorders>
                  <w:vAlign w:val="center"/>
                </w:tcPr>
                <w:p>
                  <w:pPr>
                    <w:jc w:val="center"/>
                  </w:pPr>
                  <w:r>
                    <w:t>主体工程</w:t>
                  </w:r>
                </w:p>
              </w:tc>
              <w:tc>
                <w:tcPr>
                  <w:tcW w:w="402" w:type="pct"/>
                  <w:tcBorders>
                    <w:top w:val="single" w:color="auto" w:sz="4" w:space="0"/>
                    <w:left w:val="single" w:color="auto" w:sz="4" w:space="0"/>
                    <w:bottom w:val="single" w:color="auto" w:sz="4" w:space="0"/>
                    <w:right w:val="single" w:color="auto" w:sz="4" w:space="0"/>
                  </w:tcBorders>
                  <w:vAlign w:val="center"/>
                </w:tcPr>
                <w:p>
                  <w:pPr>
                    <w:jc w:val="center"/>
                    <w:rPr>
                      <w:rFonts w:hint="eastAsia"/>
                      <w:lang w:eastAsia="zh-CN"/>
                    </w:rPr>
                  </w:pPr>
                  <w:r>
                    <w:t>生产</w:t>
                  </w:r>
                  <w:r>
                    <w:rPr>
                      <w:rFonts w:hint="eastAsia"/>
                      <w:lang w:val="en-US" w:eastAsia="zh-CN"/>
                    </w:rPr>
                    <w:t>车间</w:t>
                  </w:r>
                </w:p>
              </w:tc>
              <w:tc>
                <w:tcPr>
                  <w:tcW w:w="1342" w:type="pct"/>
                  <w:tcBorders>
                    <w:top w:val="single" w:color="auto" w:sz="4" w:space="0"/>
                    <w:left w:val="single" w:color="auto" w:sz="4" w:space="0"/>
                    <w:bottom w:val="single" w:color="auto" w:sz="4" w:space="0"/>
                    <w:right w:val="single" w:color="auto" w:sz="4" w:space="0"/>
                  </w:tcBorders>
                  <w:vAlign w:val="center"/>
                </w:tcPr>
                <w:p>
                  <w:pPr>
                    <w:pStyle w:val="31"/>
                    <w:rPr>
                      <w:rFonts w:hint="default"/>
                      <w:lang w:val="en-US"/>
                    </w:rPr>
                  </w:pPr>
                  <w:r>
                    <w:rPr>
                      <w:rFonts w:hint="default" w:ascii="Times New Roman" w:hAnsi="Times New Roman" w:eastAsia="宋体" w:cs="Times New Roman"/>
                      <w:color w:val="auto"/>
                      <w:kern w:val="2"/>
                      <w:sz w:val="21"/>
                      <w:szCs w:val="24"/>
                      <w:lang w:val="en-US" w:eastAsia="zh-CN" w:bidi="ar-SA"/>
                    </w:rPr>
                    <w:t>设备区建筑面积192</w:t>
                  </w:r>
                  <w:r>
                    <w:rPr>
                      <w:rFonts w:hint="default"/>
                      <w:lang w:val="en-US" w:eastAsia="zh-CN"/>
                    </w:rPr>
                    <w:t>m²，</w:t>
                  </w:r>
                  <w:r>
                    <w:rPr>
                      <w:rFonts w:hint="default" w:ascii="Times New Roman" w:hAnsi="Times New Roman" w:eastAsia="宋体" w:cs="Times New Roman"/>
                      <w:color w:val="auto"/>
                      <w:kern w:val="2"/>
                      <w:sz w:val="21"/>
                      <w:szCs w:val="24"/>
                      <w:lang w:val="en-US" w:eastAsia="zh-CN" w:bidi="ar-SA"/>
                    </w:rPr>
                    <w:t>生产车间做全封闭式</w:t>
                  </w:r>
                </w:p>
              </w:tc>
              <w:tc>
                <w:tcPr>
                  <w:tcW w:w="1632" w:type="pct"/>
                  <w:tcBorders>
                    <w:top w:val="single" w:color="auto" w:sz="4" w:space="0"/>
                    <w:left w:val="single" w:color="auto" w:sz="4" w:space="0"/>
                    <w:bottom w:val="single" w:color="auto" w:sz="4" w:space="0"/>
                    <w:right w:val="single" w:color="auto" w:sz="4" w:space="0"/>
                  </w:tcBorders>
                  <w:vAlign w:val="center"/>
                </w:tcPr>
                <w:p>
                  <w:pPr>
                    <w:jc w:val="center"/>
                    <w:rPr>
                      <w:rFonts w:hint="default"/>
                    </w:rPr>
                  </w:pPr>
                  <w:r>
                    <w:rPr>
                      <w:rFonts w:hint="default"/>
                      <w:lang w:val="en-US" w:eastAsia="zh-CN"/>
                    </w:rPr>
                    <w:t>原设备区建筑面积192m²，新建设备区建筑面积400m²，生产车间做全封闭式</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default"/>
                      <w:lang w:val="en-US" w:eastAsia="zh-CN"/>
                    </w:rPr>
                  </w:pPr>
                  <w:r>
                    <w:rPr>
                      <w:rFonts w:hint="eastAsia"/>
                      <w:lang w:val="en-US" w:eastAsia="zh-CN"/>
                    </w:rPr>
                    <w:t>原设备区不变，依托现有厂房另新建400</w:t>
                  </w:r>
                  <w:r>
                    <w:rPr>
                      <w:rFonts w:hint="default"/>
                      <w:lang w:val="en-US" w:eastAsia="zh-CN"/>
                    </w:rPr>
                    <w:t>m²</w:t>
                  </w:r>
                  <w:r>
                    <w:rPr>
                      <w:rFonts w:hint="eastAsia"/>
                      <w:lang w:val="en-US" w:eastAsia="zh-CN"/>
                    </w:rPr>
                    <w:t>设备区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tcBorders>
                    <w:top w:val="single" w:color="auto" w:sz="4" w:space="0"/>
                    <w:left w:val="nil"/>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辅助工程</w:t>
                  </w:r>
                </w:p>
              </w:tc>
              <w:tc>
                <w:tcPr>
                  <w:tcW w:w="40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休息室</w:t>
                  </w: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员工休息，建筑面积28m²</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员工休息，建筑面积28m²</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eastAsia"/>
                    </w:rPr>
                  </w:pPr>
                  <w:r>
                    <w:rPr>
                      <w:rFonts w:hint="eastAsia"/>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vMerge w:val="restart"/>
                  <w:tcBorders>
                    <w:top w:val="single" w:color="auto" w:sz="4" w:space="0"/>
                    <w:left w:val="nil"/>
                    <w:right w:val="single" w:color="auto" w:sz="4" w:space="0"/>
                  </w:tcBorders>
                  <w:vAlign w:val="center"/>
                </w:tcPr>
                <w:p>
                  <w:pPr>
                    <w:jc w:val="center"/>
                  </w:pPr>
                  <w:r>
                    <w:t>储运工程</w:t>
                  </w:r>
                </w:p>
              </w:tc>
              <w:tc>
                <w:tcPr>
                  <w:tcW w:w="402" w:type="pct"/>
                  <w:vMerge w:val="restart"/>
                  <w:tcBorders>
                    <w:top w:val="single" w:color="auto" w:sz="4" w:space="0"/>
                    <w:left w:val="single" w:color="auto" w:sz="4" w:space="0"/>
                    <w:right w:val="single" w:color="auto" w:sz="4" w:space="0"/>
                  </w:tcBorders>
                  <w:vAlign w:val="center"/>
                </w:tcPr>
                <w:p>
                  <w:pPr>
                    <w:widowControl/>
                    <w:jc w:val="center"/>
                  </w:pPr>
                  <w:r>
                    <w:rPr>
                      <w:rFonts w:hint="eastAsia"/>
                    </w:rPr>
                    <w:t>仓库</w:t>
                  </w: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default"/>
                      <w:lang w:val="en-US" w:eastAsia="zh-CN"/>
                    </w:rPr>
                  </w:pPr>
                  <w:r>
                    <w:rPr>
                      <w:rFonts w:hint="default"/>
                      <w:lang w:val="en-US" w:eastAsia="zh-CN"/>
                    </w:rPr>
                    <w:t>成品砂储存区占地面积为405m²，为三面封闭式，位于全封闭生产车间内</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default"/>
                      <w:lang w:val="en-US" w:eastAsia="zh-CN"/>
                    </w:rPr>
                  </w:pPr>
                  <w:r>
                    <w:rPr>
                      <w:rFonts w:hint="eastAsia"/>
                      <w:lang w:val="en-US" w:eastAsia="zh-CN"/>
                    </w:rPr>
                    <w:t>原</w:t>
                  </w:r>
                  <w:r>
                    <w:rPr>
                      <w:rFonts w:hint="default"/>
                      <w:lang w:val="en-US" w:eastAsia="zh-CN"/>
                    </w:rPr>
                    <w:t>成品砂储存区占地面积为405m²，</w:t>
                  </w:r>
                  <w:r>
                    <w:rPr>
                      <w:rFonts w:hint="eastAsia"/>
                      <w:lang w:val="en-US" w:eastAsia="zh-CN"/>
                    </w:rPr>
                    <w:t>新增铸造用成品砂储存区占地面积为1000</w:t>
                  </w:r>
                  <w:r>
                    <w:rPr>
                      <w:rFonts w:hint="default"/>
                      <w:lang w:val="en-US" w:eastAsia="zh-CN"/>
                    </w:rPr>
                    <w:t>m²</w:t>
                  </w:r>
                  <w:r>
                    <w:rPr>
                      <w:rFonts w:hint="eastAsia"/>
                      <w:lang w:val="en-US" w:eastAsia="zh-CN"/>
                    </w:rPr>
                    <w:t>，</w:t>
                  </w:r>
                  <w:r>
                    <w:rPr>
                      <w:rFonts w:hint="default"/>
                      <w:lang w:val="en-US" w:eastAsia="zh-CN"/>
                    </w:rPr>
                    <w:t>位于全封闭生产车间内</w:t>
                  </w:r>
                </w:p>
              </w:tc>
              <w:tc>
                <w:tcPr>
                  <w:tcW w:w="1212" w:type="pct"/>
                  <w:tcBorders>
                    <w:top w:val="single" w:color="auto" w:sz="4" w:space="0"/>
                    <w:left w:val="single" w:color="auto" w:sz="4" w:space="0"/>
                    <w:bottom w:val="single" w:color="auto" w:sz="4" w:space="0"/>
                    <w:right w:val="nil"/>
                  </w:tcBorders>
                  <w:vAlign w:val="center"/>
                </w:tcPr>
                <w:p>
                  <w:pPr>
                    <w:widowControl/>
                    <w:jc w:val="center"/>
                  </w:pPr>
                  <w:r>
                    <w:rPr>
                      <w:rFonts w:hint="eastAsia"/>
                      <w:lang w:val="en-US" w:eastAsia="zh-CN"/>
                    </w:rPr>
                    <w:t>原成品砂储存区不变，另新增1000</w:t>
                  </w:r>
                  <w:r>
                    <w:rPr>
                      <w:rFonts w:hint="default"/>
                      <w:lang w:val="en-US" w:eastAsia="zh-CN"/>
                    </w:rPr>
                    <w:t>m²</w:t>
                  </w:r>
                  <w:r>
                    <w:rPr>
                      <w:rFonts w:hint="eastAsia"/>
                      <w:lang w:val="en-US" w:eastAsia="zh-CN"/>
                    </w:rPr>
                    <w:t>成品砂储存区</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vMerge w:val="continue"/>
                  <w:tcBorders>
                    <w:left w:val="nil"/>
                    <w:right w:val="single" w:color="auto" w:sz="4" w:space="0"/>
                  </w:tcBorders>
                  <w:vAlign w:val="center"/>
                </w:tcPr>
                <w:p>
                  <w:pPr>
                    <w:jc w:val="center"/>
                  </w:pPr>
                </w:p>
              </w:tc>
              <w:tc>
                <w:tcPr>
                  <w:tcW w:w="402" w:type="pct"/>
                  <w:vMerge w:val="continue"/>
                  <w:tcBorders>
                    <w:left w:val="single" w:color="auto" w:sz="4" w:space="0"/>
                    <w:right w:val="single" w:color="auto" w:sz="4" w:space="0"/>
                  </w:tcBorders>
                  <w:vAlign w:val="center"/>
                </w:tcPr>
                <w:p>
                  <w:pPr>
                    <w:widowControl/>
                    <w:jc w:val="center"/>
                    <w:rPr>
                      <w:rFonts w:hint="eastAsia"/>
                    </w:rPr>
                  </w:pP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原砂储存区占地面积为2322m²，为三面封闭式，位于全封闭生产车间内</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原砂储存区占地面积</w:t>
                  </w:r>
                  <w:r>
                    <w:rPr>
                      <w:rFonts w:hint="eastAsia"/>
                      <w:lang w:val="en-US" w:eastAsia="zh-CN"/>
                    </w:rPr>
                    <w:t>为500</w:t>
                  </w:r>
                  <w:r>
                    <w:rPr>
                      <w:rFonts w:hint="default"/>
                      <w:lang w:val="en-US" w:eastAsia="zh-CN"/>
                    </w:rPr>
                    <w:t>m²，</w:t>
                  </w:r>
                  <w:r>
                    <w:rPr>
                      <w:rFonts w:hint="eastAsia"/>
                      <w:lang w:val="en-US" w:eastAsia="zh-CN"/>
                    </w:rPr>
                    <w:t>新增青石鹅卵石原料区600</w:t>
                  </w:r>
                  <w:r>
                    <w:rPr>
                      <w:rFonts w:hint="default"/>
                      <w:lang w:val="en-US" w:eastAsia="zh-CN"/>
                    </w:rPr>
                    <w:t>m²位于全封闭生产车间内</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default"/>
                      <w:lang w:val="en-US" w:eastAsia="zh-CN"/>
                    </w:rPr>
                  </w:pPr>
                  <w:r>
                    <w:rPr>
                      <w:rFonts w:hint="eastAsia"/>
                      <w:lang w:val="en-US" w:eastAsia="zh-CN"/>
                    </w:rPr>
                    <w:t>因新建年产13万吨铸造用砂制品生产线，作为原来生产线的原料，只需外购一小部分江砂做原料，则原来江砂储存区面积减小，新增青石鹅卵石原料区600</w:t>
                  </w:r>
                  <w:r>
                    <w:rPr>
                      <w:rFonts w:hint="default"/>
                      <w:lang w:val="en-US" w:eastAsia="zh-CN"/>
                    </w:rPr>
                    <w:t>m²</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410" w:type="pct"/>
                  <w:vMerge w:val="continue"/>
                  <w:tcBorders>
                    <w:left w:val="nil"/>
                    <w:bottom w:val="single" w:color="auto" w:sz="4" w:space="0"/>
                    <w:right w:val="single" w:color="auto" w:sz="4" w:space="0"/>
                  </w:tcBorders>
                  <w:vAlign w:val="center"/>
                </w:tcPr>
                <w:p>
                  <w:pPr>
                    <w:jc w:val="center"/>
                  </w:pPr>
                </w:p>
              </w:tc>
              <w:tc>
                <w:tcPr>
                  <w:tcW w:w="402" w:type="pct"/>
                  <w:vMerge w:val="continue"/>
                  <w:tcBorders>
                    <w:left w:val="single" w:color="auto" w:sz="4" w:space="0"/>
                    <w:bottom w:val="single" w:color="auto" w:sz="4" w:space="0"/>
                    <w:right w:val="single" w:color="auto" w:sz="4" w:space="0"/>
                  </w:tcBorders>
                  <w:vAlign w:val="center"/>
                </w:tcPr>
                <w:p>
                  <w:pPr>
                    <w:widowControl/>
                    <w:jc w:val="center"/>
                    <w:rPr>
                      <w:rFonts w:hint="eastAsia"/>
                    </w:rPr>
                  </w:pPr>
                </w:p>
              </w:tc>
              <w:tc>
                <w:tcPr>
                  <w:tcW w:w="134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砂仓占地面积300m²，为三面封闭式，位于全封闭生产车间内</w:t>
                  </w:r>
                </w:p>
              </w:tc>
              <w:tc>
                <w:tcPr>
                  <w:tcW w:w="1632"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tabs>
                      <w:tab w:val="left" w:pos="3255"/>
                    </w:tabs>
                    <w:kinsoku/>
                    <w:wordWrap/>
                    <w:overflowPunct/>
                    <w:topLinePunct w:val="0"/>
                    <w:autoSpaceDE/>
                    <w:autoSpaceDN/>
                    <w:bidi w:val="0"/>
                    <w:adjustRightInd w:val="0"/>
                    <w:snapToGrid w:val="0"/>
                    <w:spacing w:after="0"/>
                    <w:jc w:val="left"/>
                    <w:textAlignment w:val="auto"/>
                    <w:rPr>
                      <w:rFonts w:hint="eastAsia"/>
                      <w:lang w:val="en-US" w:eastAsia="zh-CN"/>
                    </w:rPr>
                  </w:pPr>
                  <w:r>
                    <w:rPr>
                      <w:rFonts w:hint="default"/>
                      <w:lang w:val="en-US" w:eastAsia="zh-CN"/>
                    </w:rPr>
                    <w:t>砂仓占地面积300m²，为三面封闭式，位于全封闭生产车间内</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eastAsia"/>
                    </w:rPr>
                  </w:pPr>
                  <w:r>
                    <w:rPr>
                      <w:rFonts w:hint="eastAsia"/>
                    </w:rPr>
                    <w:t>保持不变</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0" w:type="pct"/>
                  <w:vMerge w:val="restart"/>
                  <w:tcBorders>
                    <w:top w:val="single" w:color="auto" w:sz="4" w:space="0"/>
                    <w:left w:val="nil"/>
                    <w:bottom w:val="single" w:color="auto" w:sz="4" w:space="0"/>
                    <w:right w:val="single" w:color="auto" w:sz="4" w:space="0"/>
                  </w:tcBorders>
                  <w:vAlign w:val="center"/>
                </w:tcPr>
                <w:p>
                  <w:pPr>
                    <w:widowControl/>
                    <w:jc w:val="center"/>
                  </w:pPr>
                  <w:r>
                    <w:t>公用工程</w:t>
                  </w: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t>供电系统</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t>来自市政电网</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2"/>
                      <w:sz w:val="21"/>
                      <w:szCs w:val="24"/>
                      <w:lang w:val="en-US" w:eastAsia="zh-CN" w:bidi="ar-SA"/>
                    </w:rPr>
                  </w:pPr>
                  <w:r>
                    <w:t>来自市政电网</w:t>
                  </w:r>
                </w:p>
              </w:tc>
              <w:tc>
                <w:tcPr>
                  <w:tcW w:w="1212" w:type="pct"/>
                  <w:tcBorders>
                    <w:top w:val="single" w:color="auto" w:sz="4" w:space="0"/>
                    <w:left w:val="single" w:color="auto" w:sz="4" w:space="0"/>
                    <w:bottom w:val="single" w:color="auto" w:sz="4" w:space="0"/>
                    <w:right w:val="nil"/>
                  </w:tcBorders>
                  <w:vAlign w:val="center"/>
                </w:tcPr>
                <w:p>
                  <w:pPr>
                    <w:widowControl/>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jc w:val="center"/>
                  </w:pPr>
                  <w:r>
                    <w:t>供水系统</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t>来自市政给水管网</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kern w:val="2"/>
                      <w:sz w:val="21"/>
                      <w:szCs w:val="24"/>
                      <w:lang w:val="en-US" w:eastAsia="zh-CN" w:bidi="ar-SA"/>
                    </w:rPr>
                  </w:pPr>
                  <w:r>
                    <w:t>来自市政给水管网</w:t>
                  </w:r>
                </w:p>
              </w:tc>
              <w:tc>
                <w:tcPr>
                  <w:tcW w:w="1212" w:type="pct"/>
                  <w:tcBorders>
                    <w:top w:val="single" w:color="auto" w:sz="4" w:space="0"/>
                    <w:left w:val="single" w:color="auto" w:sz="4" w:space="0"/>
                    <w:bottom w:val="single" w:color="auto" w:sz="4" w:space="0"/>
                    <w:right w:val="nil"/>
                  </w:tcBorders>
                  <w:vAlign w:val="center"/>
                </w:tcPr>
                <w:p>
                  <w:pPr>
                    <w:widowControl/>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jc w:val="center"/>
                  </w:pPr>
                  <w:r>
                    <w:t>排水系统</w:t>
                  </w:r>
                </w:p>
              </w:tc>
              <w:tc>
                <w:tcPr>
                  <w:tcW w:w="2974" w:type="pct"/>
                  <w:gridSpan w:val="2"/>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雨水经厂内雨水管网收集后排入市政雨水管网，生产废水经循环沉淀池沉淀后循环使用，不外排</w:t>
                  </w:r>
                </w:p>
              </w:tc>
              <w:tc>
                <w:tcPr>
                  <w:tcW w:w="1212" w:type="pct"/>
                  <w:tcBorders>
                    <w:top w:val="single" w:color="auto" w:sz="4" w:space="0"/>
                    <w:left w:val="single" w:color="auto" w:sz="4" w:space="0"/>
                    <w:bottom w:val="single" w:color="auto" w:sz="4" w:space="0"/>
                    <w:right w:val="nil"/>
                  </w:tcBorders>
                  <w:vAlign w:val="center"/>
                </w:tcPr>
                <w:p>
                  <w:pPr>
                    <w:widowControl/>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0" w:type="pct"/>
                  <w:vMerge w:val="restart"/>
                  <w:tcBorders>
                    <w:top w:val="single" w:color="auto" w:sz="4" w:space="0"/>
                    <w:left w:val="nil"/>
                    <w:bottom w:val="single" w:color="auto" w:sz="4" w:space="0"/>
                    <w:right w:val="single" w:color="auto" w:sz="4" w:space="0"/>
                  </w:tcBorders>
                  <w:vAlign w:val="center"/>
                </w:tcPr>
                <w:p>
                  <w:pPr>
                    <w:widowControl/>
                    <w:jc w:val="center"/>
                    <w:rPr>
                      <w:rFonts w:hint="default"/>
                      <w:lang w:val="en-US" w:eastAsia="zh-CN"/>
                    </w:rPr>
                  </w:pPr>
                  <w:r>
                    <w:rPr>
                      <w:rFonts w:hint="eastAsia"/>
                      <w:lang w:val="en-US" w:eastAsia="zh-CN"/>
                    </w:rPr>
                    <w:t>环保工程</w:t>
                  </w: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t>废水治理</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rPr>
                      <w:rFonts w:hint="default"/>
                      <w:lang w:val="en-US" w:eastAsia="zh-CN"/>
                    </w:rPr>
                  </w:pPr>
                  <w:r>
                    <w:t>雨污分流；</w:t>
                  </w:r>
                  <w:r>
                    <w:rPr>
                      <w:rFonts w:hint="eastAsia"/>
                      <w:lang w:val="en-US" w:eastAsia="zh-CN"/>
                    </w:rPr>
                    <w:t>循环沉淀池</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pPr>
                  <w:r>
                    <w:t>雨污分流；</w:t>
                  </w:r>
                  <w:r>
                    <w:rPr>
                      <w:rFonts w:hint="eastAsia"/>
                      <w:lang w:val="en-US" w:eastAsia="zh-CN"/>
                    </w:rPr>
                    <w:t>循环沉淀池</w:t>
                  </w:r>
                </w:p>
              </w:tc>
              <w:tc>
                <w:tcPr>
                  <w:tcW w:w="1212" w:type="pct"/>
                  <w:tcBorders>
                    <w:top w:val="single" w:color="auto" w:sz="4" w:space="0"/>
                    <w:left w:val="single" w:color="auto" w:sz="4" w:space="0"/>
                    <w:bottom w:val="single" w:color="auto" w:sz="4" w:space="0"/>
                    <w:right w:val="nil"/>
                  </w:tcBorders>
                  <w:vAlign w:val="center"/>
                </w:tcPr>
                <w:p>
                  <w:pPr>
                    <w:jc w:val="center"/>
                  </w:pPr>
                  <w:r>
                    <w:t>依托现有</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eastAsia"/>
                    </w:rPr>
                    <w:t>废气治理</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default"/>
                      <w:lang w:val="en-US" w:eastAsia="zh-CN"/>
                    </w:rPr>
                    <w:t>生产区域全封闭，卸料及上料区均配置喷淋系统</w:t>
                  </w:r>
                </w:p>
              </w:tc>
              <w:tc>
                <w:tcPr>
                  <w:tcW w:w="1632" w:type="pct"/>
                  <w:tcBorders>
                    <w:top w:val="single" w:color="auto" w:sz="4" w:space="0"/>
                    <w:left w:val="single" w:color="auto" w:sz="4" w:space="0"/>
                    <w:bottom w:val="single" w:color="auto" w:sz="4" w:space="0"/>
                    <w:right w:val="single" w:color="auto" w:sz="4" w:space="0"/>
                  </w:tcBorders>
                  <w:vAlign w:val="center"/>
                </w:tcPr>
                <w:p>
                  <w:pPr>
                    <w:adjustRightInd w:val="0"/>
                    <w:spacing w:line="330" w:lineRule="exact"/>
                    <w:jc w:val="center"/>
                  </w:pPr>
                  <w:r>
                    <w:rPr>
                      <w:rFonts w:hint="default"/>
                      <w:lang w:val="en-US" w:eastAsia="zh-CN"/>
                    </w:rPr>
                    <w:t>生产区域全封闭，</w:t>
                  </w:r>
                  <w:r>
                    <w:rPr>
                      <w:rFonts w:hint="eastAsia"/>
                      <w:lang w:val="en-US" w:eastAsia="zh-CN"/>
                    </w:rPr>
                    <w:t>全厂区安装喷雾降尘设备，破碎筛分采用湿式工艺，</w:t>
                  </w:r>
                  <w:r>
                    <w:rPr>
                      <w:rFonts w:hint="default"/>
                      <w:lang w:val="en-US" w:eastAsia="zh-CN"/>
                    </w:rPr>
                    <w:t>卸料及上料区均配置喷淋系统</w:t>
                  </w:r>
                </w:p>
              </w:tc>
              <w:tc>
                <w:tcPr>
                  <w:tcW w:w="1212" w:type="pct"/>
                  <w:tcBorders>
                    <w:top w:val="single" w:color="auto" w:sz="4" w:space="0"/>
                    <w:left w:val="single" w:color="auto" w:sz="4" w:space="0"/>
                    <w:bottom w:val="single" w:color="auto" w:sz="4" w:space="0"/>
                    <w:right w:val="nil"/>
                  </w:tcBorders>
                  <w:vAlign w:val="center"/>
                </w:tcPr>
                <w:p>
                  <w:pPr>
                    <w:widowControl/>
                    <w:jc w:val="center"/>
                    <w:rPr>
                      <w:rFonts w:hint="default"/>
                      <w:lang w:val="en-US" w:eastAsia="zh-CN"/>
                    </w:rPr>
                  </w:pPr>
                  <w:r>
                    <w:rPr>
                      <w:rFonts w:hint="eastAsia"/>
                      <w:lang w:val="en-US" w:eastAsia="zh-CN"/>
                    </w:rPr>
                    <w:t>增加喷淋系统</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4" w:space="0"/>
                    <w:right w:val="single" w:color="auto" w:sz="4" w:space="0"/>
                  </w:tcBorders>
                  <w:vAlign w:val="center"/>
                </w:tcPr>
                <w:p>
                  <w:pPr>
                    <w:widowControl/>
                    <w:jc w:val="center"/>
                  </w:pPr>
                  <w:r>
                    <w:t>噪声治理</w:t>
                  </w:r>
                </w:p>
              </w:tc>
              <w:tc>
                <w:tcPr>
                  <w:tcW w:w="134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default"/>
                    </w:rPr>
                    <w:t>选用低噪设备</w:t>
                  </w:r>
                  <w:r>
                    <w:rPr>
                      <w:rFonts w:hint="eastAsia"/>
                      <w:lang w:eastAsia="zh-CN"/>
                    </w:rPr>
                    <w:t>、</w:t>
                  </w:r>
                  <w:r>
                    <w:rPr>
                      <w:rFonts w:hint="default"/>
                    </w:rPr>
                    <w:t>减振、隔声</w:t>
                  </w:r>
                </w:p>
              </w:tc>
              <w:tc>
                <w:tcPr>
                  <w:tcW w:w="1632" w:type="pct"/>
                  <w:tcBorders>
                    <w:top w:val="single" w:color="auto" w:sz="4" w:space="0"/>
                    <w:left w:val="single" w:color="auto" w:sz="4" w:space="0"/>
                    <w:bottom w:val="single" w:color="auto" w:sz="4" w:space="0"/>
                    <w:right w:val="single" w:color="auto" w:sz="4" w:space="0"/>
                  </w:tcBorders>
                  <w:vAlign w:val="center"/>
                </w:tcPr>
                <w:p>
                  <w:pPr>
                    <w:widowControl/>
                    <w:jc w:val="center"/>
                  </w:pPr>
                  <w:r>
                    <w:rPr>
                      <w:rFonts w:hint="default"/>
                    </w:rPr>
                    <w:t>选用低噪设备</w:t>
                  </w:r>
                  <w:r>
                    <w:rPr>
                      <w:rFonts w:hint="eastAsia"/>
                      <w:lang w:eastAsia="zh-CN"/>
                    </w:rPr>
                    <w:t>、</w:t>
                  </w:r>
                  <w:r>
                    <w:rPr>
                      <w:rFonts w:hint="default"/>
                    </w:rPr>
                    <w:t>减振、隔声</w:t>
                  </w:r>
                </w:p>
              </w:tc>
              <w:tc>
                <w:tcPr>
                  <w:tcW w:w="1212" w:type="pct"/>
                  <w:tcBorders>
                    <w:top w:val="single" w:color="auto" w:sz="4" w:space="0"/>
                    <w:left w:val="single" w:color="auto" w:sz="4" w:space="0"/>
                    <w:bottom w:val="single" w:color="auto" w:sz="4" w:space="0"/>
                    <w:right w:val="nil"/>
                  </w:tcBorders>
                  <w:vAlign w:val="center"/>
                </w:tcPr>
                <w:p>
                  <w:pPr>
                    <w:widowControl/>
                    <w:jc w:val="center"/>
                  </w:pPr>
                  <w:r>
                    <w:rPr>
                      <w:rFonts w:hint="eastAsia"/>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410" w:type="pct"/>
                  <w:vMerge w:val="continue"/>
                  <w:tcBorders>
                    <w:top w:val="single" w:color="auto" w:sz="4" w:space="0"/>
                    <w:left w:val="nil"/>
                    <w:bottom w:val="single" w:color="auto" w:sz="4" w:space="0"/>
                    <w:right w:val="single" w:color="auto" w:sz="4" w:space="0"/>
                  </w:tcBorders>
                  <w:vAlign w:val="center"/>
                </w:tcPr>
                <w:p>
                  <w:pPr>
                    <w:widowControl/>
                    <w:jc w:val="center"/>
                  </w:pPr>
                </w:p>
              </w:tc>
              <w:tc>
                <w:tcPr>
                  <w:tcW w:w="402" w:type="pct"/>
                  <w:tcBorders>
                    <w:top w:val="single" w:color="auto" w:sz="4" w:space="0"/>
                    <w:left w:val="single" w:color="auto" w:sz="4" w:space="0"/>
                    <w:bottom w:val="single" w:color="auto" w:sz="8" w:space="0"/>
                    <w:right w:val="single" w:color="auto" w:sz="4" w:space="0"/>
                  </w:tcBorders>
                  <w:vAlign w:val="center"/>
                </w:tcPr>
                <w:p>
                  <w:pPr>
                    <w:widowControl/>
                    <w:jc w:val="center"/>
                  </w:pPr>
                  <w:r>
                    <w:rPr>
                      <w:rFonts w:hint="eastAsia"/>
                    </w:rPr>
                    <w:t>固体废物处理</w:t>
                  </w:r>
                </w:p>
              </w:tc>
              <w:tc>
                <w:tcPr>
                  <w:tcW w:w="1342" w:type="pct"/>
                  <w:tcBorders>
                    <w:top w:val="single" w:color="auto" w:sz="4" w:space="0"/>
                    <w:left w:val="single" w:color="auto" w:sz="4" w:space="0"/>
                    <w:bottom w:val="single" w:color="auto" w:sz="8" w:space="0"/>
                    <w:right w:val="single" w:color="auto" w:sz="4" w:space="0"/>
                  </w:tcBorders>
                  <w:vAlign w:val="center"/>
                </w:tcPr>
                <w:p>
                  <w:pPr>
                    <w:widowControl/>
                    <w:jc w:val="center"/>
                  </w:pPr>
                  <w:r>
                    <w:rPr>
                      <w:rFonts w:hint="default"/>
                    </w:rPr>
                    <w:t>一般固废暂存依托全厂已建设的1座7200m</w:t>
                  </w:r>
                  <w:r>
                    <w:rPr>
                      <w:rFonts w:hint="default"/>
                      <w:vertAlign w:val="superscript"/>
                    </w:rPr>
                    <w:t>2</w:t>
                  </w:r>
                  <w:r>
                    <w:rPr>
                      <w:rFonts w:hint="default"/>
                    </w:rPr>
                    <w:t>一般固废暂存库</w:t>
                  </w:r>
                </w:p>
              </w:tc>
              <w:tc>
                <w:tcPr>
                  <w:tcW w:w="1632" w:type="pct"/>
                  <w:tcBorders>
                    <w:top w:val="single" w:color="auto" w:sz="4" w:space="0"/>
                    <w:left w:val="single" w:color="auto" w:sz="4" w:space="0"/>
                    <w:bottom w:val="single" w:color="auto" w:sz="8" w:space="0"/>
                    <w:right w:val="single" w:color="auto" w:sz="4" w:space="0"/>
                  </w:tcBorders>
                  <w:vAlign w:val="center"/>
                </w:tcPr>
                <w:p>
                  <w:pPr>
                    <w:widowControl/>
                    <w:jc w:val="center"/>
                    <w:rPr>
                      <w:rFonts w:hint="eastAsia"/>
                      <w:lang w:val="en-US" w:eastAsia="zh-CN"/>
                    </w:rPr>
                  </w:pPr>
                  <w:r>
                    <w:rPr>
                      <w:rFonts w:hint="default"/>
                    </w:rPr>
                    <w:t>一般固废暂存依托全厂已建设的1座7200m</w:t>
                  </w:r>
                  <w:r>
                    <w:rPr>
                      <w:rFonts w:hint="default"/>
                      <w:vertAlign w:val="superscript"/>
                    </w:rPr>
                    <w:t>2</w:t>
                  </w:r>
                  <w:r>
                    <w:rPr>
                      <w:rFonts w:hint="default"/>
                    </w:rPr>
                    <w:t>一般固废暂存库。</w:t>
                  </w:r>
                  <w:r>
                    <w:rPr>
                      <w:rFonts w:hint="eastAsia"/>
                      <w:lang w:val="en-US" w:eastAsia="zh-CN"/>
                    </w:rPr>
                    <w:t>另新建一间10</w:t>
                  </w:r>
                  <w:r>
                    <w:rPr>
                      <w:rFonts w:hint="default"/>
                    </w:rPr>
                    <w:t>m</w:t>
                  </w:r>
                  <w:r>
                    <w:rPr>
                      <w:rFonts w:hint="default"/>
                      <w:vertAlign w:val="superscript"/>
                    </w:rPr>
                    <w:t>2</w:t>
                  </w:r>
                  <w:r>
                    <w:rPr>
                      <w:rFonts w:hint="eastAsia"/>
                      <w:lang w:val="en-US" w:eastAsia="zh-CN"/>
                    </w:rPr>
                    <w:t>危废暂存间</w:t>
                  </w:r>
                </w:p>
              </w:tc>
              <w:tc>
                <w:tcPr>
                  <w:tcW w:w="1212" w:type="pct"/>
                  <w:tcBorders>
                    <w:top w:val="single" w:color="auto" w:sz="4" w:space="0"/>
                    <w:left w:val="single" w:color="auto" w:sz="4" w:space="0"/>
                    <w:bottom w:val="single" w:color="auto" w:sz="8" w:space="0"/>
                    <w:right w:val="nil"/>
                  </w:tcBorders>
                  <w:vAlign w:val="center"/>
                </w:tcPr>
                <w:p>
                  <w:pPr>
                    <w:widowControl/>
                    <w:jc w:val="center"/>
                    <w:rPr>
                      <w:rFonts w:hint="default"/>
                      <w:lang w:val="en-US" w:eastAsia="zh-CN"/>
                    </w:rPr>
                  </w:pPr>
                  <w:r>
                    <w:rPr>
                      <w:rFonts w:hint="eastAsia"/>
                      <w:lang w:val="en-US" w:eastAsia="zh-CN"/>
                    </w:rPr>
                    <w:t>一般固废暂存间</w:t>
                  </w:r>
                  <w:r>
                    <w:t>依托</w:t>
                  </w:r>
                  <w:r>
                    <w:rPr>
                      <w:rFonts w:hint="eastAsia"/>
                      <w:lang w:val="en-US" w:eastAsia="zh-CN"/>
                    </w:rPr>
                    <w:t>全厂</w:t>
                  </w:r>
                  <w:r>
                    <w:rPr>
                      <w:rFonts w:hint="eastAsia"/>
                      <w:lang w:eastAsia="zh-CN"/>
                    </w:rPr>
                    <w:t>，</w:t>
                  </w:r>
                  <w:r>
                    <w:rPr>
                      <w:rFonts w:hint="eastAsia"/>
                      <w:lang w:val="en-US" w:eastAsia="zh-CN"/>
                    </w:rPr>
                    <w:t>另新建一间10</w:t>
                  </w:r>
                  <w:r>
                    <w:rPr>
                      <w:rFonts w:hint="default"/>
                    </w:rPr>
                    <w:t>m</w:t>
                  </w:r>
                  <w:r>
                    <w:rPr>
                      <w:rFonts w:hint="default"/>
                      <w:vertAlign w:val="superscript"/>
                    </w:rPr>
                    <w:t>2</w:t>
                  </w:r>
                  <w:r>
                    <w:rPr>
                      <w:rFonts w:hint="eastAsia"/>
                      <w:lang w:val="en-US" w:eastAsia="zh-CN"/>
                    </w:rPr>
                    <w:t>危废暂存间</w:t>
                  </w:r>
                </w:p>
              </w:tc>
            </w:tr>
          </w:tbl>
          <w:p>
            <w:pPr>
              <w:spacing w:line="460" w:lineRule="exact"/>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4、产品方案</w:t>
            </w:r>
          </w:p>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本项目新建铸造用砂产品，具体产品方案见表2-4。</w:t>
            </w:r>
          </w:p>
          <w:p>
            <w:pPr>
              <w:pStyle w:val="53"/>
              <w:spacing w:line="360" w:lineRule="auto"/>
              <w:ind w:firstLine="0"/>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表2-4  产品方案</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437"/>
              <w:gridCol w:w="1295"/>
              <w:gridCol w:w="1869"/>
              <w:gridCol w:w="1173"/>
              <w:gridCol w:w="1115"/>
              <w:gridCol w:w="1830"/>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45" w:hRule="atLeast"/>
                <w:jc w:val="center"/>
              </w:trPr>
              <w:tc>
                <w:tcPr>
                  <w:tcW w:w="283" w:type="pct"/>
                  <w:tcBorders>
                    <w:top w:val="single" w:color="auto" w:sz="4" w:space="0"/>
                    <w:bottom w:val="single" w:color="auto" w:sz="6" w:space="0"/>
                    <w:right w:val="single" w:color="auto" w:sz="6" w:space="0"/>
                  </w:tcBorders>
                  <w:vAlign w:val="center"/>
                </w:tcPr>
                <w:p>
                  <w:pPr>
                    <w:jc w:val="center"/>
                    <w:rPr>
                      <w:b/>
                      <w:bCs/>
                    </w:rPr>
                  </w:pPr>
                  <w:r>
                    <w:rPr>
                      <w:rFonts w:hint="eastAsia"/>
                      <w:b/>
                      <w:bCs/>
                    </w:rPr>
                    <w:t>序号</w:t>
                  </w:r>
                </w:p>
              </w:tc>
              <w:tc>
                <w:tcPr>
                  <w:tcW w:w="838" w:type="pct"/>
                  <w:tcBorders>
                    <w:top w:val="single" w:color="auto" w:sz="4" w:space="0"/>
                    <w:left w:val="single" w:color="auto" w:sz="6" w:space="0"/>
                    <w:bottom w:val="single" w:color="auto" w:sz="6" w:space="0"/>
                    <w:right w:val="single" w:color="auto" w:sz="6" w:space="0"/>
                  </w:tcBorders>
                  <w:vAlign w:val="center"/>
                </w:tcPr>
                <w:p>
                  <w:pPr>
                    <w:jc w:val="center"/>
                    <w:rPr>
                      <w:b/>
                      <w:bCs/>
                    </w:rPr>
                  </w:pPr>
                  <w:r>
                    <w:rPr>
                      <w:rFonts w:hint="eastAsia"/>
                      <w:b/>
                      <w:bCs/>
                    </w:rPr>
                    <w:t>产品名称</w:t>
                  </w:r>
                </w:p>
              </w:tc>
              <w:tc>
                <w:tcPr>
                  <w:tcW w:w="1210" w:type="pct"/>
                  <w:tcBorders>
                    <w:top w:val="single" w:color="auto" w:sz="4" w:space="0"/>
                    <w:left w:val="single" w:color="auto" w:sz="6" w:space="0"/>
                    <w:bottom w:val="single" w:color="auto" w:sz="6" w:space="0"/>
                    <w:right w:val="single" w:color="auto" w:sz="6" w:space="0"/>
                  </w:tcBorders>
                  <w:vAlign w:val="center"/>
                </w:tcPr>
                <w:p>
                  <w:pPr>
                    <w:jc w:val="center"/>
                    <w:rPr>
                      <w:b/>
                      <w:bCs/>
                    </w:rPr>
                  </w:pPr>
                  <w:r>
                    <w:rPr>
                      <w:rFonts w:hint="eastAsia"/>
                      <w:b/>
                      <w:bCs/>
                    </w:rPr>
                    <w:t>改扩建前年产量</w:t>
                  </w:r>
                </w:p>
              </w:tc>
              <w:tc>
                <w:tcPr>
                  <w:tcW w:w="759" w:type="pct"/>
                  <w:tcBorders>
                    <w:top w:val="single" w:color="auto" w:sz="4" w:space="0"/>
                    <w:left w:val="single" w:color="auto" w:sz="6" w:space="0"/>
                    <w:bottom w:val="single" w:color="auto" w:sz="6" w:space="0"/>
                    <w:right w:val="single" w:color="auto" w:sz="6" w:space="0"/>
                  </w:tcBorders>
                  <w:vAlign w:val="center"/>
                </w:tcPr>
                <w:p>
                  <w:pPr>
                    <w:jc w:val="center"/>
                    <w:rPr>
                      <w:b/>
                      <w:bCs/>
                    </w:rPr>
                  </w:pPr>
                  <w:r>
                    <w:rPr>
                      <w:rFonts w:hint="eastAsia"/>
                      <w:b/>
                      <w:bCs/>
                    </w:rPr>
                    <w:t>改扩建后年产量</w:t>
                  </w:r>
                </w:p>
              </w:tc>
              <w:tc>
                <w:tcPr>
                  <w:tcW w:w="722" w:type="pct"/>
                  <w:tcBorders>
                    <w:top w:val="single" w:color="auto" w:sz="4" w:space="0"/>
                    <w:left w:val="single" w:color="auto" w:sz="6" w:space="0"/>
                    <w:bottom w:val="single" w:color="auto" w:sz="6" w:space="0"/>
                    <w:right w:val="single" w:color="auto" w:sz="4" w:space="0"/>
                  </w:tcBorders>
                  <w:vAlign w:val="center"/>
                </w:tcPr>
                <w:p>
                  <w:pPr>
                    <w:jc w:val="center"/>
                    <w:rPr>
                      <w:rFonts w:hint="eastAsia" w:eastAsia="宋体"/>
                      <w:b/>
                      <w:bCs/>
                      <w:lang w:val="en-US" w:eastAsia="zh-CN"/>
                    </w:rPr>
                  </w:pPr>
                  <w:r>
                    <w:rPr>
                      <w:rFonts w:hint="eastAsia"/>
                      <w:b/>
                      <w:bCs/>
                      <w:lang w:val="en-US" w:eastAsia="zh-CN"/>
                    </w:rPr>
                    <w:t>增减量</w:t>
                  </w:r>
                </w:p>
              </w:tc>
              <w:tc>
                <w:tcPr>
                  <w:tcW w:w="1185" w:type="pct"/>
                  <w:tcBorders>
                    <w:top w:val="single" w:color="auto" w:sz="4" w:space="0"/>
                    <w:left w:val="single" w:color="auto" w:sz="6" w:space="0"/>
                    <w:bottom w:val="single" w:color="auto" w:sz="6" w:space="0"/>
                  </w:tcBorders>
                  <w:vAlign w:val="center"/>
                </w:tcPr>
                <w:p>
                  <w:pPr>
                    <w:jc w:val="center"/>
                    <w:rPr>
                      <w:rFonts w:hint="eastAsia" w:eastAsia="宋体"/>
                      <w:b/>
                      <w:bCs/>
                      <w:lang w:val="en-US" w:eastAsia="zh-CN"/>
                    </w:rPr>
                  </w:pPr>
                  <w:r>
                    <w:rPr>
                      <w:rFonts w:hint="eastAsia"/>
                      <w:b/>
                      <w:bCs/>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283" w:type="pct"/>
                  <w:tcBorders>
                    <w:top w:val="single" w:color="auto" w:sz="6" w:space="0"/>
                    <w:bottom w:val="single" w:color="auto" w:sz="6" w:space="0"/>
                    <w:right w:val="single" w:color="auto" w:sz="6" w:space="0"/>
                  </w:tcBorders>
                  <w:vAlign w:val="center"/>
                </w:tcPr>
                <w:p>
                  <w:pPr>
                    <w:jc w:val="center"/>
                  </w:pPr>
                  <w:r>
                    <w:t>1</w:t>
                  </w:r>
                </w:p>
              </w:tc>
              <w:tc>
                <w:tcPr>
                  <w:tcW w:w="838"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中砂</w:t>
                  </w:r>
                </w:p>
              </w:tc>
              <w:tc>
                <w:tcPr>
                  <w:tcW w:w="1210"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48000</w:t>
                  </w:r>
                </w:p>
              </w:tc>
              <w:tc>
                <w:tcPr>
                  <w:tcW w:w="759"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48000</w:t>
                  </w:r>
                </w:p>
              </w:tc>
              <w:tc>
                <w:tcPr>
                  <w:tcW w:w="722" w:type="pct"/>
                  <w:tcBorders>
                    <w:top w:val="single" w:color="auto" w:sz="6" w:space="0"/>
                    <w:left w:val="single" w:color="auto" w:sz="6" w:space="0"/>
                    <w:right w:val="single" w:color="auto" w:sz="4" w:space="0"/>
                  </w:tcBorders>
                  <w:vAlign w:val="center"/>
                </w:tcPr>
                <w:p>
                  <w:pPr>
                    <w:jc w:val="center"/>
                    <w:rPr>
                      <w:rFonts w:hint="eastAsia" w:eastAsia="宋体"/>
                      <w:lang w:val="en-US" w:eastAsia="zh-CN"/>
                    </w:rPr>
                  </w:pPr>
                  <w:r>
                    <w:rPr>
                      <w:rFonts w:hint="eastAsia"/>
                      <w:lang w:val="en-US" w:eastAsia="zh-CN"/>
                    </w:rPr>
                    <w:t>0</w:t>
                  </w:r>
                </w:p>
              </w:tc>
              <w:tc>
                <w:tcPr>
                  <w:tcW w:w="1185" w:type="pct"/>
                  <w:vMerge w:val="restart"/>
                  <w:tcBorders>
                    <w:top w:val="single" w:color="auto" w:sz="6" w:space="0"/>
                    <w:left w:val="single" w:color="auto" w:sz="6" w:space="0"/>
                  </w:tcBorders>
                  <w:vAlign w:val="center"/>
                </w:tcPr>
                <w:p>
                  <w:pPr>
                    <w:jc w:val="center"/>
                    <w:rPr>
                      <w:rFonts w:hint="default" w:eastAsia="宋体"/>
                      <w:lang w:val="en-US" w:eastAsia="zh-CN"/>
                    </w:rPr>
                  </w:pPr>
                  <w:r>
                    <w:rPr>
                      <w:rFonts w:hint="eastAsia"/>
                      <w:lang w:val="en-US" w:eastAsia="zh-CN"/>
                    </w:rPr>
                    <w:t>新增生产线生产的铸造用砂作为原生产线（粗、中、细砂）的原料</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283" w:type="pct"/>
                  <w:tcBorders>
                    <w:top w:val="single" w:color="auto" w:sz="6" w:space="0"/>
                    <w:bottom w:val="single" w:color="auto" w:sz="6" w:space="0"/>
                    <w:right w:val="single" w:color="auto" w:sz="6" w:space="0"/>
                  </w:tcBorders>
                  <w:vAlign w:val="center"/>
                </w:tcPr>
                <w:p>
                  <w:pPr>
                    <w:jc w:val="center"/>
                  </w:pPr>
                  <w:r>
                    <w:rPr>
                      <w:rFonts w:hint="eastAsia"/>
                    </w:rPr>
                    <w:t>2</w:t>
                  </w:r>
                </w:p>
              </w:tc>
              <w:tc>
                <w:tcPr>
                  <w:tcW w:w="838"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细砂</w:t>
                  </w:r>
                </w:p>
              </w:tc>
              <w:tc>
                <w:tcPr>
                  <w:tcW w:w="1210"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60000</w:t>
                  </w:r>
                </w:p>
              </w:tc>
              <w:tc>
                <w:tcPr>
                  <w:tcW w:w="759"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60000</w:t>
                  </w:r>
                </w:p>
              </w:tc>
              <w:tc>
                <w:tcPr>
                  <w:tcW w:w="722" w:type="pct"/>
                  <w:tcBorders>
                    <w:left w:val="single" w:color="auto" w:sz="6" w:space="0"/>
                    <w:right w:val="single" w:color="auto" w:sz="4" w:space="0"/>
                  </w:tcBorders>
                  <w:vAlign w:val="center"/>
                </w:tcPr>
                <w:p>
                  <w:pPr>
                    <w:widowControl/>
                    <w:jc w:val="center"/>
                    <w:rPr>
                      <w:rFonts w:hint="eastAsia" w:eastAsia="宋体"/>
                      <w:lang w:val="en-US" w:eastAsia="zh-CN"/>
                    </w:rPr>
                  </w:pPr>
                  <w:r>
                    <w:rPr>
                      <w:rFonts w:hint="eastAsia"/>
                      <w:lang w:val="en-US" w:eastAsia="zh-CN"/>
                    </w:rPr>
                    <w:t>0</w:t>
                  </w:r>
                </w:p>
              </w:tc>
              <w:tc>
                <w:tcPr>
                  <w:tcW w:w="1185" w:type="pct"/>
                  <w:vMerge w:val="continue"/>
                  <w:tcBorders>
                    <w:left w:val="single" w:color="auto" w:sz="6" w:space="0"/>
                  </w:tcBorders>
                  <w:vAlign w:val="center"/>
                </w:tcPr>
                <w:p>
                  <w:pPr>
                    <w:widowControl/>
                    <w:jc w:val="left"/>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2" w:hRule="atLeast"/>
                <w:jc w:val="center"/>
              </w:trPr>
              <w:tc>
                <w:tcPr>
                  <w:tcW w:w="283" w:type="pct"/>
                  <w:tcBorders>
                    <w:top w:val="single" w:color="auto" w:sz="6" w:space="0"/>
                    <w:bottom w:val="single" w:color="auto" w:sz="6" w:space="0"/>
                    <w:right w:val="single" w:color="auto" w:sz="6" w:space="0"/>
                  </w:tcBorders>
                  <w:vAlign w:val="center"/>
                </w:tcPr>
                <w:p>
                  <w:pPr>
                    <w:jc w:val="center"/>
                  </w:pPr>
                  <w:r>
                    <w:rPr>
                      <w:rFonts w:hint="eastAsia"/>
                    </w:rPr>
                    <w:t>3</w:t>
                  </w:r>
                </w:p>
              </w:tc>
              <w:tc>
                <w:tcPr>
                  <w:tcW w:w="838"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default"/>
                      <w:lang w:val="en-US" w:eastAsia="zh-CN"/>
                    </w:rPr>
                  </w:pPr>
                  <w:r>
                    <w:rPr>
                      <w:rFonts w:hint="default"/>
                      <w:lang w:val="en-US" w:eastAsia="zh-CN"/>
                    </w:rPr>
                    <w:t>粗砂</w:t>
                  </w:r>
                </w:p>
              </w:tc>
              <w:tc>
                <w:tcPr>
                  <w:tcW w:w="1210"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24000</w:t>
                  </w:r>
                </w:p>
              </w:tc>
              <w:tc>
                <w:tcPr>
                  <w:tcW w:w="759" w:type="pct"/>
                  <w:tcBorders>
                    <w:top w:val="single" w:color="auto" w:sz="6" w:space="0"/>
                    <w:left w:val="single" w:color="auto" w:sz="6" w:space="0"/>
                    <w:bottom w:val="single" w:color="auto" w:sz="6" w:space="0"/>
                    <w:right w:val="single" w:color="auto" w:sz="6" w:space="0"/>
                  </w:tcBorders>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left="0" w:leftChars="0" w:right="0" w:rightChars="0" w:firstLine="0" w:firstLineChars="0"/>
                    <w:jc w:val="center"/>
                    <w:textAlignment w:val="auto"/>
                    <w:outlineLvl w:val="9"/>
                    <w:rPr>
                      <w:rFonts w:hint="eastAsia"/>
                      <w:lang w:val="en-US" w:eastAsia="zh-CN"/>
                    </w:rPr>
                  </w:pPr>
                  <w:r>
                    <w:rPr>
                      <w:rFonts w:hint="default"/>
                      <w:lang w:val="en-US" w:eastAsia="zh-CN"/>
                    </w:rPr>
                    <w:t>24000</w:t>
                  </w:r>
                </w:p>
              </w:tc>
              <w:tc>
                <w:tcPr>
                  <w:tcW w:w="722" w:type="pct"/>
                  <w:tcBorders>
                    <w:left w:val="single" w:color="auto" w:sz="6" w:space="0"/>
                    <w:right w:val="single" w:color="auto" w:sz="4" w:space="0"/>
                  </w:tcBorders>
                  <w:vAlign w:val="center"/>
                </w:tcPr>
                <w:p>
                  <w:pPr>
                    <w:widowControl/>
                    <w:jc w:val="center"/>
                    <w:rPr>
                      <w:rFonts w:hint="eastAsia" w:eastAsia="宋体"/>
                      <w:lang w:val="en-US" w:eastAsia="zh-CN"/>
                    </w:rPr>
                  </w:pPr>
                  <w:r>
                    <w:rPr>
                      <w:rFonts w:hint="eastAsia"/>
                      <w:lang w:val="en-US" w:eastAsia="zh-CN"/>
                    </w:rPr>
                    <w:t>0</w:t>
                  </w:r>
                </w:p>
              </w:tc>
              <w:tc>
                <w:tcPr>
                  <w:tcW w:w="1185" w:type="pct"/>
                  <w:vMerge w:val="continue"/>
                  <w:tcBorders>
                    <w:left w:val="single" w:color="auto" w:sz="6" w:space="0"/>
                  </w:tcBorders>
                  <w:vAlign w:val="center"/>
                </w:tcPr>
                <w:p>
                  <w:pPr>
                    <w:widowControl/>
                    <w:jc w:val="left"/>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97" w:hRule="atLeast"/>
                <w:jc w:val="center"/>
              </w:trPr>
              <w:tc>
                <w:tcPr>
                  <w:tcW w:w="283" w:type="pct"/>
                  <w:tcBorders>
                    <w:top w:val="single" w:color="auto" w:sz="6" w:space="0"/>
                    <w:bottom w:val="single" w:color="auto" w:sz="6" w:space="0"/>
                    <w:right w:val="single" w:color="auto" w:sz="6" w:space="0"/>
                  </w:tcBorders>
                  <w:vAlign w:val="center"/>
                </w:tcPr>
                <w:p>
                  <w:pPr>
                    <w:jc w:val="center"/>
                  </w:pPr>
                  <w:r>
                    <w:rPr>
                      <w:rFonts w:hint="eastAsia"/>
                    </w:rPr>
                    <w:t>4</w:t>
                  </w:r>
                </w:p>
              </w:tc>
              <w:tc>
                <w:tcPr>
                  <w:tcW w:w="838" w:type="pct"/>
                  <w:tcBorders>
                    <w:top w:val="single" w:color="auto" w:sz="6" w:space="0"/>
                    <w:left w:val="single" w:color="auto" w:sz="6" w:space="0"/>
                    <w:bottom w:val="single" w:color="auto" w:sz="6" w:space="0"/>
                    <w:right w:val="single" w:color="auto" w:sz="6" w:space="0"/>
                  </w:tcBorders>
                  <w:vAlign w:val="center"/>
                </w:tcPr>
                <w:p>
                  <w:pPr>
                    <w:pStyle w:val="84"/>
                    <w:rPr>
                      <w:rFonts w:hint="default"/>
                      <w:lang w:val="en-US" w:eastAsia="zh-CN"/>
                    </w:rPr>
                  </w:pPr>
                  <w:r>
                    <w:rPr>
                      <w:rFonts w:hint="eastAsia"/>
                      <w:lang w:val="en-US" w:eastAsia="zh-CN"/>
                    </w:rPr>
                    <w:t>铸造用砂</w:t>
                  </w:r>
                </w:p>
              </w:tc>
              <w:tc>
                <w:tcPr>
                  <w:tcW w:w="1210" w:type="pct"/>
                  <w:tcBorders>
                    <w:top w:val="single" w:color="auto" w:sz="6" w:space="0"/>
                    <w:left w:val="single" w:color="auto" w:sz="6" w:space="0"/>
                    <w:bottom w:val="single" w:color="auto" w:sz="6" w:space="0"/>
                    <w:right w:val="single" w:color="auto" w:sz="6" w:space="0"/>
                  </w:tcBorders>
                  <w:vAlign w:val="center"/>
                </w:tcPr>
                <w:p>
                  <w:pPr>
                    <w:pStyle w:val="84"/>
                    <w:rPr>
                      <w:rFonts w:hint="eastAsia"/>
                      <w:lang w:val="en-US" w:eastAsia="zh-CN"/>
                    </w:rPr>
                  </w:pPr>
                  <w:r>
                    <w:rPr>
                      <w:rFonts w:hint="eastAsia"/>
                      <w:lang w:val="en-US" w:eastAsia="zh-CN"/>
                    </w:rPr>
                    <w:t>0</w:t>
                  </w:r>
                </w:p>
              </w:tc>
              <w:tc>
                <w:tcPr>
                  <w:tcW w:w="759" w:type="pct"/>
                  <w:tcBorders>
                    <w:top w:val="single" w:color="auto" w:sz="6" w:space="0"/>
                    <w:left w:val="single" w:color="auto" w:sz="6" w:space="0"/>
                    <w:bottom w:val="single" w:color="auto" w:sz="6" w:space="0"/>
                    <w:right w:val="single" w:color="auto" w:sz="6" w:space="0"/>
                  </w:tcBorders>
                  <w:vAlign w:val="center"/>
                </w:tcPr>
                <w:p>
                  <w:pPr>
                    <w:pStyle w:val="84"/>
                    <w:rPr>
                      <w:rFonts w:hint="default"/>
                      <w:lang w:val="en-US" w:eastAsia="zh-CN"/>
                    </w:rPr>
                  </w:pPr>
                  <w:r>
                    <w:rPr>
                      <w:rFonts w:hint="eastAsia"/>
                      <w:lang w:val="en-US" w:eastAsia="zh-CN"/>
                    </w:rPr>
                    <w:t>130000</w:t>
                  </w:r>
                </w:p>
              </w:tc>
              <w:tc>
                <w:tcPr>
                  <w:tcW w:w="722" w:type="pct"/>
                  <w:tcBorders>
                    <w:left w:val="single" w:color="auto" w:sz="6" w:space="0"/>
                    <w:right w:val="single" w:color="auto" w:sz="4" w:space="0"/>
                  </w:tcBorders>
                  <w:vAlign w:val="center"/>
                </w:tcPr>
                <w:p>
                  <w:pPr>
                    <w:widowControl/>
                    <w:jc w:val="center"/>
                    <w:rPr>
                      <w:rFonts w:hint="default" w:eastAsia="宋体"/>
                      <w:lang w:val="en-US" w:eastAsia="zh-CN"/>
                    </w:rPr>
                  </w:pPr>
                  <w:r>
                    <w:rPr>
                      <w:rFonts w:hint="eastAsia"/>
                      <w:lang w:val="en-US" w:eastAsia="zh-CN"/>
                    </w:rPr>
                    <w:t>+130000</w:t>
                  </w:r>
                </w:p>
              </w:tc>
              <w:tc>
                <w:tcPr>
                  <w:tcW w:w="1185" w:type="pct"/>
                  <w:vMerge w:val="continue"/>
                  <w:tcBorders>
                    <w:left w:val="single" w:color="auto" w:sz="6" w:space="0"/>
                  </w:tcBorders>
                  <w:vAlign w:val="center"/>
                </w:tcPr>
                <w:p>
                  <w:pPr>
                    <w:widowControl/>
                    <w:jc w:val="left"/>
                  </w:pPr>
                </w:p>
              </w:tc>
            </w:tr>
          </w:tbl>
          <w:p>
            <w:pPr>
              <w:spacing w:line="460" w:lineRule="exact"/>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5、主要生产设备</w:t>
            </w:r>
          </w:p>
          <w:p>
            <w:pPr>
              <w:pStyle w:val="53"/>
              <w:spacing w:line="360" w:lineRule="auto"/>
              <w:ind w:firstLine="0"/>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表2-5   改扩建前后主要设备一览表</w:t>
            </w:r>
          </w:p>
          <w:tbl>
            <w:tblPr>
              <w:tblStyle w:val="26"/>
              <w:tblW w:w="5000" w:type="pct"/>
              <w:tblInd w:w="5" w:type="dxa"/>
              <w:tblBorders>
                <w:top w:val="none" w:color="auto" w:sz="4" w:space="0"/>
                <w:left w:val="none" w:color="auto" w:sz="0" w:space="0"/>
                <w:bottom w:val="none" w:color="auto" w:sz="4" w:space="0"/>
                <w:right w:val="none" w:color="auto" w:sz="0" w:space="0"/>
                <w:insideH w:val="none" w:color="auto" w:sz="4" w:space="0"/>
                <w:insideV w:val="none" w:color="auto" w:sz="4" w:space="0"/>
              </w:tblBorders>
              <w:tblLayout w:type="fixed"/>
              <w:tblCellMar>
                <w:top w:w="15" w:type="dxa"/>
                <w:left w:w="15" w:type="dxa"/>
                <w:bottom w:w="15" w:type="dxa"/>
                <w:right w:w="15" w:type="dxa"/>
              </w:tblCellMar>
            </w:tblPr>
            <w:tblGrid>
              <w:gridCol w:w="453"/>
              <w:gridCol w:w="1038"/>
              <w:gridCol w:w="1624"/>
              <w:gridCol w:w="1403"/>
              <w:gridCol w:w="910"/>
              <w:gridCol w:w="1630"/>
              <w:gridCol w:w="661"/>
            </w:tblGrid>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579" w:hRule="atLeast"/>
              </w:trPr>
              <w:tc>
                <w:tcPr>
                  <w:tcW w:w="293" w:type="pct"/>
                  <w:tcBorders>
                    <w:top w:val="single" w:color="auto" w:sz="4" w:space="0"/>
                    <w:bottom w:val="single" w:color="auto" w:sz="4" w:space="0"/>
                    <w:right w:val="single" w:color="auto" w:sz="4" w:space="0"/>
                  </w:tcBorders>
                  <w:vAlign w:val="center"/>
                </w:tcPr>
                <w:p>
                  <w:pPr>
                    <w:widowControl/>
                    <w:autoSpaceDE w:val="0"/>
                    <w:spacing w:line="340" w:lineRule="exact"/>
                    <w:jc w:val="center"/>
                    <w:textAlignment w:val="center"/>
                    <w:rPr>
                      <w:b/>
                      <w:bCs/>
                    </w:rPr>
                  </w:pPr>
                  <w:r>
                    <w:rPr>
                      <w:rFonts w:hint="eastAsia"/>
                      <w:b/>
                      <w:bCs/>
                    </w:rPr>
                    <w:t>序号</w:t>
                  </w:r>
                </w:p>
              </w:tc>
              <w:tc>
                <w:tcPr>
                  <w:tcW w:w="672"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b/>
                      <w:bCs/>
                    </w:rPr>
                  </w:pPr>
                  <w:r>
                    <w:rPr>
                      <w:rFonts w:hint="eastAsia"/>
                      <w:b/>
                      <w:bCs/>
                    </w:rPr>
                    <w:t>设备名称</w:t>
                  </w:r>
                </w:p>
              </w:tc>
              <w:tc>
                <w:tcPr>
                  <w:tcW w:w="1051"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b/>
                      <w:bCs/>
                    </w:rPr>
                  </w:pPr>
                  <w:r>
                    <w:rPr>
                      <w:rFonts w:hint="eastAsia"/>
                      <w:b/>
                      <w:bCs/>
                      <w:lang w:val="en-US" w:eastAsia="zh-CN"/>
                    </w:rPr>
                    <w:t>改建前</w:t>
                  </w:r>
                  <w:r>
                    <w:rPr>
                      <w:rFonts w:hint="eastAsia"/>
                      <w:b/>
                      <w:bCs/>
                    </w:rPr>
                    <w:t>数量（台套）</w:t>
                  </w:r>
                </w:p>
              </w:tc>
              <w:tc>
                <w:tcPr>
                  <w:tcW w:w="908" w:type="pct"/>
                  <w:tcBorders>
                    <w:top w:val="single" w:color="auto" w:sz="4" w:space="0"/>
                    <w:left w:val="nil"/>
                    <w:bottom w:val="single" w:color="auto" w:sz="4" w:space="0"/>
                    <w:right w:val="single" w:color="auto" w:sz="4" w:space="0"/>
                  </w:tcBorders>
                  <w:vAlign w:val="center"/>
                </w:tcPr>
                <w:p>
                  <w:pPr>
                    <w:keepNext w:val="0"/>
                    <w:keepLines w:val="0"/>
                    <w:widowControl/>
                    <w:suppressLineNumbers w:val="0"/>
                    <w:jc w:val="left"/>
                    <w:rPr>
                      <w:rFonts w:hint="eastAsia"/>
                      <w:b/>
                      <w:bCs/>
                    </w:rPr>
                  </w:pPr>
                  <w:r>
                    <w:rPr>
                      <w:rFonts w:hint="eastAsia"/>
                      <w:b/>
                      <w:bCs/>
                      <w:lang w:val="en-US" w:eastAsia="zh-CN"/>
                    </w:rPr>
                    <w:t>改建后数量（台）</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b/>
                      <w:bCs/>
                      <w:lang w:val="en-US" w:eastAsia="zh-CN"/>
                    </w:rPr>
                  </w:pPr>
                  <w:r>
                    <w:rPr>
                      <w:rFonts w:hint="eastAsia"/>
                      <w:b/>
                      <w:bCs/>
                      <w:lang w:val="en-US" w:eastAsia="zh-CN"/>
                    </w:rPr>
                    <w:t>增减量</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b/>
                      <w:bCs/>
                      <w:lang w:val="en-US" w:eastAsia="zh-CN"/>
                    </w:rPr>
                  </w:pPr>
                  <w:r>
                    <w:rPr>
                      <w:rFonts w:hint="eastAsia"/>
                      <w:b/>
                      <w:bCs/>
                      <w:lang w:val="en-US" w:eastAsia="zh-CN"/>
                    </w:rPr>
                    <w:t>型号</w:t>
                  </w:r>
                </w:p>
              </w:tc>
              <w:tc>
                <w:tcPr>
                  <w:tcW w:w="428" w:type="pct"/>
                  <w:tcBorders>
                    <w:top w:val="single" w:color="auto" w:sz="4" w:space="0"/>
                    <w:left w:val="nil"/>
                    <w:bottom w:val="single" w:color="auto" w:sz="4" w:space="0"/>
                  </w:tcBorders>
                  <w:vAlign w:val="center"/>
                </w:tcPr>
                <w:p>
                  <w:pPr>
                    <w:widowControl/>
                    <w:autoSpaceDE w:val="0"/>
                    <w:spacing w:line="340" w:lineRule="exact"/>
                    <w:jc w:val="center"/>
                    <w:textAlignment w:val="center"/>
                    <w:rPr>
                      <w:rFonts w:hint="default"/>
                      <w:b/>
                      <w:bCs/>
                      <w:lang w:val="en-US" w:eastAsia="zh-CN"/>
                    </w:rPr>
                  </w:pPr>
                  <w:r>
                    <w:rPr>
                      <w:rFonts w:hint="eastAsia"/>
                      <w:b/>
                      <w:bCs/>
                      <w:lang w:val="en-US" w:eastAsia="zh-CN"/>
                    </w:rPr>
                    <w:t>备注</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原料砂仓</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7.4m</w:t>
                  </w:r>
                  <w:r>
                    <w:rPr>
                      <w:rFonts w:hint="default"/>
                      <w:vertAlign w:val="superscript"/>
                      <w:lang w:val="en-US" w:eastAsia="zh-CN"/>
                    </w:rPr>
                    <w:t>3</w:t>
                  </w:r>
                </w:p>
              </w:tc>
              <w:tc>
                <w:tcPr>
                  <w:tcW w:w="428" w:type="pct"/>
                  <w:vMerge w:val="restart"/>
                  <w:tcBorders>
                    <w:top w:val="single" w:color="auto" w:sz="4" w:space="0"/>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原有设备老旧破损，新购一批新的生产设备</w:t>
                  </w: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12"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2</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上料皮带</w:t>
                  </w:r>
                  <w:r>
                    <w:rPr>
                      <w:rFonts w:hint="default"/>
                      <w:lang w:val="en-US" w:eastAsia="zh-CN"/>
                    </w:rPr>
                    <w:t>1</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B800</w:t>
                  </w:r>
                  <w:r>
                    <w:rPr>
                      <w:rFonts w:hint="default"/>
                    </w:rPr>
                    <w:t>×</w:t>
                  </w:r>
                  <w:r>
                    <w:rPr>
                      <w:rFonts w:hint="default"/>
                      <w:lang w:val="en-US" w:eastAsia="zh-CN"/>
                    </w:rPr>
                    <w:t>20m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12"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3</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上料皮带</w:t>
                  </w:r>
                  <w:r>
                    <w:rPr>
                      <w:rFonts w:hint="default"/>
                      <w:lang w:val="en-US" w:eastAsia="zh-CN"/>
                    </w:rPr>
                    <w:t>2</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B800</w:t>
                  </w:r>
                  <w:r>
                    <w:rPr>
                      <w:rFonts w:hint="default"/>
                    </w:rPr>
                    <w:t>×</w:t>
                  </w:r>
                  <w:r>
                    <w:rPr>
                      <w:rFonts w:hint="default"/>
                      <w:lang w:val="en-US" w:eastAsia="zh-CN"/>
                    </w:rPr>
                    <w:t>11m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58"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4</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一级湿式滚筒筛</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GT1560</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58"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5</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二级水洗滚筒筛</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GT1530</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58"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6</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单</w:t>
                  </w:r>
                  <w:r>
                    <w:rPr>
                      <w:rFonts w:hint="default"/>
                    </w:rPr>
                    <w:t>螺旋洗砂机</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4</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4</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eastAsia="宋体"/>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LX</w:t>
                  </w:r>
                  <w:r>
                    <w:rPr>
                      <w:rFonts w:hint="default"/>
                      <w:lang w:val="en-US" w:eastAsia="zh-CN"/>
                    </w:rPr>
                    <w:t>750</w:t>
                  </w:r>
                  <w:r>
                    <w:rPr>
                      <w:rFonts w:hint="default"/>
                    </w:rPr>
                    <w:t>×</w:t>
                  </w:r>
                  <w:r>
                    <w:rPr>
                      <w:rFonts w:hint="default"/>
                      <w:lang w:val="en-US" w:eastAsia="zh-CN"/>
                    </w:rPr>
                    <w:t>6m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412"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7</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rPr>
                    <w:t>送料皮带</w:t>
                  </w:r>
                  <w:r>
                    <w:rPr>
                      <w:rFonts w:hint="default"/>
                      <w:lang w:val="en-US" w:eastAsia="zh-CN"/>
                    </w:rPr>
                    <w:t>1</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B650</w:t>
                  </w:r>
                  <w:r>
                    <w:rPr>
                      <w:rFonts w:hint="default"/>
                    </w:rPr>
                    <w:t>×</w:t>
                  </w:r>
                  <w:r>
                    <w:rPr>
                      <w:rFonts w:hint="default"/>
                      <w:lang w:val="en-US" w:eastAsia="zh-CN"/>
                    </w:rPr>
                    <w:t>17m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8</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送料皮带</w:t>
                  </w:r>
                  <w:r>
                    <w:rPr>
                      <w:rFonts w:hint="default"/>
                      <w:lang w:val="en-US" w:eastAsia="zh-CN"/>
                    </w:rPr>
                    <w:t>2</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2</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2</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B650</w:t>
                  </w:r>
                  <w:r>
                    <w:rPr>
                      <w:rFonts w:hint="default"/>
                    </w:rPr>
                    <w:t>×</w:t>
                  </w:r>
                  <w:r>
                    <w:rPr>
                      <w:rFonts w:hint="default"/>
                      <w:lang w:val="en-US" w:eastAsia="zh-CN"/>
                    </w:rPr>
                    <w:t>9m</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9</w:t>
                  </w:r>
                </w:p>
              </w:tc>
              <w:tc>
                <w:tcPr>
                  <w:tcW w:w="672"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eastAsia="zh-CN"/>
                    </w:rPr>
                    <w:t>压滤机</w:t>
                  </w:r>
                </w:p>
              </w:tc>
              <w:tc>
                <w:tcPr>
                  <w:tcW w:w="1051"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1</w:t>
                  </w:r>
                </w:p>
              </w:tc>
              <w:tc>
                <w:tcPr>
                  <w:tcW w:w="908"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default"/>
                      <w:lang w:val="en-US" w:eastAsia="zh-CN"/>
                    </w:rPr>
                    <w:t>1</w:t>
                  </w:r>
                </w:p>
              </w:tc>
              <w:tc>
                <w:tcPr>
                  <w:tcW w:w="589"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1055"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w:t>
                  </w:r>
                </w:p>
              </w:tc>
              <w:tc>
                <w:tcPr>
                  <w:tcW w:w="428" w:type="pct"/>
                  <w:vMerge w:val="continue"/>
                  <w:tcBorders>
                    <w:left w:val="nil"/>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10</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头破机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1</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+1</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11</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圆锥机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1</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+1</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12</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振动筛</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2</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13</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制砂机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2（一用一备）</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14</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洗沙机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4</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+4</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57" w:hRule="atLeast"/>
              </w:trPr>
              <w:tc>
                <w:tcPr>
                  <w:tcW w:w="293" w:type="pct"/>
                  <w:tcBorders>
                    <w:top w:val="single" w:color="auto" w:sz="4" w:space="0"/>
                    <w:bottom w:val="single" w:color="auto" w:sz="4" w:space="0"/>
                    <w:right w:val="single" w:color="auto" w:sz="4" w:space="0"/>
                  </w:tcBorders>
                  <w:vAlign w:val="center"/>
                </w:tcPr>
                <w:p>
                  <w:pPr>
                    <w:pStyle w:val="84"/>
                  </w:pPr>
                  <w:r>
                    <w:rPr>
                      <w:rFonts w:hint="eastAsia"/>
                    </w:rPr>
                    <w:t>15</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脱水机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2</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tcBorders>
                  <w:vAlign w:val="center"/>
                </w:tcPr>
                <w:p>
                  <w:pPr>
                    <w:widowControl/>
                    <w:autoSpaceDE w:val="0"/>
                    <w:spacing w:line="340" w:lineRule="exact"/>
                    <w:jc w:val="center"/>
                    <w:textAlignment w:val="center"/>
                    <w:rPr>
                      <w:rFonts w:hint="eastAsia"/>
                    </w:rPr>
                  </w:pPr>
                </w:p>
              </w:tc>
            </w:tr>
            <w:tr>
              <w:tblPrEx>
                <w:tblBorders>
                  <w:top w:val="none" w:color="auto" w:sz="4" w:space="0"/>
                  <w:left w:val="none" w:color="auto" w:sz="0" w:space="0"/>
                  <w:bottom w:val="none" w:color="auto" w:sz="4" w:space="0"/>
                  <w:right w:val="none" w:color="auto" w:sz="0" w:space="0"/>
                  <w:insideH w:val="none" w:color="auto" w:sz="4" w:space="0"/>
                  <w:insideV w:val="none" w:color="auto" w:sz="4" w:space="0"/>
                </w:tblBorders>
                <w:tblCellMar>
                  <w:top w:w="15" w:type="dxa"/>
                  <w:left w:w="15" w:type="dxa"/>
                  <w:bottom w:w="15" w:type="dxa"/>
                  <w:right w:w="15" w:type="dxa"/>
                </w:tblCellMar>
              </w:tblPrEx>
              <w:trPr>
                <w:trHeight w:val="379" w:hRule="atLeast"/>
              </w:trPr>
              <w:tc>
                <w:tcPr>
                  <w:tcW w:w="293" w:type="pct"/>
                  <w:tcBorders>
                    <w:top w:val="single" w:color="auto" w:sz="4" w:space="0"/>
                    <w:bottom w:val="single" w:color="auto" w:sz="4" w:space="0"/>
                    <w:right w:val="single" w:color="auto" w:sz="4" w:space="0"/>
                  </w:tcBorders>
                  <w:vAlign w:val="center"/>
                </w:tcPr>
                <w:p>
                  <w:pPr>
                    <w:pStyle w:val="84"/>
                    <w:rPr>
                      <w:rFonts w:hint="eastAsia" w:eastAsia="宋体"/>
                      <w:lang w:eastAsia="zh-CN"/>
                    </w:rPr>
                  </w:pPr>
                  <w:r>
                    <w:rPr>
                      <w:rFonts w:hint="eastAsia"/>
                    </w:rPr>
                    <w:t>1</w:t>
                  </w:r>
                  <w:r>
                    <w:rPr>
                      <w:rFonts w:hint="eastAsia"/>
                      <w:lang w:val="en-US" w:eastAsia="zh-CN"/>
                    </w:rPr>
                    <w:t>6</w:t>
                  </w:r>
                </w:p>
              </w:tc>
              <w:tc>
                <w:tcPr>
                  <w:tcW w:w="672"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eastAsia="zh-CN"/>
                    </w:rPr>
                    <w:t>皮带输送机</w:t>
                  </w:r>
                </w:p>
              </w:tc>
              <w:tc>
                <w:tcPr>
                  <w:tcW w:w="1051"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0</w:t>
                  </w:r>
                </w:p>
              </w:tc>
              <w:tc>
                <w:tcPr>
                  <w:tcW w:w="908" w:type="pct"/>
                  <w:tcBorders>
                    <w:top w:val="single" w:color="auto" w:sz="4" w:space="0"/>
                    <w:left w:val="nil"/>
                    <w:bottom w:val="single" w:color="auto" w:sz="4" w:space="0"/>
                    <w:right w:val="single" w:color="auto" w:sz="4" w:space="0"/>
                  </w:tcBorders>
                  <w:vAlign w:val="top"/>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eastAsia"/>
                      <w:lang w:val="en-US" w:eastAsia="zh-CN"/>
                    </w:rPr>
                  </w:pPr>
                  <w:r>
                    <w:rPr>
                      <w:rFonts w:hint="eastAsia"/>
                      <w:lang w:val="en-US" w:eastAsia="zh-CN"/>
                    </w:rPr>
                    <w:t>12</w:t>
                  </w:r>
                </w:p>
              </w:tc>
              <w:tc>
                <w:tcPr>
                  <w:tcW w:w="589"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default" w:eastAsia="宋体"/>
                      <w:lang w:val="en-US" w:eastAsia="zh-CN"/>
                    </w:rPr>
                  </w:pPr>
                  <w:r>
                    <w:rPr>
                      <w:rFonts w:hint="eastAsia"/>
                      <w:lang w:val="en-US" w:eastAsia="zh-CN"/>
                    </w:rPr>
                    <w:t>+12</w:t>
                  </w:r>
                </w:p>
              </w:tc>
              <w:tc>
                <w:tcPr>
                  <w:tcW w:w="1055"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pPr>
                  <w:r>
                    <w:rPr>
                      <w:rFonts w:hint="eastAsia"/>
                    </w:rPr>
                    <w:t>/</w:t>
                  </w:r>
                </w:p>
              </w:tc>
              <w:tc>
                <w:tcPr>
                  <w:tcW w:w="428" w:type="pct"/>
                  <w:vMerge w:val="continue"/>
                  <w:tcBorders>
                    <w:left w:val="nil"/>
                    <w:bottom w:val="single" w:color="auto" w:sz="4" w:space="0"/>
                  </w:tcBorders>
                  <w:vAlign w:val="center"/>
                </w:tcPr>
                <w:p>
                  <w:pPr>
                    <w:widowControl/>
                    <w:autoSpaceDE w:val="0"/>
                    <w:spacing w:line="340" w:lineRule="exact"/>
                    <w:jc w:val="center"/>
                    <w:textAlignment w:val="center"/>
                    <w:rPr>
                      <w:rFonts w:hint="eastAsia"/>
                    </w:rPr>
                  </w:pPr>
                </w:p>
              </w:tc>
            </w:tr>
          </w:tbl>
          <w:p>
            <w:pPr>
              <w:adjustRightInd w:val="0"/>
              <w:spacing w:line="360" w:lineRule="auto"/>
              <w:ind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6、主要原辅材料及能源消耗情况</w:t>
            </w:r>
          </w:p>
          <w:p>
            <w:pPr>
              <w:spacing w:line="440" w:lineRule="exact"/>
              <w:jc w:val="center"/>
              <w:rPr>
                <w:rFonts w:hint="eastAsia" w:ascii="Times New Roman" w:hAnsi="Times New Roman" w:eastAsia="宋体" w:cs="Times New Roman"/>
                <w:b/>
                <w:bCs/>
                <w:kern w:val="0"/>
                <w:sz w:val="24"/>
                <w:szCs w:val="20"/>
                <w:lang w:val="en-US" w:eastAsia="zh-CN" w:bidi="ar-SA"/>
              </w:rPr>
            </w:pPr>
            <w:r>
              <w:rPr>
                <w:rFonts w:hint="eastAsia" w:ascii="Times New Roman" w:hAnsi="Times New Roman" w:eastAsia="宋体" w:cs="Times New Roman"/>
                <w:b/>
                <w:bCs/>
                <w:kern w:val="0"/>
                <w:sz w:val="24"/>
                <w:szCs w:val="20"/>
                <w:lang w:val="en-US" w:eastAsia="zh-CN" w:bidi="ar-SA"/>
              </w:rPr>
              <w:t>表2-6   项目主要原辅材料和资源、能源消耗一览表</w:t>
            </w:r>
          </w:p>
          <w:tbl>
            <w:tblPr>
              <w:tblStyle w:val="26"/>
              <w:tblW w:w="7555"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2"/>
              <w:gridCol w:w="948"/>
              <w:gridCol w:w="585"/>
              <w:gridCol w:w="675"/>
              <w:gridCol w:w="1095"/>
              <w:gridCol w:w="1125"/>
              <w:gridCol w:w="1200"/>
              <w:gridCol w:w="159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cantSplit/>
                <w:trHeight w:val="105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jc w:val="center"/>
                    <w:rPr>
                      <w:b/>
                      <w:bCs/>
                    </w:rPr>
                  </w:pPr>
                  <w:r>
                    <w:rPr>
                      <w:rFonts w:hint="eastAsia"/>
                      <w:b/>
                      <w:bCs/>
                    </w:rPr>
                    <w:t>类别</w:t>
                  </w:r>
                </w:p>
              </w:tc>
              <w:tc>
                <w:tcPr>
                  <w:tcW w:w="627"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b/>
                      <w:bCs/>
                    </w:rPr>
                  </w:pPr>
                  <w:r>
                    <w:rPr>
                      <w:rFonts w:hint="eastAsia"/>
                      <w:b/>
                      <w:bCs/>
                    </w:rPr>
                    <w:t>名称</w:t>
                  </w:r>
                </w:p>
              </w:tc>
              <w:tc>
                <w:tcPr>
                  <w:tcW w:w="387"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b/>
                      <w:bCs/>
                    </w:rPr>
                  </w:pPr>
                  <w:r>
                    <w:rPr>
                      <w:rFonts w:hint="eastAsia"/>
                      <w:b/>
                      <w:bCs/>
                    </w:rPr>
                    <w:t>单位</w:t>
                  </w:r>
                </w:p>
              </w:tc>
              <w:tc>
                <w:tcPr>
                  <w:tcW w:w="44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b/>
                      <w:bCs/>
                      <w:lang w:val="en-US" w:eastAsia="zh-CN"/>
                    </w:rPr>
                  </w:pPr>
                  <w:r>
                    <w:rPr>
                      <w:rFonts w:hint="eastAsia"/>
                      <w:b/>
                      <w:bCs/>
                      <w:lang w:val="en-US" w:eastAsia="zh-CN"/>
                    </w:rPr>
                    <w:t>储存方式</w:t>
                  </w:r>
                </w:p>
              </w:tc>
              <w:tc>
                <w:tcPr>
                  <w:tcW w:w="724" w:type="pct"/>
                  <w:tcBorders>
                    <w:top w:val="single" w:color="auto" w:sz="4" w:space="0"/>
                    <w:left w:val="nil"/>
                    <w:bottom w:val="single" w:color="auto" w:sz="4" w:space="0"/>
                    <w:right w:val="single" w:color="auto" w:sz="4" w:space="0"/>
                  </w:tcBorders>
                  <w:vAlign w:val="center"/>
                </w:tcPr>
                <w:p>
                  <w:pPr>
                    <w:autoSpaceDE w:val="0"/>
                    <w:spacing w:line="340" w:lineRule="exact"/>
                    <w:jc w:val="center"/>
                    <w:rPr>
                      <w:b/>
                      <w:bCs/>
                    </w:rPr>
                  </w:pPr>
                  <w:r>
                    <w:rPr>
                      <w:rFonts w:hint="eastAsia"/>
                      <w:b/>
                      <w:bCs/>
                    </w:rPr>
                    <w:t>改扩建前年用量</w:t>
                  </w:r>
                </w:p>
              </w:tc>
              <w:tc>
                <w:tcPr>
                  <w:tcW w:w="744" w:type="pct"/>
                  <w:tcBorders>
                    <w:top w:val="single" w:color="auto" w:sz="4" w:space="0"/>
                    <w:left w:val="nil"/>
                    <w:bottom w:val="single" w:color="auto" w:sz="4" w:space="0"/>
                    <w:right w:val="single" w:color="auto" w:sz="4" w:space="0"/>
                  </w:tcBorders>
                  <w:vAlign w:val="center"/>
                </w:tcPr>
                <w:p>
                  <w:pPr>
                    <w:autoSpaceDE w:val="0"/>
                    <w:spacing w:line="340" w:lineRule="exact"/>
                    <w:jc w:val="center"/>
                    <w:rPr>
                      <w:b/>
                      <w:bCs/>
                    </w:rPr>
                  </w:pPr>
                  <w:r>
                    <w:rPr>
                      <w:rFonts w:hint="eastAsia"/>
                      <w:b/>
                      <w:bCs/>
                    </w:rPr>
                    <w:t>改扩建后年用量</w:t>
                  </w:r>
                </w:p>
              </w:tc>
              <w:tc>
                <w:tcPr>
                  <w:tcW w:w="794"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textAlignment w:val="center"/>
                    <w:rPr>
                      <w:rFonts w:hint="eastAsia" w:ascii="Times New Roman" w:hAnsi="Times New Roman" w:eastAsia="宋体" w:cs="Times New Roman"/>
                      <w:b/>
                      <w:bCs/>
                      <w:kern w:val="2"/>
                      <w:sz w:val="21"/>
                      <w:szCs w:val="24"/>
                      <w:lang w:val="en-US" w:eastAsia="zh-CN" w:bidi="ar-SA"/>
                    </w:rPr>
                  </w:pPr>
                  <w:r>
                    <w:rPr>
                      <w:rFonts w:hint="eastAsia"/>
                      <w:b/>
                      <w:bCs/>
                      <w:lang w:val="en-US" w:eastAsia="zh-CN"/>
                    </w:rPr>
                    <w:t>增减量</w:t>
                  </w:r>
                </w:p>
              </w:tc>
              <w:tc>
                <w:tcPr>
                  <w:tcW w:w="1055" w:type="pct"/>
                  <w:tcBorders>
                    <w:top w:val="single" w:color="auto" w:sz="4" w:space="0"/>
                    <w:left w:val="nil"/>
                    <w:bottom w:val="single" w:color="auto" w:sz="4" w:space="0"/>
                  </w:tcBorders>
                  <w:vAlign w:val="center"/>
                </w:tcPr>
                <w:p>
                  <w:pPr>
                    <w:autoSpaceDE w:val="0"/>
                    <w:spacing w:line="340" w:lineRule="exact"/>
                    <w:jc w:val="center"/>
                    <w:rPr>
                      <w:b/>
                      <w:bCs/>
                    </w:rPr>
                  </w:pPr>
                  <w:r>
                    <w:rPr>
                      <w:rFonts w:hint="eastAsia"/>
                      <w:b/>
                      <w:bCs/>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73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1</w:t>
                  </w:r>
                </w:p>
              </w:tc>
              <w:tc>
                <w:tcPr>
                  <w:tcW w:w="627" w:type="pct"/>
                  <w:tcBorders>
                    <w:top w:val="single" w:color="auto" w:sz="4" w:space="0"/>
                    <w:left w:val="nil"/>
                    <w:bottom w:val="single" w:color="auto" w:sz="4" w:space="0"/>
                    <w:right w:val="single" w:color="auto" w:sz="4" w:space="0"/>
                  </w:tcBorders>
                  <w:vAlign w:val="center"/>
                </w:tcPr>
                <w:p>
                  <w:pPr>
                    <w:pStyle w:val="84"/>
                  </w:pPr>
                  <w:r>
                    <w:rPr>
                      <w:rFonts w:hint="default"/>
                      <w:lang w:val="en-US" w:eastAsia="zh-CN"/>
                    </w:rPr>
                    <w:t>江砂（含水率20%）</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pStyle w:val="84"/>
                    <w:rPr>
                      <w:rFonts w:hint="default"/>
                      <w:lang w:val="en-US" w:eastAsia="zh-CN"/>
                    </w:rPr>
                  </w:pPr>
                  <w:r>
                    <w:rPr>
                      <w:rFonts w:hint="eastAsia"/>
                      <w:lang w:val="en-US" w:eastAsia="zh-CN"/>
                    </w:rPr>
                    <w:t>/</w:t>
                  </w:r>
                </w:p>
              </w:tc>
              <w:tc>
                <w:tcPr>
                  <w:tcW w:w="724" w:type="pct"/>
                  <w:tcBorders>
                    <w:top w:val="single" w:color="auto" w:sz="4" w:space="0"/>
                    <w:left w:val="nil"/>
                    <w:bottom w:val="single" w:color="auto" w:sz="4" w:space="0"/>
                    <w:right w:val="single" w:color="auto" w:sz="4" w:space="0"/>
                  </w:tcBorders>
                  <w:vAlign w:val="center"/>
                </w:tcPr>
                <w:p>
                  <w:pPr>
                    <w:pStyle w:val="84"/>
                  </w:pPr>
                  <w:r>
                    <w:rPr>
                      <w:rFonts w:hint="eastAsia"/>
                      <w:lang w:val="en-US" w:eastAsia="zh-CN"/>
                    </w:rPr>
                    <w:t>145090</w:t>
                  </w:r>
                </w:p>
              </w:tc>
              <w:tc>
                <w:tcPr>
                  <w:tcW w:w="744" w:type="pct"/>
                  <w:tcBorders>
                    <w:top w:val="single" w:color="auto" w:sz="4" w:space="0"/>
                    <w:left w:val="nil"/>
                    <w:bottom w:val="single" w:color="auto" w:sz="4" w:space="0"/>
                    <w:right w:val="single" w:color="auto" w:sz="4" w:space="0"/>
                  </w:tcBorders>
                  <w:vAlign w:val="center"/>
                </w:tcPr>
                <w:p>
                  <w:pPr>
                    <w:pStyle w:val="84"/>
                  </w:pPr>
                  <w:r>
                    <w:rPr>
                      <w:rFonts w:hint="eastAsia"/>
                      <w:lang w:val="en-US" w:eastAsia="zh-CN"/>
                    </w:rPr>
                    <w:t>15090</w:t>
                  </w:r>
                </w:p>
              </w:tc>
              <w:tc>
                <w:tcPr>
                  <w:tcW w:w="79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-130000</w:t>
                  </w:r>
                </w:p>
              </w:tc>
              <w:tc>
                <w:tcPr>
                  <w:tcW w:w="1055" w:type="pct"/>
                  <w:tcBorders>
                    <w:top w:val="single" w:color="auto" w:sz="4" w:space="0"/>
                    <w:left w:val="nil"/>
                    <w:bottom w:val="single" w:color="auto" w:sz="4" w:space="0"/>
                  </w:tcBorders>
                  <w:vAlign w:val="center"/>
                </w:tcPr>
                <w:p>
                  <w:pPr>
                    <w:autoSpaceDE w:val="0"/>
                    <w:spacing w:line="340" w:lineRule="exact"/>
                    <w:jc w:val="center"/>
                    <w:rPr>
                      <w:rFonts w:hint="default"/>
                      <w:lang w:val="en-US" w:eastAsia="zh-CN"/>
                    </w:rPr>
                  </w:pPr>
                  <w:r>
                    <w:rPr>
                      <w:rFonts w:hint="eastAsia"/>
                    </w:rPr>
                    <w:t>外购、汽车运输</w:t>
                  </w:r>
                  <w:r>
                    <w:rPr>
                      <w:rFonts w:hint="eastAsia"/>
                      <w:lang w:eastAsia="zh-CN"/>
                    </w:rPr>
                    <w:t>。</w:t>
                  </w:r>
                  <w:r>
                    <w:rPr>
                      <w:rFonts w:hint="eastAsia"/>
                      <w:lang w:val="en-US" w:eastAsia="zh-CN"/>
                    </w:rPr>
                    <w:t>新建机制砂项目成品砂作为部分原料。只需再采购一小部分江砂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2</w:t>
                  </w:r>
                </w:p>
              </w:tc>
              <w:tc>
                <w:tcPr>
                  <w:tcW w:w="627" w:type="pct"/>
                  <w:tcBorders>
                    <w:top w:val="single" w:color="auto" w:sz="4" w:space="0"/>
                    <w:left w:val="nil"/>
                    <w:bottom w:val="single" w:color="auto" w:sz="4" w:space="0"/>
                    <w:right w:val="single" w:color="auto" w:sz="4" w:space="0"/>
                  </w:tcBorders>
                  <w:vAlign w:val="center"/>
                </w:tcPr>
                <w:p>
                  <w:pPr>
                    <w:adjustRightInd w:val="0"/>
                    <w:snapToGrid w:val="0"/>
                    <w:jc w:val="center"/>
                    <w:rPr>
                      <w:lang w:val="en-US" w:eastAsia="zh-CN"/>
                    </w:rPr>
                  </w:pPr>
                  <w:r>
                    <w:t>青石、鹅卵石</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pStyle w:val="84"/>
                    <w:rPr>
                      <w:rFonts w:hint="default"/>
                      <w:lang w:val="en-US" w:eastAsia="zh-CN"/>
                    </w:rPr>
                  </w:pPr>
                  <w:r>
                    <w:rPr>
                      <w:rFonts w:hint="eastAsia"/>
                      <w:lang w:val="en-US" w:eastAsia="zh-CN"/>
                    </w:rPr>
                    <w:t>袋装</w:t>
                  </w:r>
                </w:p>
              </w:tc>
              <w:tc>
                <w:tcPr>
                  <w:tcW w:w="724" w:type="pct"/>
                  <w:tcBorders>
                    <w:top w:val="single" w:color="auto" w:sz="4" w:space="0"/>
                    <w:left w:val="nil"/>
                    <w:bottom w:val="single" w:color="auto" w:sz="4" w:space="0"/>
                    <w:right w:val="single" w:color="auto" w:sz="4" w:space="0"/>
                  </w:tcBorders>
                  <w:vAlign w:val="center"/>
                </w:tcPr>
                <w:p>
                  <w:pPr>
                    <w:pStyle w:val="84"/>
                    <w:rPr>
                      <w:rFonts w:hint="eastAsia"/>
                      <w:lang w:val="en-US" w:eastAsia="zh-CN"/>
                    </w:rPr>
                  </w:pPr>
                  <w:r>
                    <w:rPr>
                      <w:rFonts w:hint="eastAsia"/>
                      <w:lang w:val="en-US" w:eastAsia="zh-CN"/>
                    </w:rPr>
                    <w:t>0</w:t>
                  </w:r>
                </w:p>
              </w:tc>
              <w:tc>
                <w:tcPr>
                  <w:tcW w:w="74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int="default"/>
                      <w:lang w:val="en-US" w:eastAsia="zh-CN"/>
                    </w:rPr>
                  </w:pPr>
                  <w:r>
                    <w:rPr>
                      <w:rFonts w:hint="eastAsia"/>
                      <w:lang w:eastAsia="zh-CN"/>
                    </w:rPr>
                    <w:t>14</w:t>
                  </w:r>
                  <w:r>
                    <w:rPr>
                      <w:rFonts w:hint="eastAsia"/>
                      <w:lang w:val="en-US" w:eastAsia="zh-CN"/>
                    </w:rPr>
                    <w:t>0000</w:t>
                  </w:r>
                </w:p>
              </w:tc>
              <w:tc>
                <w:tcPr>
                  <w:tcW w:w="79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+140000</w:t>
                  </w:r>
                </w:p>
              </w:tc>
              <w:tc>
                <w:tcPr>
                  <w:tcW w:w="1055" w:type="pct"/>
                  <w:tcBorders>
                    <w:top w:val="single" w:color="auto" w:sz="4" w:space="0"/>
                    <w:left w:val="nil"/>
                    <w:bottom w:val="single" w:color="auto" w:sz="4" w:space="0"/>
                  </w:tcBorders>
                  <w:vAlign w:val="center"/>
                </w:tcPr>
                <w:p>
                  <w:pPr>
                    <w:autoSpaceDE w:val="0"/>
                    <w:spacing w:line="340" w:lineRule="exact"/>
                    <w:jc w:val="center"/>
                  </w:pPr>
                  <w:r>
                    <w:rPr>
                      <w:rFonts w:hint="eastAsia"/>
                    </w:rPr>
                    <w:t>外购、汽车运输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4</w:t>
                  </w:r>
                </w:p>
              </w:tc>
              <w:tc>
                <w:tcPr>
                  <w:tcW w:w="627" w:type="pct"/>
                  <w:tcBorders>
                    <w:top w:val="single" w:color="auto" w:sz="4" w:space="0"/>
                    <w:left w:val="nil"/>
                    <w:bottom w:val="single" w:color="auto" w:sz="4" w:space="0"/>
                    <w:right w:val="single" w:color="auto" w:sz="4" w:space="0"/>
                  </w:tcBorders>
                  <w:vAlign w:val="center"/>
                </w:tcPr>
                <w:p>
                  <w:pPr>
                    <w:adjustRightInd w:val="0"/>
                    <w:jc w:val="center"/>
                    <w:textAlignment w:val="center"/>
                    <w:rPr>
                      <w:lang w:val="en-US" w:eastAsia="zh-CN"/>
                    </w:rPr>
                  </w:pPr>
                  <w:r>
                    <w:rPr>
                      <w:lang w:eastAsia="zh-CN"/>
                    </w:rPr>
                    <w:t>聚丙烯酰胺</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袋装</w:t>
                  </w:r>
                </w:p>
              </w:tc>
              <w:tc>
                <w:tcPr>
                  <w:tcW w:w="72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15</w:t>
                  </w:r>
                </w:p>
              </w:tc>
              <w:tc>
                <w:tcPr>
                  <w:tcW w:w="74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int="default"/>
                      <w:lang w:val="en-US" w:eastAsia="zh-CN"/>
                    </w:rPr>
                  </w:pPr>
                  <w:r>
                    <w:rPr>
                      <w:rFonts w:hint="eastAsia"/>
                      <w:lang w:val="en-US" w:eastAsia="zh-CN"/>
                    </w:rPr>
                    <w:t>30</w:t>
                  </w:r>
                </w:p>
              </w:tc>
              <w:tc>
                <w:tcPr>
                  <w:tcW w:w="79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kern w:val="2"/>
                      <w:sz w:val="21"/>
                      <w:szCs w:val="24"/>
                      <w:lang w:val="en-US" w:eastAsia="zh-CN" w:bidi="ar-SA"/>
                    </w:rPr>
                  </w:pPr>
                  <w:r>
                    <w:rPr>
                      <w:rFonts w:hint="eastAsia"/>
                      <w:lang w:val="en-US" w:eastAsia="zh-CN"/>
                    </w:rPr>
                    <w:t>+15</w:t>
                  </w:r>
                </w:p>
              </w:tc>
              <w:tc>
                <w:tcPr>
                  <w:tcW w:w="1055" w:type="pct"/>
                  <w:tcBorders>
                    <w:top w:val="single" w:color="auto" w:sz="4" w:space="0"/>
                    <w:left w:val="nil"/>
                    <w:bottom w:val="single" w:color="auto" w:sz="4" w:space="0"/>
                  </w:tcBorders>
                  <w:vAlign w:val="center"/>
                </w:tcPr>
                <w:p>
                  <w:pPr>
                    <w:autoSpaceDE w:val="0"/>
                    <w:spacing w:line="340" w:lineRule="exact"/>
                    <w:jc w:val="center"/>
                    <w:rPr>
                      <w:rFonts w:hint="default" w:eastAsia="宋体"/>
                      <w:lang w:val="en-US" w:eastAsia="zh-CN"/>
                    </w:rPr>
                  </w:pPr>
                  <w:r>
                    <w:rPr>
                      <w:rFonts w:hint="eastAsia"/>
                    </w:rPr>
                    <w:t>外购、汽车运输</w:t>
                  </w:r>
                  <w:r>
                    <w:rPr>
                      <w:rFonts w:hint="eastAsia"/>
                      <w:lang w:eastAsia="zh-CN"/>
                    </w:rPr>
                    <w:t>。</w:t>
                  </w:r>
                  <w:r>
                    <w:rPr>
                      <w:rFonts w:hint="eastAsia"/>
                      <w:lang w:val="en-US" w:eastAsia="zh-CN"/>
                    </w:rPr>
                    <w:t>做废水絮凝剂使用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5</w:t>
                  </w:r>
                </w:p>
              </w:tc>
              <w:tc>
                <w:tcPr>
                  <w:tcW w:w="627" w:type="pct"/>
                  <w:tcBorders>
                    <w:top w:val="single" w:color="auto" w:sz="4" w:space="0"/>
                    <w:left w:val="nil"/>
                    <w:bottom w:val="single" w:color="auto" w:sz="4" w:space="0"/>
                    <w:right w:val="single" w:color="auto" w:sz="4" w:space="0"/>
                  </w:tcBorders>
                  <w:vAlign w:val="center"/>
                </w:tcPr>
                <w:p>
                  <w:pPr>
                    <w:adjustRightInd w:val="0"/>
                    <w:jc w:val="center"/>
                    <w:textAlignment w:val="center"/>
                    <w:rPr>
                      <w:lang w:val="en-US" w:eastAsia="zh-CN"/>
                    </w:rPr>
                  </w:pPr>
                  <w:r>
                    <w:rPr>
                      <w:rFonts w:hint="eastAsia"/>
                      <w:lang w:eastAsia="zh-CN"/>
                    </w:rPr>
                    <w:t>润滑油</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桶装</w:t>
                  </w:r>
                </w:p>
              </w:tc>
              <w:tc>
                <w:tcPr>
                  <w:tcW w:w="72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0.25</w:t>
                  </w:r>
                </w:p>
              </w:tc>
              <w:tc>
                <w:tcPr>
                  <w:tcW w:w="74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lang w:val="en-US" w:eastAsia="zh-CN"/>
                    </w:rPr>
                  </w:pPr>
                  <w:r>
                    <w:rPr>
                      <w:rFonts w:hint="eastAsia"/>
                      <w:lang w:eastAsia="zh-CN"/>
                    </w:rPr>
                    <w:t>0.5</w:t>
                  </w:r>
                </w:p>
              </w:tc>
              <w:tc>
                <w:tcPr>
                  <w:tcW w:w="794" w:type="pct"/>
                  <w:tcBorders>
                    <w:top w:val="single" w:color="auto" w:sz="4" w:space="0"/>
                    <w:left w:val="nil"/>
                    <w:bottom w:val="single" w:color="auto" w:sz="4" w:space="0"/>
                    <w:right w:val="single" w:color="auto" w:sz="4" w:space="0"/>
                  </w:tcBorders>
                  <w:vAlign w:val="center"/>
                </w:tcPr>
                <w:p>
                  <w:pPr>
                    <w:adjustRightInd w:val="0"/>
                    <w:snapToGrid w:val="0"/>
                    <w:spacing w:line="240" w:lineRule="atLeast"/>
                    <w:jc w:val="center"/>
                    <w:rPr>
                      <w:rFonts w:hint="default"/>
                      <w:lang w:val="en-US" w:eastAsia="zh-CN"/>
                    </w:rPr>
                  </w:pPr>
                  <w:r>
                    <w:rPr>
                      <w:rFonts w:hint="eastAsia"/>
                      <w:lang w:val="en-US" w:eastAsia="zh-CN"/>
                    </w:rPr>
                    <w:t>+0.25</w:t>
                  </w:r>
                </w:p>
              </w:tc>
              <w:tc>
                <w:tcPr>
                  <w:tcW w:w="1055" w:type="pct"/>
                  <w:tcBorders>
                    <w:top w:val="single" w:color="auto" w:sz="4" w:space="0"/>
                    <w:left w:val="nil"/>
                    <w:bottom w:val="single" w:color="auto" w:sz="4" w:space="0"/>
                  </w:tcBorders>
                  <w:vAlign w:val="center"/>
                </w:tcPr>
                <w:p>
                  <w:pPr>
                    <w:autoSpaceDE w:val="0"/>
                    <w:spacing w:line="340" w:lineRule="exact"/>
                    <w:jc w:val="center"/>
                  </w:pPr>
                  <w:r>
                    <w:rPr>
                      <w:rFonts w:hint="eastAsia"/>
                    </w:rPr>
                    <w:t>外购、汽车运输</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719"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6</w:t>
                  </w:r>
                </w:p>
              </w:tc>
              <w:tc>
                <w:tcPr>
                  <w:tcW w:w="62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水</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吨</w:t>
                  </w:r>
                </w:p>
              </w:tc>
              <w:tc>
                <w:tcPr>
                  <w:tcW w:w="446"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w:t>
                  </w:r>
                </w:p>
              </w:tc>
              <w:tc>
                <w:tcPr>
                  <w:tcW w:w="72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33000</w:t>
                  </w:r>
                </w:p>
              </w:tc>
              <w:tc>
                <w:tcPr>
                  <w:tcW w:w="74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91225.18</w:t>
                  </w:r>
                </w:p>
              </w:tc>
              <w:tc>
                <w:tcPr>
                  <w:tcW w:w="794" w:type="pct"/>
                  <w:tcBorders>
                    <w:top w:val="single" w:color="auto" w:sz="4" w:space="0"/>
                    <w:left w:val="nil"/>
                    <w:bottom w:val="single" w:color="auto" w:sz="4" w:space="0"/>
                    <w:right w:val="single" w:color="auto" w:sz="4" w:space="0"/>
                  </w:tcBorders>
                  <w:vAlign w:val="center"/>
                </w:tcPr>
                <w:p>
                  <w:pPr>
                    <w:autoSpaceDE w:val="0"/>
                    <w:spacing w:line="340" w:lineRule="exact"/>
                    <w:jc w:val="center"/>
                    <w:rPr>
                      <w:rFonts w:hint="default"/>
                      <w:lang w:val="en-US" w:eastAsia="zh-CN"/>
                    </w:rPr>
                  </w:pPr>
                  <w:r>
                    <w:rPr>
                      <w:rFonts w:hint="eastAsia"/>
                      <w:lang w:val="en-US" w:eastAsia="zh-CN"/>
                    </w:rPr>
                    <w:t>+58225.18</w:t>
                  </w:r>
                </w:p>
              </w:tc>
              <w:tc>
                <w:tcPr>
                  <w:tcW w:w="1055" w:type="pct"/>
                  <w:tcBorders>
                    <w:top w:val="single" w:color="auto" w:sz="4" w:space="0"/>
                    <w:left w:val="nil"/>
                    <w:bottom w:val="single" w:color="auto" w:sz="4" w:space="0"/>
                  </w:tcBorders>
                  <w:vAlign w:val="center"/>
                </w:tcPr>
                <w:p>
                  <w:pPr>
                    <w:autoSpaceDE w:val="0"/>
                    <w:spacing w:line="340" w:lineRule="exact"/>
                    <w:jc w:val="center"/>
                  </w:pPr>
                  <w:r>
                    <w:t>市政给水管网</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440" w:hRule="atLeast"/>
                <w:jc w:val="center"/>
              </w:trPr>
              <w:tc>
                <w:tcPr>
                  <w:tcW w:w="219" w:type="pct"/>
                  <w:tcBorders>
                    <w:top w:val="single" w:color="auto" w:sz="4" w:space="0"/>
                    <w:bottom w:val="single" w:color="auto" w:sz="4" w:space="0"/>
                    <w:right w:val="single" w:color="auto" w:sz="4" w:space="0"/>
                  </w:tcBorders>
                  <w:vAlign w:val="center"/>
                </w:tcPr>
                <w:p>
                  <w:pPr>
                    <w:widowControl/>
                    <w:autoSpaceDE w:val="0"/>
                    <w:spacing w:line="340" w:lineRule="exact"/>
                    <w:ind w:left="10" w:hanging="10" w:hangingChars="5"/>
                    <w:jc w:val="center"/>
                  </w:pPr>
                  <w:r>
                    <w:rPr>
                      <w:rFonts w:hint="eastAsia"/>
                    </w:rPr>
                    <w:t>7</w:t>
                  </w:r>
                </w:p>
              </w:tc>
              <w:tc>
                <w:tcPr>
                  <w:tcW w:w="627"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电</w:t>
                  </w:r>
                </w:p>
              </w:tc>
              <w:tc>
                <w:tcPr>
                  <w:tcW w:w="387" w:type="pct"/>
                  <w:tcBorders>
                    <w:top w:val="single" w:color="auto" w:sz="4" w:space="0"/>
                    <w:left w:val="nil"/>
                    <w:bottom w:val="single" w:color="auto" w:sz="4" w:space="0"/>
                    <w:right w:val="single" w:color="auto" w:sz="4" w:space="0"/>
                  </w:tcBorders>
                  <w:vAlign w:val="center"/>
                </w:tcPr>
                <w:p>
                  <w:pPr>
                    <w:autoSpaceDE w:val="0"/>
                    <w:spacing w:line="340" w:lineRule="exact"/>
                    <w:jc w:val="center"/>
                  </w:pPr>
                  <w:r>
                    <w:rPr>
                      <w:rFonts w:hint="eastAsia"/>
                    </w:rPr>
                    <w:t>万KWh/a</w:t>
                  </w:r>
                </w:p>
              </w:tc>
              <w:tc>
                <w:tcPr>
                  <w:tcW w:w="446"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eastAsia"/>
                      <w:lang w:val="en-US" w:eastAsia="zh-CN"/>
                    </w:rPr>
                    <w:t>/</w:t>
                  </w:r>
                </w:p>
              </w:tc>
              <w:tc>
                <w:tcPr>
                  <w:tcW w:w="724" w:type="pct"/>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after="0"/>
                    <w:jc w:val="center"/>
                    <w:textAlignment w:val="auto"/>
                    <w:rPr>
                      <w:rFonts w:hint="default"/>
                      <w:lang w:val="en-US" w:eastAsia="zh-CN"/>
                    </w:rPr>
                  </w:pPr>
                  <w:r>
                    <w:rPr>
                      <w:rFonts w:hint="default"/>
                      <w:lang w:val="en-US" w:eastAsia="zh-CN"/>
                    </w:rPr>
                    <w:t>20</w:t>
                  </w:r>
                </w:p>
              </w:tc>
              <w:tc>
                <w:tcPr>
                  <w:tcW w:w="744"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lang w:val="en-US" w:eastAsia="zh-CN"/>
                    </w:rPr>
                  </w:pPr>
                  <w:r>
                    <w:rPr>
                      <w:rFonts w:hint="eastAsia"/>
                      <w:lang w:val="en-US" w:eastAsia="zh-CN"/>
                    </w:rPr>
                    <w:t>40</w:t>
                  </w:r>
                </w:p>
              </w:tc>
              <w:tc>
                <w:tcPr>
                  <w:tcW w:w="794" w:type="pct"/>
                  <w:tcBorders>
                    <w:top w:val="single" w:color="auto" w:sz="4" w:space="0"/>
                    <w:left w:val="nil"/>
                    <w:bottom w:val="single" w:color="auto" w:sz="4" w:space="0"/>
                    <w:right w:val="single" w:color="auto" w:sz="4" w:space="0"/>
                  </w:tcBorders>
                  <w:vAlign w:val="center"/>
                </w:tcPr>
                <w:p>
                  <w:pPr>
                    <w:widowControl/>
                    <w:autoSpaceDE w:val="0"/>
                    <w:spacing w:line="340" w:lineRule="exact"/>
                    <w:jc w:val="center"/>
                    <w:rPr>
                      <w:rFonts w:hint="default"/>
                      <w:lang w:val="en-US" w:eastAsia="zh-CN"/>
                    </w:rPr>
                  </w:pPr>
                  <w:r>
                    <w:rPr>
                      <w:rFonts w:hint="eastAsia"/>
                      <w:lang w:val="en-US" w:eastAsia="zh-CN"/>
                    </w:rPr>
                    <w:t>+20</w:t>
                  </w:r>
                </w:p>
              </w:tc>
              <w:tc>
                <w:tcPr>
                  <w:tcW w:w="1055" w:type="pct"/>
                  <w:tcBorders>
                    <w:top w:val="single" w:color="auto" w:sz="4" w:space="0"/>
                    <w:left w:val="nil"/>
                    <w:bottom w:val="single" w:color="auto" w:sz="4" w:space="0"/>
                  </w:tcBorders>
                  <w:vAlign w:val="center"/>
                </w:tcPr>
                <w:p>
                  <w:pPr>
                    <w:widowControl/>
                    <w:autoSpaceDE w:val="0"/>
                    <w:spacing w:line="340" w:lineRule="exact"/>
                    <w:jc w:val="center"/>
                  </w:pPr>
                  <w:r>
                    <w:t>市政电网</w:t>
                  </w:r>
                </w:p>
              </w:tc>
            </w:tr>
          </w:tbl>
          <w:p>
            <w:pPr>
              <w:rPr>
                <w:rFonts w:hint="eastAsia" w:ascii="宋体" w:hAnsi="宋体" w:eastAsia="宋体" w:cs="宋体"/>
                <w:b/>
                <w:bCs/>
                <w:sz w:val="24"/>
                <w:szCs w:val="24"/>
                <w:lang w:val="en-US" w:eastAsia="zh-CN"/>
              </w:rPr>
            </w:pPr>
            <w:r>
              <w:rPr>
                <w:rFonts w:hint="eastAsia" w:ascii="Times New Roman" w:hAnsi="Times New Roman"/>
                <w:b/>
                <w:bCs/>
              </w:rPr>
              <w:t>注：本项目使用的青石</w:t>
            </w:r>
            <w:r>
              <w:rPr>
                <w:rFonts w:ascii="Times New Roman" w:hAnsi="Times New Roman"/>
                <w:b/>
                <w:bCs/>
                <w:spacing w:val="1"/>
                <w:szCs w:val="22"/>
              </w:rPr>
              <w:t>、鹅卵石</w:t>
            </w:r>
            <w:r>
              <w:rPr>
                <w:rFonts w:hint="eastAsia" w:ascii="Times New Roman" w:hAnsi="Times New Roman"/>
                <w:b/>
                <w:bCs/>
                <w:spacing w:val="1"/>
                <w:szCs w:val="22"/>
              </w:rPr>
              <w:t>由南陵县金发矿业有限公司以及安徽南山矿业有限公司购买，建设单位已于南陵县金发矿业有限公司、安徽南山矿业有限公司签订合作协议，见附件</w:t>
            </w:r>
            <w:r>
              <w:rPr>
                <w:rFonts w:hint="eastAsia" w:ascii="Times New Roman" w:hAnsi="Times New Roman"/>
                <w:b/>
                <w:bCs/>
                <w:spacing w:val="1"/>
                <w:szCs w:val="22"/>
                <w:lang w:val="en-US" w:eastAsia="zh-CN"/>
              </w:rPr>
              <w:t>12</w:t>
            </w:r>
            <w:r>
              <w:rPr>
                <w:rFonts w:hint="eastAsia" w:ascii="Times New Roman" w:hAnsi="Times New Roman"/>
                <w:b/>
                <w:bCs/>
                <w:spacing w:val="1"/>
                <w:szCs w:val="22"/>
              </w:rPr>
              <w:t>。南陵县金发矿业有限公司、安徽南山矿业有限公司已取得采矿许可证，见附件</w:t>
            </w:r>
            <w:r>
              <w:rPr>
                <w:rFonts w:hint="eastAsia" w:ascii="Times New Roman" w:hAnsi="Times New Roman"/>
                <w:b/>
                <w:bCs/>
                <w:spacing w:val="1"/>
                <w:szCs w:val="22"/>
                <w:lang w:val="en-US" w:eastAsia="zh-CN"/>
              </w:rPr>
              <w:t>13</w:t>
            </w:r>
            <w:r>
              <w:rPr>
                <w:rFonts w:hint="eastAsia" w:ascii="Times New Roman" w:hAnsi="Times New Roman"/>
                <w:b/>
                <w:bCs/>
                <w:spacing w:val="1"/>
                <w:szCs w:val="22"/>
              </w:rPr>
              <w:t>。</w:t>
            </w:r>
          </w:p>
          <w:p>
            <w:pPr>
              <w:spacing w:line="360" w:lineRule="auto"/>
              <w:ind w:firstLine="482" w:firstLineChars="200"/>
              <w:jc w:val="center"/>
              <w:rPr>
                <w:rFonts w:hint="eastAsia" w:ascii="宋体" w:hAnsi="宋体" w:eastAsia="宋体" w:cs="宋体"/>
                <w:b/>
                <w:bCs/>
                <w:kern w:val="0"/>
                <w:sz w:val="24"/>
                <w:szCs w:val="24"/>
                <w:lang w:val="en-US" w:eastAsia="zh-CN" w:bidi="ar-SA"/>
              </w:rPr>
            </w:pPr>
            <w:r>
              <w:rPr>
                <w:rFonts w:hint="eastAsia" w:ascii="宋体" w:hAnsi="宋体" w:eastAsia="宋体" w:cs="宋体"/>
                <w:b/>
                <w:bCs/>
                <w:sz w:val="24"/>
                <w:szCs w:val="24"/>
                <w:lang w:val="en-US" w:eastAsia="zh-CN"/>
              </w:rPr>
              <w:t>表 2-8  主要原辅材料理化性质</w:t>
            </w:r>
          </w:p>
          <w:tbl>
            <w:tblPr>
              <w:tblStyle w:val="27"/>
              <w:tblW w:w="4933"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1"/>
              <w:gridCol w:w="1297"/>
              <w:gridCol w:w="548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831" w:type="dxa"/>
                </w:tcPr>
                <w:p>
                  <w:pPr>
                    <w:pStyle w:val="2"/>
                    <w:numPr>
                      <w:ilvl w:val="0"/>
                      <w:numId w:val="0"/>
                    </w:numPr>
                    <w:jc w:val="center"/>
                    <w:rPr>
                      <w:rFonts w:hint="eastAsia"/>
                      <w:b/>
                      <w:bCs/>
                      <w:sz w:val="21"/>
                      <w:szCs w:val="21"/>
                      <w:lang w:val="en-US" w:eastAsia="zh-CN"/>
                    </w:rPr>
                  </w:pPr>
                  <w:r>
                    <w:rPr>
                      <w:rFonts w:hint="eastAsia"/>
                      <w:b/>
                      <w:bCs/>
                      <w:sz w:val="21"/>
                      <w:szCs w:val="21"/>
                      <w:lang w:val="en-US" w:eastAsia="zh-CN"/>
                    </w:rPr>
                    <w:t>序号</w:t>
                  </w:r>
                </w:p>
              </w:tc>
              <w:tc>
                <w:tcPr>
                  <w:tcW w:w="1297" w:type="dxa"/>
                </w:tcPr>
                <w:p>
                  <w:pPr>
                    <w:pStyle w:val="2"/>
                    <w:numPr>
                      <w:ilvl w:val="0"/>
                      <w:numId w:val="0"/>
                    </w:numPr>
                    <w:jc w:val="center"/>
                    <w:rPr>
                      <w:rFonts w:hint="eastAsia"/>
                      <w:b/>
                      <w:bCs/>
                      <w:sz w:val="21"/>
                      <w:szCs w:val="21"/>
                      <w:lang w:val="en-US" w:eastAsia="zh-CN"/>
                    </w:rPr>
                  </w:pPr>
                  <w:r>
                    <w:rPr>
                      <w:rFonts w:hint="eastAsia"/>
                      <w:b/>
                      <w:bCs/>
                      <w:sz w:val="21"/>
                      <w:szCs w:val="21"/>
                      <w:lang w:val="en-US" w:eastAsia="zh-CN"/>
                    </w:rPr>
                    <w:t>名称</w:t>
                  </w:r>
                </w:p>
              </w:tc>
              <w:tc>
                <w:tcPr>
                  <w:tcW w:w="5488" w:type="dxa"/>
                </w:tcPr>
                <w:p>
                  <w:pPr>
                    <w:pStyle w:val="2"/>
                    <w:numPr>
                      <w:ilvl w:val="0"/>
                      <w:numId w:val="0"/>
                    </w:numPr>
                    <w:jc w:val="center"/>
                    <w:rPr>
                      <w:rFonts w:hint="default"/>
                      <w:b/>
                      <w:bCs/>
                      <w:sz w:val="21"/>
                      <w:szCs w:val="21"/>
                      <w:lang w:val="en-US" w:eastAsia="zh-CN"/>
                    </w:rPr>
                  </w:pPr>
                  <w:r>
                    <w:rPr>
                      <w:rFonts w:hint="eastAsia"/>
                      <w:b/>
                      <w:bCs/>
                      <w:sz w:val="21"/>
                      <w:szCs w:val="21"/>
                      <w:lang w:val="en-US" w:eastAsia="zh-CN"/>
                    </w:rPr>
                    <w:t>基本性状</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971" w:hRule="atLeast"/>
                <w:jc w:val="center"/>
              </w:trPr>
              <w:tc>
                <w:tcPr>
                  <w:tcW w:w="831" w:type="dxa"/>
                  <w:vAlign w:val="center"/>
                </w:tcPr>
                <w:p>
                  <w:pPr>
                    <w:pStyle w:val="2"/>
                    <w:numPr>
                      <w:ilvl w:val="0"/>
                      <w:numId w:val="0"/>
                    </w:numPr>
                    <w:jc w:val="center"/>
                    <w:rPr>
                      <w:rFonts w:hint="eastAsia"/>
                      <w:lang w:val="en-US" w:eastAsia="zh-CN"/>
                    </w:rPr>
                  </w:pPr>
                  <w:r>
                    <w:rPr>
                      <w:rFonts w:hint="eastAsia"/>
                      <w:lang w:val="en-US" w:eastAsia="zh-CN"/>
                    </w:rPr>
                    <w:t>1</w:t>
                  </w:r>
                </w:p>
              </w:tc>
              <w:tc>
                <w:tcPr>
                  <w:tcW w:w="1297" w:type="dxa"/>
                  <w:vAlign w:val="center"/>
                </w:tcPr>
                <w:p>
                  <w:pPr>
                    <w:adjustRightInd w:val="0"/>
                    <w:jc w:val="center"/>
                    <w:textAlignment w:val="center"/>
                    <w:rPr>
                      <w:lang w:val="en-US" w:eastAsia="zh-CN"/>
                    </w:rPr>
                  </w:pPr>
                  <w:r>
                    <w:rPr>
                      <w:lang w:eastAsia="zh-CN"/>
                    </w:rPr>
                    <w:t>聚丙烯酰胺</w:t>
                  </w:r>
                </w:p>
              </w:tc>
              <w:tc>
                <w:tcPr>
                  <w:tcW w:w="5488" w:type="dxa"/>
                </w:tcPr>
                <w:p>
                  <w:pPr>
                    <w:pStyle w:val="2"/>
                    <w:numPr>
                      <w:ilvl w:val="0"/>
                      <w:numId w:val="0"/>
                    </w:numPr>
                    <w:jc w:val="center"/>
                    <w:rPr>
                      <w:rFonts w:hint="eastAsia"/>
                      <w:lang w:val="en-US" w:eastAsia="zh-CN"/>
                    </w:rPr>
                  </w:pPr>
                  <w:r>
                    <w:rPr>
                      <w:rFonts w:hint="eastAsia" w:ascii="Times New Roman" w:hAnsi="Times New Roman" w:eastAsia="宋体" w:cs="Times New Roman"/>
                      <w:spacing w:val="0"/>
                      <w:kern w:val="2"/>
                      <w:sz w:val="21"/>
                      <w:szCs w:val="24"/>
                      <w:lang w:val="en-US" w:eastAsia="zh-CN" w:bidi="ar-SA"/>
                    </w:rPr>
                    <w:t>白色粒状固体，稀释后呈无色液体,无臭。水处理中作助凝剂、絮凝剂、污泥脱水剂。在污水处理中，采用聚丙烯酰胺可以增加水回用循环的使用率，还可用作污泥脱水；工业水处理中用作一种重要的配方药剂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0" w:hRule="atLeast"/>
                <w:jc w:val="center"/>
              </w:trPr>
              <w:tc>
                <w:tcPr>
                  <w:tcW w:w="831" w:type="dxa"/>
                  <w:vAlign w:val="center"/>
                </w:tcPr>
                <w:p>
                  <w:pPr>
                    <w:pStyle w:val="2"/>
                    <w:numPr>
                      <w:ilvl w:val="0"/>
                      <w:numId w:val="0"/>
                    </w:numPr>
                    <w:jc w:val="center"/>
                    <w:rPr>
                      <w:rFonts w:hint="eastAsia"/>
                      <w:lang w:val="en-US" w:eastAsia="zh-CN"/>
                    </w:rPr>
                  </w:pPr>
                  <w:r>
                    <w:rPr>
                      <w:rFonts w:hint="eastAsia"/>
                      <w:lang w:val="en-US" w:eastAsia="zh-CN"/>
                    </w:rPr>
                    <w:t>2</w:t>
                  </w:r>
                </w:p>
              </w:tc>
              <w:tc>
                <w:tcPr>
                  <w:tcW w:w="1297" w:type="dxa"/>
                  <w:vAlign w:val="center"/>
                </w:tcPr>
                <w:p>
                  <w:pPr>
                    <w:adjustRightInd w:val="0"/>
                    <w:jc w:val="center"/>
                    <w:textAlignment w:val="center"/>
                    <w:rPr>
                      <w:lang w:val="en-US" w:eastAsia="zh-CN"/>
                    </w:rPr>
                  </w:pPr>
                  <w:r>
                    <w:rPr>
                      <w:rFonts w:hint="eastAsia"/>
                      <w:lang w:eastAsia="zh-CN"/>
                    </w:rPr>
                    <w:t>润滑油</w:t>
                  </w:r>
                </w:p>
              </w:tc>
              <w:tc>
                <w:tcPr>
                  <w:tcW w:w="5488" w:type="dxa"/>
                </w:tcPr>
                <w:p>
                  <w:pPr>
                    <w:pStyle w:val="2"/>
                    <w:numPr>
                      <w:ilvl w:val="0"/>
                      <w:numId w:val="0"/>
                    </w:numPr>
                    <w:jc w:val="center"/>
                    <w:rPr>
                      <w:rFonts w:hint="eastAsia"/>
                      <w:lang w:val="en-US" w:eastAsia="zh-CN"/>
                    </w:rPr>
                  </w:pPr>
                  <w:r>
                    <w:rPr>
                      <w:rFonts w:hint="eastAsia" w:ascii="Times New Roman" w:hAnsi="Times New Roman" w:eastAsia="宋体" w:cs="Times New Roman"/>
                      <w:spacing w:val="0"/>
                      <w:kern w:val="2"/>
                      <w:sz w:val="21"/>
                      <w:szCs w:val="24"/>
                      <w:lang w:val="en-US" w:eastAsia="zh-CN" w:bidi="ar-SA"/>
                    </w:rPr>
                    <w:t>发动机润滑油，外观为淡黄色液体，加入抗磨、抗氧、防锈、金属钝化、抗泡沫、抗乳化等多种添加剂，具有良好的抗氧化、防锈性、润滑性、抗磨性和较好的空气释放性等。</w:t>
                  </w:r>
                </w:p>
              </w:tc>
            </w:tr>
          </w:tbl>
          <w:p>
            <w:pPr>
              <w:spacing w:line="360" w:lineRule="auto"/>
              <w:ind w:firstLine="480" w:firstLineChars="200"/>
              <w:rPr>
                <w:rFonts w:hint="eastAsia" w:ascii="Times New Roman" w:hAnsi="Times New Roman" w:eastAsia="宋体" w:cs="Times New Roman"/>
                <w:kern w:val="0"/>
                <w:sz w:val="24"/>
                <w:szCs w:val="20"/>
                <w:lang w:val="en-US" w:eastAsia="zh-CN" w:bidi="ar-SA"/>
              </w:rPr>
            </w:pPr>
          </w:p>
          <w:p>
            <w:pPr>
              <w:adjustRightInd w:val="0"/>
              <w:spacing w:line="440" w:lineRule="exact"/>
              <w:ind w:firstLine="480" w:firstLineChars="200"/>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7</w:t>
            </w:r>
            <w:r>
              <w:rPr>
                <w:rFonts w:hint="eastAsia" w:ascii="Times New Roman" w:hAnsi="Times New Roman" w:eastAsia="宋体" w:cs="Times New Roman"/>
                <w:kern w:val="0"/>
                <w:sz w:val="24"/>
                <w:szCs w:val="20"/>
                <w:lang w:val="en-US" w:eastAsia="zh-CN" w:bidi="ar-SA"/>
              </w:rPr>
              <w:t xml:space="preserve">、项目平面布局合理性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（1）</w:t>
            </w:r>
            <w:r>
              <w:rPr>
                <w:rFonts w:hint="eastAsia" w:ascii="Times New Roman" w:hAnsi="Times New Roman" w:eastAsia="宋体" w:cs="Times New Roman"/>
                <w:kern w:val="0"/>
                <w:sz w:val="24"/>
                <w:szCs w:val="20"/>
                <w:lang w:val="en-US" w:eastAsia="zh-CN" w:bidi="ar-SA"/>
              </w:rPr>
              <w:t xml:space="preserve">生产布局角度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 xml:space="preserve">本项目位于芜湖市三山区经济开发区春洲路2号。总平面布置上，项目分为生产区、成品砂储存区、原砂储存区、休息室。本项目生产区内各设施按照工艺流程进行合理布设，物料输送短捷，可以满足物料流程的需要，确保厂房污染程度最低。本项目布局紧凑，可以满足节约占地的要求。各功能区分区明确，满足非生产及无关人员进入生产区的要求。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（2）</w:t>
            </w:r>
            <w:r>
              <w:rPr>
                <w:rFonts w:hint="eastAsia" w:ascii="Times New Roman" w:hAnsi="Times New Roman" w:eastAsia="宋体" w:cs="Times New Roman"/>
                <w:kern w:val="0"/>
                <w:sz w:val="24"/>
                <w:szCs w:val="20"/>
                <w:lang w:val="en-US" w:eastAsia="zh-CN" w:bidi="ar-SA"/>
              </w:rPr>
              <w:t xml:space="preserve">环境保护角度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本项目对</w:t>
            </w:r>
            <w:r>
              <w:rPr>
                <w:rFonts w:hint="default" w:ascii="Times New Roman" w:hAnsi="Times New Roman" w:eastAsia="宋体" w:cs="Times New Roman"/>
                <w:kern w:val="0"/>
                <w:sz w:val="24"/>
                <w:szCs w:val="20"/>
                <w:lang w:val="en-US" w:eastAsia="zh-CN" w:bidi="ar-SA"/>
              </w:rPr>
              <w:t>卸料及上料</w:t>
            </w:r>
            <w:r>
              <w:rPr>
                <w:rFonts w:hint="eastAsia" w:ascii="Times New Roman" w:hAnsi="Times New Roman" w:eastAsia="宋体" w:cs="Times New Roman"/>
                <w:kern w:val="0"/>
                <w:sz w:val="24"/>
                <w:szCs w:val="20"/>
                <w:lang w:val="en-US" w:eastAsia="zh-CN" w:bidi="ar-SA"/>
              </w:rPr>
              <w:t>、破碎筛分</w:t>
            </w:r>
            <w:r>
              <w:rPr>
                <w:rFonts w:hint="default" w:ascii="Times New Roman" w:hAnsi="Times New Roman" w:eastAsia="宋体" w:cs="Times New Roman"/>
                <w:kern w:val="0"/>
                <w:sz w:val="24"/>
                <w:szCs w:val="20"/>
                <w:lang w:val="en-US" w:eastAsia="zh-CN" w:bidi="ar-SA"/>
              </w:rPr>
              <w:t>区均</w:t>
            </w:r>
            <w:r>
              <w:rPr>
                <w:rFonts w:hint="eastAsia" w:ascii="Times New Roman" w:hAnsi="Times New Roman" w:eastAsia="宋体" w:cs="Times New Roman"/>
                <w:kern w:val="0"/>
                <w:sz w:val="24"/>
                <w:szCs w:val="20"/>
                <w:lang w:val="en-US" w:eastAsia="zh-CN" w:bidi="ar-SA"/>
              </w:rPr>
              <w:t>进行合理</w:t>
            </w:r>
            <w:r>
              <w:rPr>
                <w:rFonts w:hint="default" w:ascii="Times New Roman" w:hAnsi="Times New Roman" w:eastAsia="宋体" w:cs="Times New Roman"/>
                <w:kern w:val="0"/>
                <w:sz w:val="24"/>
                <w:szCs w:val="20"/>
                <w:lang w:val="en-US" w:eastAsia="zh-CN" w:bidi="ar-SA"/>
              </w:rPr>
              <w:t>配置喷淋系统</w:t>
            </w:r>
            <w:r>
              <w:rPr>
                <w:rFonts w:hint="eastAsia" w:ascii="Times New Roman" w:hAnsi="Times New Roman" w:eastAsia="宋体" w:cs="Times New Roman"/>
                <w:kern w:val="0"/>
                <w:sz w:val="24"/>
                <w:szCs w:val="20"/>
                <w:lang w:val="en-US" w:eastAsia="zh-CN" w:bidi="ar-SA"/>
              </w:rPr>
              <w:t>，将生活办公区及生产区进行分开，避免影响。本项目噪声源均采取一定的减震、隔声措施。一般固废暂存依托</w:t>
            </w:r>
            <w:r>
              <w:rPr>
                <w:rFonts w:hint="default" w:ascii="Times New Roman" w:hAnsi="Times New Roman" w:eastAsia="宋体" w:cs="Times New Roman"/>
                <w:kern w:val="0"/>
                <w:sz w:val="24"/>
                <w:szCs w:val="20"/>
                <w:lang w:val="en-US" w:eastAsia="zh-CN" w:bidi="ar-SA"/>
              </w:rPr>
              <w:t>芜湖新兴铸管有限责任公司</w:t>
            </w:r>
            <w:r>
              <w:rPr>
                <w:rFonts w:hint="eastAsia" w:ascii="Times New Roman" w:hAnsi="Times New Roman" w:eastAsia="宋体" w:cs="Times New Roman"/>
                <w:kern w:val="0"/>
                <w:sz w:val="24"/>
                <w:szCs w:val="20"/>
                <w:lang w:val="en-US" w:eastAsia="zh-CN" w:bidi="ar-SA"/>
              </w:rPr>
              <w:t>已建设的</w:t>
            </w:r>
            <w:r>
              <w:rPr>
                <w:rFonts w:hint="default" w:ascii="Times New Roman" w:hAnsi="Times New Roman" w:eastAsia="宋体" w:cs="Times New Roman"/>
                <w:kern w:val="0"/>
                <w:sz w:val="24"/>
                <w:szCs w:val="20"/>
                <w:lang w:val="en-US" w:eastAsia="zh-CN" w:bidi="ar-SA"/>
              </w:rPr>
              <w:t>1座7200m</w:t>
            </w:r>
            <w:r>
              <w:rPr>
                <w:rFonts w:hint="default" w:ascii="Times New Roman" w:hAnsi="Times New Roman" w:eastAsia="宋体" w:cs="Times New Roman"/>
                <w:kern w:val="0"/>
                <w:sz w:val="24"/>
                <w:szCs w:val="20"/>
                <w:vertAlign w:val="superscript"/>
                <w:lang w:val="en-US" w:eastAsia="zh-CN" w:bidi="ar-SA"/>
              </w:rPr>
              <w:t>2</w:t>
            </w:r>
            <w:r>
              <w:rPr>
                <w:rFonts w:hint="default" w:ascii="Times New Roman" w:hAnsi="Times New Roman" w:eastAsia="宋体" w:cs="Times New Roman"/>
                <w:kern w:val="0"/>
                <w:sz w:val="24"/>
                <w:szCs w:val="20"/>
                <w:lang w:val="en-US" w:eastAsia="zh-CN" w:bidi="ar-SA"/>
              </w:rPr>
              <w:t>一般</w:t>
            </w:r>
            <w:r>
              <w:rPr>
                <w:rFonts w:hint="eastAsia" w:ascii="Times New Roman" w:hAnsi="Times New Roman" w:eastAsia="宋体" w:cs="Times New Roman"/>
                <w:kern w:val="0"/>
                <w:sz w:val="24"/>
                <w:szCs w:val="20"/>
                <w:lang w:val="en-US" w:eastAsia="zh-CN" w:bidi="ar-SA"/>
              </w:rPr>
              <w:t>固废暂存库，有防扬散、防流失、防渗漏等措施，远离敏感点，对周围环境影响较小。新建10</w:t>
            </w:r>
            <w:r>
              <w:rPr>
                <w:rFonts w:hint="default" w:ascii="Times New Roman" w:hAnsi="Times New Roman" w:eastAsia="宋体" w:cs="Times New Roman"/>
                <w:kern w:val="0"/>
                <w:sz w:val="24"/>
                <w:szCs w:val="20"/>
                <w:lang w:val="en-US" w:eastAsia="zh-CN" w:bidi="ar-SA"/>
              </w:rPr>
              <w:t>m</w:t>
            </w:r>
            <w:r>
              <w:rPr>
                <w:rFonts w:hint="default" w:ascii="Times New Roman" w:hAnsi="Times New Roman" w:eastAsia="宋体" w:cs="Times New Roman"/>
                <w:kern w:val="0"/>
                <w:sz w:val="24"/>
                <w:szCs w:val="20"/>
                <w:vertAlign w:val="superscript"/>
                <w:lang w:val="en-US" w:eastAsia="zh-CN" w:bidi="ar-SA"/>
              </w:rPr>
              <w:t>2</w:t>
            </w:r>
            <w:r>
              <w:rPr>
                <w:rFonts w:hint="eastAsia" w:ascii="Times New Roman" w:hAnsi="Times New Roman" w:eastAsia="宋体" w:cs="Times New Roman"/>
                <w:kern w:val="0"/>
                <w:sz w:val="24"/>
                <w:szCs w:val="20"/>
                <w:lang w:val="en-US" w:eastAsia="zh-CN" w:bidi="ar-SA"/>
              </w:rPr>
              <w:t xml:space="preserve">危废暂存间，将危险废物分类收集，并做好相应的纪录，同时对暂存场应建设基础防渗设施、防风、防雨、防晒并配备照明设施等，并与厂区内其它生产单元、办公生活区严格区分、单独隔离。从环境保护角度进行了合理布局。 </w:t>
            </w:r>
          </w:p>
          <w:p>
            <w:pPr>
              <w:pStyle w:val="14"/>
              <w:spacing w:before="0" w:beforeAutospacing="0" w:after="0" w:line="360" w:lineRule="auto"/>
              <w:ind w:left="0" w:leftChars="0" w:firstLine="480" w:firstLineChars="200"/>
              <w:rPr>
                <w:rFonts w:hint="eastAsia" w:ascii="Times New Roman" w:hAnsi="Times New Roman" w:eastAsia="宋体" w:cs="Times New Roman"/>
                <w:kern w:val="0"/>
                <w:sz w:val="24"/>
                <w:szCs w:val="20"/>
                <w:lang w:val="en-US" w:eastAsia="zh-CN" w:bidi="ar-SA"/>
              </w:rPr>
            </w:pPr>
            <w:r>
              <w:rPr>
                <w:rFonts w:hint="eastAsia" w:ascii="Times New Roman" w:hAnsi="Times New Roman" w:eastAsia="宋体" w:cs="Times New Roman"/>
                <w:kern w:val="0"/>
                <w:sz w:val="24"/>
                <w:szCs w:val="20"/>
                <w:lang w:val="en-US" w:eastAsia="zh-CN" w:bidi="ar-SA"/>
              </w:rPr>
              <w:t>通过以上分析，本项目总体布局合理、紧凑，分区明确，平面布置合理，便于生产管理。本项目工艺流程合理、功能分区明确、人流分流，其安全疏散宽度和疏散出口应满足防火规范要求。</w:t>
            </w:r>
          </w:p>
          <w:p>
            <w:pPr>
              <w:keepNext w:val="0"/>
              <w:keepLines w:val="0"/>
              <w:widowControl/>
              <w:suppressLineNumbers w:val="0"/>
              <w:ind w:firstLine="480" w:firstLineChars="200"/>
              <w:jc w:val="left"/>
              <w:rPr>
                <w:rFonts w:hint="eastAsia" w:ascii="Times New Roman" w:hAnsi="Times New Roman" w:eastAsia="宋体" w:cs="Times New Roman"/>
                <w:kern w:val="0"/>
                <w:sz w:val="24"/>
                <w:szCs w:val="20"/>
                <w:lang w:val="en-US" w:eastAsia="zh-CN" w:bidi="ar-SA"/>
              </w:rPr>
            </w:pPr>
            <w:r>
              <w:rPr>
                <w:rFonts w:hint="eastAsia" w:cs="Times New Roman"/>
                <w:kern w:val="0"/>
                <w:sz w:val="24"/>
                <w:szCs w:val="20"/>
                <w:lang w:val="en-US" w:eastAsia="zh-CN" w:bidi="ar-SA"/>
              </w:rPr>
              <w:t>8</w:t>
            </w:r>
            <w:r>
              <w:rPr>
                <w:rFonts w:hint="eastAsia" w:ascii="Times New Roman" w:hAnsi="Times New Roman" w:eastAsia="宋体" w:cs="Times New Roman"/>
                <w:kern w:val="0"/>
                <w:sz w:val="24"/>
                <w:szCs w:val="20"/>
                <w:lang w:val="en-US" w:eastAsia="zh-CN" w:bidi="ar-SA"/>
              </w:rPr>
              <w:t xml:space="preserve">、生产制度和劳动定员 </w:t>
            </w:r>
          </w:p>
          <w:p>
            <w:pPr>
              <w:pStyle w:val="14"/>
              <w:spacing w:before="0" w:beforeAutospacing="0" w:after="0" w:line="360" w:lineRule="auto"/>
              <w:ind w:left="0" w:leftChars="0" w:firstLine="480" w:firstLineChars="200"/>
              <w:rPr>
                <w:rFonts w:hint="eastAsia" w:ascii="Times New Roman" w:hAnsi="Times New Roman" w:eastAsia="宋体" w:cs="Times New Roman"/>
                <w:bCs/>
                <w:color w:val="000000"/>
                <w:kern w:val="2"/>
                <w:sz w:val="24"/>
                <w:szCs w:val="24"/>
                <w:lang w:val="en-US" w:eastAsia="zh-CN" w:bidi="ar-SA"/>
              </w:rPr>
            </w:pPr>
            <w:r>
              <w:rPr>
                <w:rFonts w:hint="eastAsia" w:ascii="Times New Roman" w:hAnsi="Times New Roman" w:eastAsia="宋体" w:cs="Times New Roman"/>
                <w:kern w:val="0"/>
                <w:sz w:val="24"/>
                <w:szCs w:val="20"/>
                <w:lang w:val="en-US" w:eastAsia="zh-CN" w:bidi="ar-SA"/>
              </w:rPr>
              <w:t>本项目原有员工8人为新兴铸管调配员工，不新增劳动人员，</w:t>
            </w:r>
            <w:r>
              <w:rPr>
                <w:rFonts w:hint="default" w:ascii="Times New Roman" w:hAnsi="Times New Roman" w:eastAsia="宋体" w:cs="Times New Roman"/>
                <w:kern w:val="0"/>
                <w:sz w:val="24"/>
                <w:szCs w:val="20"/>
                <w:lang w:val="en-US" w:eastAsia="zh-CN" w:bidi="ar-SA"/>
              </w:rPr>
              <w:t>1</w:t>
            </w:r>
            <w:r>
              <w:rPr>
                <w:rFonts w:hint="eastAsia" w:ascii="Times New Roman" w:hAnsi="Times New Roman" w:eastAsia="宋体" w:cs="Times New Roman"/>
                <w:kern w:val="0"/>
                <w:sz w:val="24"/>
                <w:szCs w:val="20"/>
                <w:lang w:val="en-US" w:eastAsia="zh-CN" w:bidi="ar-SA"/>
              </w:rPr>
              <w:t>班</w:t>
            </w:r>
            <w:r>
              <w:rPr>
                <w:rFonts w:hint="default" w:ascii="Times New Roman" w:hAnsi="Times New Roman" w:eastAsia="宋体" w:cs="Times New Roman"/>
                <w:kern w:val="0"/>
                <w:sz w:val="24"/>
                <w:szCs w:val="20"/>
                <w:lang w:val="en-US" w:eastAsia="zh-CN" w:bidi="ar-SA"/>
              </w:rPr>
              <w:t>/</w:t>
            </w:r>
            <w:r>
              <w:rPr>
                <w:rFonts w:hint="eastAsia" w:ascii="Times New Roman" w:hAnsi="Times New Roman" w:eastAsia="宋体" w:cs="Times New Roman"/>
                <w:kern w:val="0"/>
                <w:sz w:val="24"/>
                <w:szCs w:val="20"/>
                <w:lang w:val="en-US" w:eastAsia="zh-CN" w:bidi="ar-SA"/>
              </w:rPr>
              <w:t>天，</w:t>
            </w:r>
            <w:r>
              <w:rPr>
                <w:rFonts w:hAnsi="宋体"/>
                <w:color w:val="0D0D0D"/>
                <w:kern w:val="24"/>
                <w:sz w:val="24"/>
              </w:rPr>
              <w:t>实行</w:t>
            </w:r>
            <w:r>
              <w:rPr>
                <w:rFonts w:hint="eastAsia" w:hAnsi="宋体"/>
                <w:color w:val="0D0D0D"/>
                <w:kern w:val="24"/>
                <w:sz w:val="24"/>
              </w:rPr>
              <w:t>白班</w:t>
            </w:r>
            <w:r>
              <w:rPr>
                <w:rFonts w:hAnsi="宋体"/>
                <w:color w:val="0D0D0D"/>
                <w:kern w:val="24"/>
                <w:sz w:val="24"/>
              </w:rPr>
              <w:t>制</w:t>
            </w:r>
            <w:r>
              <w:rPr>
                <w:rFonts w:hint="eastAsia" w:hAnsi="宋体"/>
                <w:color w:val="0D0D0D"/>
                <w:kern w:val="24"/>
                <w:sz w:val="24"/>
              </w:rPr>
              <w:t>生产</w:t>
            </w:r>
            <w:r>
              <w:rPr>
                <w:rFonts w:hAnsi="宋体"/>
                <w:color w:val="0D0D0D"/>
                <w:kern w:val="24"/>
                <w:sz w:val="24"/>
              </w:rPr>
              <w:t>，无住宿</w:t>
            </w:r>
            <w:r>
              <w:rPr>
                <w:rFonts w:hint="eastAsia" w:hAnsi="宋体"/>
                <w:color w:val="0D0D0D"/>
                <w:kern w:val="24"/>
                <w:sz w:val="24"/>
                <w:lang w:eastAsia="zh-CN"/>
              </w:rPr>
              <w:t>，</w:t>
            </w:r>
            <w:r>
              <w:rPr>
                <w:rFonts w:hint="eastAsia" w:ascii="Times New Roman" w:hAnsi="Times New Roman" w:eastAsia="宋体" w:cs="Times New Roman"/>
                <w:kern w:val="0"/>
                <w:sz w:val="24"/>
                <w:szCs w:val="20"/>
                <w:lang w:val="en-US" w:eastAsia="zh-CN" w:bidi="ar-SA"/>
              </w:rPr>
              <w:t>每天工作12小时，年工作日</w:t>
            </w:r>
            <w:r>
              <w:rPr>
                <w:rFonts w:hint="default" w:ascii="Times New Roman" w:hAnsi="Times New Roman" w:eastAsia="宋体" w:cs="Times New Roman"/>
                <w:kern w:val="0"/>
                <w:sz w:val="24"/>
                <w:szCs w:val="20"/>
                <w:lang w:val="en-US" w:eastAsia="zh-CN" w:bidi="ar-SA"/>
              </w:rPr>
              <w:t>300</w:t>
            </w:r>
            <w:r>
              <w:rPr>
                <w:rFonts w:hint="eastAsia" w:ascii="Times New Roman" w:hAnsi="Times New Roman" w:eastAsia="宋体" w:cs="Times New Roman"/>
                <w:kern w:val="0"/>
                <w:sz w:val="24"/>
                <w:szCs w:val="20"/>
                <w:lang w:val="en-US" w:eastAsia="zh-CN" w:bidi="ar-SA"/>
              </w:rPr>
              <w:t>天。</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889" w:type="dxa"/>
            <w:vAlign w:val="center"/>
          </w:tcPr>
          <w:p>
            <w:pPr>
              <w:pStyle w:val="24"/>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szCs w:val="24"/>
              </w:rPr>
              <w:t>工艺流程和产排污环节</w:t>
            </w:r>
          </w:p>
        </w:tc>
        <w:tc>
          <w:tcPr>
            <w:tcW w:w="7935" w:type="dxa"/>
          </w:tcPr>
          <w:p>
            <w:pPr>
              <w:numPr>
                <w:ilvl w:val="0"/>
                <w:numId w:val="2"/>
              </w:numPr>
              <w:autoSpaceDE w:val="0"/>
              <w:spacing w:line="360" w:lineRule="auto"/>
              <w:ind w:firstLine="482" w:firstLineChars="200"/>
              <w:jc w:val="left"/>
              <w:rPr>
                <w:b/>
                <w:bCs/>
                <w:color w:val="auto"/>
                <w:sz w:val="24"/>
              </w:rPr>
            </w:pPr>
            <w:r>
              <w:rPr>
                <w:b/>
                <w:bCs/>
                <w:color w:val="auto"/>
                <w:sz w:val="24"/>
              </w:rPr>
              <w:t xml:space="preserve">生产工艺流程 </w:t>
            </w:r>
          </w:p>
          <w:p>
            <w:pPr>
              <w:numPr>
                <w:ilvl w:val="0"/>
                <w:numId w:val="0"/>
              </w:numPr>
              <w:autoSpaceDE w:val="0"/>
              <w:spacing w:line="360" w:lineRule="auto"/>
              <w:jc w:val="center"/>
              <w:rPr>
                <w:b/>
                <w:bCs/>
                <w:color w:val="auto"/>
                <w:sz w:val="24"/>
              </w:rPr>
            </w:pPr>
            <w:r>
              <w:drawing>
                <wp:inline distT="0" distB="0" distL="114300" distR="114300">
                  <wp:extent cx="2763520" cy="3938905"/>
                  <wp:effectExtent l="0" t="0" r="17780" b="444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a:stretch>
                            <a:fillRect/>
                          </a:stretch>
                        </pic:blipFill>
                        <pic:spPr>
                          <a:xfrm>
                            <a:off x="0" y="0"/>
                            <a:ext cx="2763520" cy="3938905"/>
                          </a:xfrm>
                          <a:prstGeom prst="rect">
                            <a:avLst/>
                          </a:prstGeom>
                          <a:noFill/>
                          <a:ln>
                            <a:noFill/>
                          </a:ln>
                        </pic:spPr>
                      </pic:pic>
                    </a:graphicData>
                  </a:graphic>
                </wp:inline>
              </w:drawing>
            </w:r>
          </w:p>
          <w:p>
            <w:pPr>
              <w:spacing w:line="360" w:lineRule="auto"/>
              <w:ind w:firstLine="482" w:firstLineChars="200"/>
              <w:jc w:val="center"/>
              <w:rPr>
                <w:b/>
                <w:color w:val="auto"/>
                <w:sz w:val="24"/>
              </w:rPr>
            </w:pPr>
            <w:r>
              <w:rPr>
                <w:rFonts w:hint="eastAsia"/>
                <w:b/>
                <w:color w:val="auto"/>
                <w:sz w:val="24"/>
              </w:rPr>
              <w:t>图</w:t>
            </w:r>
            <w:r>
              <w:rPr>
                <w:b/>
                <w:color w:val="auto"/>
                <w:sz w:val="24"/>
              </w:rPr>
              <w:t>2</w:t>
            </w:r>
            <w:r>
              <w:rPr>
                <w:rFonts w:hint="eastAsia"/>
                <w:b/>
                <w:color w:val="auto"/>
                <w:sz w:val="24"/>
              </w:rPr>
              <w:t>-</w:t>
            </w:r>
            <w:r>
              <w:rPr>
                <w:rFonts w:hint="eastAsia"/>
                <w:b/>
                <w:color w:val="auto"/>
                <w:sz w:val="24"/>
                <w:lang w:val="en-US" w:eastAsia="zh-CN"/>
              </w:rPr>
              <w:t>1</w:t>
            </w:r>
            <w:r>
              <w:rPr>
                <w:rFonts w:hint="eastAsia"/>
                <w:b/>
                <w:color w:val="auto"/>
                <w:sz w:val="24"/>
              </w:rPr>
              <w:t xml:space="preserve"> 生产工艺流程图</w:t>
            </w:r>
          </w:p>
          <w:p>
            <w:pPr>
              <w:spacing w:line="360" w:lineRule="auto"/>
              <w:ind w:firstLine="480" w:firstLineChars="200"/>
              <w:rPr>
                <w:rFonts w:ascii="Times New Roman" w:hAnsi="Times New Roman"/>
                <w:sz w:val="24"/>
                <w:szCs w:val="24"/>
              </w:rPr>
            </w:pPr>
            <w:r>
              <w:rPr>
                <w:rFonts w:ascii="Times New Roman" w:hAnsi="Times New Roman"/>
                <w:sz w:val="24"/>
                <w:szCs w:val="24"/>
              </w:rPr>
              <w:t>工艺说明：</w:t>
            </w:r>
          </w:p>
          <w:p>
            <w:pPr>
              <w:spacing w:line="360" w:lineRule="auto"/>
              <w:ind w:firstLine="482" w:firstLineChars="200"/>
              <w:rPr>
                <w:rFonts w:ascii="Times New Roman" w:hAnsi="Times New Roman"/>
                <w:sz w:val="24"/>
                <w:szCs w:val="24"/>
              </w:rPr>
            </w:pPr>
            <w:r>
              <w:rPr>
                <w:rFonts w:hint="eastAsia" w:ascii="Times New Roman" w:hAnsi="Times New Roman"/>
                <w:b/>
                <w:bCs/>
                <w:sz w:val="24"/>
                <w:szCs w:val="24"/>
              </w:rPr>
              <w:t>本项目破碎</w:t>
            </w:r>
            <w:r>
              <w:rPr>
                <w:rFonts w:hint="eastAsia"/>
                <w:b/>
                <w:bCs/>
                <w:sz w:val="24"/>
                <w:szCs w:val="24"/>
                <w:lang w:val="en-US" w:eastAsia="zh-CN"/>
              </w:rPr>
              <w:t>以及</w:t>
            </w:r>
            <w:r>
              <w:rPr>
                <w:rFonts w:hint="eastAsia" w:ascii="Times New Roman" w:hAnsi="Times New Roman"/>
                <w:b/>
                <w:bCs/>
                <w:sz w:val="24"/>
                <w:szCs w:val="24"/>
              </w:rPr>
              <w:t>筛分工序采用湿法工艺，目的为有效减少干法</w:t>
            </w:r>
            <w:r>
              <w:rPr>
                <w:rFonts w:hint="eastAsia"/>
                <w:b/>
                <w:bCs/>
                <w:sz w:val="24"/>
                <w:szCs w:val="24"/>
                <w:lang w:val="en-US" w:eastAsia="zh-CN"/>
              </w:rPr>
              <w:t>破碎</w:t>
            </w:r>
            <w:r>
              <w:rPr>
                <w:rFonts w:hint="eastAsia" w:ascii="Times New Roman" w:hAnsi="Times New Roman"/>
                <w:b/>
                <w:bCs/>
                <w:sz w:val="24"/>
                <w:szCs w:val="24"/>
              </w:rPr>
              <w:t>及筛分时逸散的粉尘，湿法破碎</w:t>
            </w:r>
            <w:r>
              <w:rPr>
                <w:rFonts w:hint="eastAsia"/>
                <w:b/>
                <w:bCs/>
                <w:sz w:val="24"/>
                <w:szCs w:val="24"/>
                <w:lang w:val="en-US" w:eastAsia="zh-CN"/>
              </w:rPr>
              <w:t>筛分</w:t>
            </w:r>
            <w:r>
              <w:rPr>
                <w:rFonts w:hint="eastAsia" w:ascii="Times New Roman" w:hAnsi="Times New Roman"/>
                <w:b/>
                <w:bCs/>
                <w:sz w:val="24"/>
                <w:szCs w:val="24"/>
              </w:rPr>
              <w:t>的方法在</w:t>
            </w:r>
            <w:r>
              <w:rPr>
                <w:rFonts w:hint="eastAsia"/>
                <w:b/>
                <w:bCs/>
                <w:sz w:val="24"/>
                <w:szCs w:val="24"/>
                <w:lang w:val="en-US" w:eastAsia="zh-CN"/>
              </w:rPr>
              <w:t>破碎和筛分料口安装喷淋装置</w:t>
            </w:r>
            <w:r>
              <w:rPr>
                <w:rFonts w:hint="eastAsia" w:ascii="Times New Roman" w:hAnsi="Times New Roman"/>
                <w:b/>
                <w:bCs/>
                <w:sz w:val="24"/>
                <w:szCs w:val="24"/>
              </w:rPr>
              <w:t>将物料打湿，使其产品含水率为</w:t>
            </w:r>
            <w:r>
              <w:rPr>
                <w:rFonts w:hint="eastAsia"/>
                <w:b/>
                <w:bCs/>
                <w:sz w:val="24"/>
                <w:szCs w:val="24"/>
                <w:lang w:val="en-US" w:eastAsia="zh-CN"/>
              </w:rPr>
              <w:t>2</w:t>
            </w:r>
            <w:r>
              <w:rPr>
                <w:rFonts w:hint="eastAsia" w:ascii="Times New Roman" w:hAnsi="Times New Roman"/>
                <w:b/>
                <w:bCs/>
                <w:sz w:val="24"/>
                <w:szCs w:val="24"/>
              </w:rPr>
              <w:t>0%，采用上述湿法工艺破碎筛分</w:t>
            </w:r>
            <w:r>
              <w:rPr>
                <w:rFonts w:hint="eastAsia"/>
                <w:b/>
                <w:bCs/>
                <w:sz w:val="24"/>
                <w:szCs w:val="24"/>
                <w:lang w:val="en-US" w:eastAsia="zh-CN"/>
              </w:rPr>
              <w:t>碎</w:t>
            </w:r>
            <w:r>
              <w:rPr>
                <w:rFonts w:hint="eastAsia" w:ascii="Times New Roman" w:hAnsi="Times New Roman"/>
                <w:b/>
                <w:bCs/>
                <w:sz w:val="24"/>
                <w:szCs w:val="24"/>
              </w:rPr>
              <w:t>石可以有效的抑制粉尘的产生。</w:t>
            </w:r>
          </w:p>
          <w:p>
            <w:pPr>
              <w:spacing w:line="360" w:lineRule="auto"/>
              <w:ind w:firstLine="480" w:firstLineChars="200"/>
              <w:rPr>
                <w:rFonts w:ascii="Times New Roman" w:hAnsi="Times New Roman"/>
                <w:sz w:val="24"/>
                <w:szCs w:val="24"/>
              </w:rPr>
            </w:pPr>
            <w:r>
              <w:rPr>
                <w:rFonts w:ascii="Times New Roman" w:hAnsi="Times New Roman"/>
                <w:sz w:val="24"/>
                <w:szCs w:val="24"/>
              </w:rPr>
              <w:t>①外购</w:t>
            </w:r>
            <w:r>
              <w:rPr>
                <w:rFonts w:hint="eastAsia"/>
                <w:sz w:val="24"/>
                <w:szCs w:val="24"/>
                <w:lang w:val="en-US" w:eastAsia="zh-CN"/>
              </w:rPr>
              <w:t>青石、鹅卵石</w:t>
            </w:r>
            <w:r>
              <w:rPr>
                <w:rFonts w:ascii="Times New Roman" w:hAnsi="Times New Roman"/>
                <w:sz w:val="24"/>
                <w:szCs w:val="24"/>
              </w:rPr>
              <w:t>原料，通过汽车将砂石原料运输到厂房里，此过程在卸货时候会产生少量的粉尘颗粒，以无组织形式排放。</w:t>
            </w:r>
            <w:r>
              <w:rPr>
                <w:rFonts w:hint="eastAsia"/>
                <w:sz w:val="24"/>
                <w:szCs w:val="24"/>
                <w:lang w:val="en-US" w:eastAsia="zh-CN"/>
              </w:rPr>
              <w:t>原材料仓库</w:t>
            </w:r>
            <w:r>
              <w:rPr>
                <w:rFonts w:hint="eastAsia" w:ascii="Times New Roman" w:hAnsi="Times New Roman"/>
                <w:sz w:val="24"/>
                <w:szCs w:val="24"/>
              </w:rPr>
              <w:t>设置在全封闭车间内，原料上方</w:t>
            </w:r>
            <w:r>
              <w:rPr>
                <w:rFonts w:ascii="Times New Roman" w:hAnsi="Times New Roman"/>
                <w:sz w:val="24"/>
                <w:szCs w:val="24"/>
              </w:rPr>
              <w:t>设置盖布，</w:t>
            </w:r>
            <w:r>
              <w:rPr>
                <w:rFonts w:hint="eastAsia" w:ascii="Times New Roman" w:hAnsi="Times New Roman"/>
                <w:sz w:val="24"/>
                <w:szCs w:val="24"/>
              </w:rPr>
              <w:t>并</w:t>
            </w:r>
            <w:r>
              <w:rPr>
                <w:rFonts w:ascii="Times New Roman" w:hAnsi="Times New Roman"/>
                <w:sz w:val="24"/>
                <w:szCs w:val="24"/>
              </w:rPr>
              <w:t>进行洒水处理。</w:t>
            </w:r>
          </w:p>
          <w:p>
            <w:pPr>
              <w:spacing w:line="360" w:lineRule="auto"/>
              <w:ind w:firstLine="480" w:firstLineChars="200"/>
              <w:rPr>
                <w:rFonts w:hint="default" w:ascii="Times New Roman" w:hAnsi="Times New Roman"/>
                <w:sz w:val="24"/>
                <w:szCs w:val="24"/>
                <w:lang w:val="en-US"/>
              </w:rPr>
            </w:pPr>
            <w:r>
              <w:rPr>
                <w:rFonts w:ascii="Times New Roman" w:hAnsi="Times New Roman"/>
                <w:sz w:val="24"/>
                <w:szCs w:val="24"/>
              </w:rPr>
              <w:t>②破碎：砂石进场后，</w:t>
            </w:r>
            <w:r>
              <w:rPr>
                <w:rFonts w:hint="eastAsia" w:ascii="Times New Roman" w:hAnsi="Times New Roman"/>
                <w:sz w:val="24"/>
                <w:szCs w:val="24"/>
              </w:rPr>
              <w:t>原料通过给料机进入破碎机内，首先使用</w:t>
            </w:r>
            <w:r>
              <w:rPr>
                <w:rFonts w:hint="eastAsia"/>
                <w:sz w:val="24"/>
                <w:szCs w:val="24"/>
                <w:lang w:val="en-US" w:eastAsia="zh-CN"/>
              </w:rPr>
              <w:t>头破</w:t>
            </w:r>
            <w:r>
              <w:rPr>
                <w:rFonts w:hint="eastAsia" w:ascii="Times New Roman" w:hAnsi="Times New Roman"/>
                <w:sz w:val="24"/>
                <w:szCs w:val="24"/>
              </w:rPr>
              <w:t>机对原料进行</w:t>
            </w:r>
            <w:r>
              <w:rPr>
                <w:rFonts w:hint="eastAsia"/>
                <w:sz w:val="24"/>
                <w:szCs w:val="24"/>
                <w:lang w:val="en-US" w:eastAsia="zh-CN"/>
              </w:rPr>
              <w:t>粗</w:t>
            </w:r>
            <w:r>
              <w:rPr>
                <w:rFonts w:hint="eastAsia" w:ascii="Times New Roman" w:hAnsi="Times New Roman"/>
                <w:sz w:val="24"/>
                <w:szCs w:val="24"/>
              </w:rPr>
              <w:t>破，</w:t>
            </w:r>
            <w:r>
              <w:rPr>
                <w:rFonts w:hint="eastAsia"/>
                <w:sz w:val="24"/>
                <w:szCs w:val="24"/>
                <w:lang w:val="en-US" w:eastAsia="zh-CN"/>
              </w:rPr>
              <w:t>破碎后</w:t>
            </w:r>
            <w:r>
              <w:rPr>
                <w:rFonts w:hint="eastAsia" w:ascii="Times New Roman" w:hAnsi="Times New Roman"/>
                <w:sz w:val="24"/>
                <w:szCs w:val="24"/>
              </w:rPr>
              <w:t>经皮带机送至圆锥破进行破</w:t>
            </w:r>
            <w:r>
              <w:rPr>
                <w:rFonts w:hint="eastAsia"/>
                <w:sz w:val="24"/>
                <w:szCs w:val="24"/>
                <w:lang w:val="en-US" w:eastAsia="zh-CN"/>
              </w:rPr>
              <w:t>碎，接着送入制砂机细碎。破碎过程会产生粉尘，在头破机、圆锥机、制砂机料口设置喷淋装置，将物料打</w:t>
            </w:r>
            <w:r>
              <w:rPr>
                <w:rFonts w:hint="eastAsia" w:ascii="Times New Roman" w:hAnsi="Times New Roman" w:eastAsia="宋体" w:cs="Times New Roman"/>
                <w:sz w:val="24"/>
                <w:szCs w:val="24"/>
                <w:lang w:val="en-US" w:eastAsia="zh-CN"/>
              </w:rPr>
              <w:t>湿进行湿式破碎可有效的抑制粉尘的排放。</w:t>
            </w:r>
          </w:p>
          <w:p>
            <w:pPr>
              <w:spacing w:line="360" w:lineRule="auto"/>
              <w:ind w:firstLine="480" w:firstLineChars="200"/>
              <w:rPr>
                <w:rFonts w:ascii="Times New Roman" w:hAnsi="Times New Roman"/>
                <w:sz w:val="24"/>
                <w:szCs w:val="24"/>
              </w:rPr>
            </w:pPr>
            <w:r>
              <w:rPr>
                <w:rFonts w:ascii="Times New Roman" w:hAnsi="Times New Roman"/>
                <w:sz w:val="24"/>
                <w:szCs w:val="24"/>
              </w:rPr>
              <w:t>③筛</w:t>
            </w:r>
            <w:r>
              <w:rPr>
                <w:rFonts w:hint="eastAsia"/>
                <w:sz w:val="24"/>
                <w:szCs w:val="24"/>
                <w:lang w:val="en-US" w:eastAsia="zh-CN"/>
              </w:rPr>
              <w:t>分</w:t>
            </w:r>
            <w:r>
              <w:rPr>
                <w:rFonts w:ascii="Times New Roman" w:hAnsi="Times New Roman"/>
                <w:sz w:val="24"/>
                <w:szCs w:val="24"/>
              </w:rPr>
              <w:t>：</w:t>
            </w:r>
            <w:r>
              <w:rPr>
                <w:rFonts w:hint="eastAsia" w:ascii="Times New Roman" w:hAnsi="Times New Roman"/>
                <w:sz w:val="24"/>
                <w:szCs w:val="24"/>
              </w:rPr>
              <w:t>破</w:t>
            </w:r>
            <w:r>
              <w:rPr>
                <w:rFonts w:hint="eastAsia"/>
                <w:sz w:val="24"/>
                <w:szCs w:val="24"/>
                <w:lang w:val="en-US" w:eastAsia="zh-CN"/>
              </w:rPr>
              <w:t>碎</w:t>
            </w:r>
            <w:r>
              <w:rPr>
                <w:rFonts w:hint="eastAsia" w:ascii="Times New Roman" w:hAnsi="Times New Roman"/>
                <w:sz w:val="24"/>
                <w:szCs w:val="24"/>
              </w:rPr>
              <w:t>后</w:t>
            </w:r>
            <w:r>
              <w:rPr>
                <w:rFonts w:hint="eastAsia"/>
                <w:sz w:val="24"/>
                <w:szCs w:val="24"/>
                <w:lang w:val="en-US" w:eastAsia="zh-CN"/>
              </w:rPr>
              <w:t>进入</w:t>
            </w:r>
            <w:r>
              <w:rPr>
                <w:rFonts w:hint="eastAsia" w:ascii="Times New Roman" w:hAnsi="Times New Roman"/>
                <w:sz w:val="24"/>
                <w:szCs w:val="24"/>
              </w:rPr>
              <w:t>振动筛筛分出的</w:t>
            </w:r>
            <w:r>
              <w:rPr>
                <w:rFonts w:hint="eastAsia"/>
                <w:sz w:val="24"/>
                <w:szCs w:val="24"/>
                <w:lang w:val="en-US" w:eastAsia="zh-CN"/>
              </w:rPr>
              <w:t>大于32mm</w:t>
            </w:r>
            <w:r>
              <w:rPr>
                <w:rFonts w:hint="eastAsia" w:ascii="Times New Roman" w:hAnsi="Times New Roman"/>
                <w:sz w:val="24"/>
                <w:szCs w:val="24"/>
              </w:rPr>
              <w:t>粒径石子返回</w:t>
            </w:r>
            <w:r>
              <w:rPr>
                <w:rFonts w:hint="eastAsia"/>
                <w:sz w:val="24"/>
                <w:szCs w:val="24"/>
                <w:lang w:val="en-US" w:eastAsia="zh-CN"/>
              </w:rPr>
              <w:t>圆锥机</w:t>
            </w:r>
            <w:r>
              <w:rPr>
                <w:rFonts w:hint="eastAsia" w:ascii="Times New Roman" w:hAnsi="Times New Roman"/>
                <w:sz w:val="24"/>
                <w:szCs w:val="24"/>
              </w:rPr>
              <w:t>重新破碎，</w:t>
            </w:r>
            <w:r>
              <w:rPr>
                <w:rFonts w:hint="eastAsia"/>
                <w:sz w:val="24"/>
                <w:szCs w:val="24"/>
                <w:lang w:val="en-US" w:eastAsia="zh-CN"/>
              </w:rPr>
              <w:t>大于4mm小于32mm返回制砂机破碎</w:t>
            </w:r>
            <w:r>
              <w:rPr>
                <w:rFonts w:ascii="Times New Roman" w:hAnsi="Times New Roman"/>
                <w:sz w:val="24"/>
                <w:szCs w:val="24"/>
              </w:rPr>
              <w:t>。</w:t>
            </w:r>
            <w:r>
              <w:rPr>
                <w:rFonts w:hint="eastAsia" w:ascii="Times New Roman" w:hAnsi="Times New Roman"/>
                <w:sz w:val="24"/>
                <w:szCs w:val="24"/>
              </w:rPr>
              <w:t>筛分出的</w:t>
            </w:r>
            <w:r>
              <w:rPr>
                <w:rFonts w:hint="eastAsia"/>
                <w:sz w:val="24"/>
                <w:szCs w:val="24"/>
                <w:lang w:val="en-US" w:eastAsia="zh-CN"/>
              </w:rPr>
              <w:t>成品进行</w:t>
            </w:r>
            <w:r>
              <w:rPr>
                <w:rFonts w:hint="eastAsia" w:ascii="Times New Roman" w:hAnsi="Times New Roman"/>
                <w:sz w:val="24"/>
                <w:szCs w:val="24"/>
              </w:rPr>
              <w:t>水洗</w:t>
            </w:r>
            <w:r>
              <w:rPr>
                <w:rFonts w:ascii="Times New Roman" w:hAnsi="Times New Roman"/>
                <w:sz w:val="24"/>
                <w:szCs w:val="24"/>
              </w:rPr>
              <w:t>。</w:t>
            </w:r>
            <w:r>
              <w:rPr>
                <w:rFonts w:hint="eastAsia"/>
                <w:sz w:val="24"/>
                <w:szCs w:val="24"/>
                <w:lang w:val="en-US" w:eastAsia="zh-CN"/>
              </w:rPr>
              <w:t>在振动筛上方设置喷淋装置，进行湿式筛分</w:t>
            </w:r>
            <w:r>
              <w:rPr>
                <w:rFonts w:hint="eastAsia" w:ascii="Times New Roman" w:hAnsi="Times New Roman" w:eastAsia="宋体" w:cs="Times New Roman"/>
                <w:sz w:val="24"/>
                <w:szCs w:val="24"/>
                <w:lang w:val="en-US" w:eastAsia="zh-CN"/>
              </w:rPr>
              <w:t>可有效的抑制筛分粉尘的排放。</w:t>
            </w:r>
          </w:p>
          <w:p>
            <w:pPr>
              <w:spacing w:line="360" w:lineRule="auto"/>
              <w:ind w:firstLine="480" w:firstLineChars="200"/>
              <w:rPr>
                <w:rFonts w:hint="default" w:ascii="Times New Roman" w:hAnsi="Times New Roman" w:eastAsia="宋体"/>
                <w:sz w:val="24"/>
                <w:szCs w:val="24"/>
                <w:lang w:val="en-US" w:eastAsia="zh-CN"/>
              </w:rPr>
            </w:pPr>
            <w:r>
              <w:rPr>
                <w:rFonts w:ascii="Times New Roman" w:hAnsi="Times New Roman"/>
                <w:sz w:val="24"/>
                <w:szCs w:val="24"/>
              </w:rPr>
              <w:t>④水洗</w:t>
            </w:r>
            <w:r>
              <w:rPr>
                <w:rFonts w:hint="eastAsia"/>
                <w:sz w:val="24"/>
                <w:szCs w:val="24"/>
                <w:lang w:val="en-US" w:eastAsia="zh-CN"/>
              </w:rPr>
              <w:t>脱水</w:t>
            </w:r>
            <w:r>
              <w:rPr>
                <w:rFonts w:hint="eastAsia"/>
                <w:sz w:val="24"/>
                <w:szCs w:val="24"/>
                <w:lang w:eastAsia="zh-CN"/>
              </w:rPr>
              <w:t>：利用洗砂机进行水洗，将附着在砂石上的泥砂进行清洗去除，通过脱水筛脱水得到粒径均匀、泥砂含量低的机制砂产品，然后通过高架输送带运送至</w:t>
            </w:r>
            <w:r>
              <w:rPr>
                <w:rFonts w:hint="eastAsia"/>
                <w:sz w:val="24"/>
                <w:szCs w:val="24"/>
                <w:lang w:val="en-US" w:eastAsia="zh-CN"/>
              </w:rPr>
              <w:t>成品区</w:t>
            </w:r>
            <w:r>
              <w:rPr>
                <w:rFonts w:ascii="Times New Roman" w:hAnsi="Times New Roman"/>
                <w:sz w:val="24"/>
                <w:szCs w:val="24"/>
              </w:rPr>
              <w:t>。</w:t>
            </w:r>
          </w:p>
          <w:p>
            <w:pPr>
              <w:pStyle w:val="2"/>
              <w:ind w:left="0" w:leftChars="0" w:firstLine="560" w:firstLineChars="200"/>
              <w:rPr>
                <w:rFonts w:ascii="Times New Roman" w:hAnsi="Times New Roman"/>
                <w:sz w:val="24"/>
                <w:szCs w:val="24"/>
              </w:rPr>
            </w:pPr>
            <w:r>
              <w:rPr>
                <w:rFonts w:hint="eastAsia" w:ascii="Times New Roman" w:hAnsi="Times New Roman"/>
                <w:sz w:val="24"/>
                <w:szCs w:val="24"/>
                <w:lang w:val="en-US" w:eastAsia="zh-CN"/>
              </w:rPr>
              <w:t>⑤</w:t>
            </w:r>
            <w:r>
              <w:rPr>
                <w:rFonts w:hint="eastAsia" w:ascii="Times New Roman" w:hAnsi="Times New Roman" w:eastAsia="宋体" w:cs="Times New Roman"/>
                <w:spacing w:val="0"/>
                <w:kern w:val="2"/>
                <w:sz w:val="24"/>
                <w:szCs w:val="24"/>
                <w:lang w:val="en-US" w:eastAsia="zh-CN" w:bidi="ar-SA"/>
              </w:rPr>
              <w:t>产品储存：本项目厂区全封闭建设，机制砂含水率7%，储存过程中无粉尘产生。</w:t>
            </w:r>
          </w:p>
          <w:p>
            <w:pPr>
              <w:numPr>
                <w:ilvl w:val="0"/>
                <w:numId w:val="0"/>
              </w:numPr>
              <w:spacing w:line="360" w:lineRule="auto"/>
              <w:ind w:leftChars="0"/>
              <w:rPr>
                <w:rFonts w:hint="eastAsia"/>
                <w:color w:val="000000"/>
                <w:sz w:val="24"/>
                <w:lang w:val="en-US" w:eastAsia="zh-CN"/>
              </w:rPr>
            </w:pPr>
            <w:r>
              <w:rPr>
                <w:rFonts w:hint="eastAsia"/>
                <w:b/>
                <w:bCs/>
                <w:color w:val="auto"/>
                <w:sz w:val="24"/>
                <w:lang w:val="en-US" w:eastAsia="zh-CN"/>
              </w:rPr>
              <w:t>2、物料平衡</w:t>
            </w:r>
          </w:p>
          <w:p>
            <w:pPr>
              <w:keepNext w:val="0"/>
              <w:keepLines w:val="0"/>
              <w:widowControl/>
              <w:suppressLineNumbers w:val="0"/>
              <w:jc w:val="center"/>
            </w:pPr>
            <w:r>
              <w:rPr>
                <w:rFonts w:hint="eastAsia" w:ascii="宋体" w:hAnsi="宋体" w:eastAsia="宋体" w:cs="宋体"/>
                <w:b/>
                <w:bCs/>
                <w:color w:val="000000"/>
                <w:kern w:val="0"/>
                <w:sz w:val="24"/>
                <w:szCs w:val="24"/>
                <w:lang w:val="en-US" w:eastAsia="zh-CN" w:bidi="ar"/>
              </w:rPr>
              <w:t xml:space="preserve">表 </w:t>
            </w:r>
            <w:r>
              <w:rPr>
                <w:rFonts w:hint="eastAsia" w:cs="Times New Roman"/>
                <w:b/>
                <w:bCs/>
                <w:color w:val="000000"/>
                <w:kern w:val="0"/>
                <w:sz w:val="24"/>
                <w:szCs w:val="24"/>
                <w:lang w:val="en-US" w:eastAsia="zh-CN" w:bidi="ar"/>
              </w:rPr>
              <w:t>2-9</w:t>
            </w:r>
            <w:r>
              <w:rPr>
                <w:rFonts w:hint="default" w:ascii="Times New Roman" w:hAnsi="Times New Roman" w:eastAsia="宋体" w:cs="Times New Roman"/>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本项目物料平衡表</w:t>
            </w:r>
          </w:p>
          <w:tbl>
            <w:tblPr>
              <w:tblStyle w:val="27"/>
              <w:tblW w:w="4999"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929"/>
              <w:gridCol w:w="1929"/>
              <w:gridCol w:w="1929"/>
              <w:gridCol w:w="193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858" w:type="dxa"/>
                  <w:gridSpan w:val="2"/>
                  <w:vAlign w:val="top"/>
                </w:tcPr>
                <w:p>
                  <w:pPr>
                    <w:pStyle w:val="2"/>
                    <w:numPr>
                      <w:ilvl w:val="0"/>
                      <w:numId w:val="0"/>
                    </w:numPr>
                    <w:jc w:val="center"/>
                    <w:rPr>
                      <w:rFonts w:hint="default"/>
                      <w:b/>
                      <w:bCs/>
                      <w:vertAlign w:val="baseline"/>
                      <w:lang w:val="en-US" w:eastAsia="zh-CN"/>
                    </w:rPr>
                  </w:pPr>
                  <w:r>
                    <w:rPr>
                      <w:rFonts w:hint="eastAsia"/>
                      <w:b/>
                      <w:bCs/>
                      <w:vertAlign w:val="baseline"/>
                      <w:lang w:val="en-US" w:eastAsia="zh-CN"/>
                    </w:rPr>
                    <w:t>入方</w:t>
                  </w:r>
                </w:p>
              </w:tc>
              <w:tc>
                <w:tcPr>
                  <w:tcW w:w="3860" w:type="dxa"/>
                  <w:gridSpan w:val="2"/>
                  <w:vAlign w:val="top"/>
                </w:tcPr>
                <w:p>
                  <w:pPr>
                    <w:pStyle w:val="2"/>
                    <w:numPr>
                      <w:ilvl w:val="0"/>
                      <w:numId w:val="0"/>
                    </w:numPr>
                    <w:jc w:val="center"/>
                    <w:rPr>
                      <w:rFonts w:hint="default"/>
                      <w:b/>
                      <w:bCs/>
                      <w:vertAlign w:val="baseline"/>
                      <w:lang w:val="en-US" w:eastAsia="zh-CN"/>
                    </w:rPr>
                  </w:pPr>
                  <w:r>
                    <w:rPr>
                      <w:rFonts w:hint="eastAsia"/>
                      <w:b/>
                      <w:bCs/>
                      <w:vertAlign w:val="baseline"/>
                      <w:lang w:val="en-US" w:eastAsia="zh-CN"/>
                    </w:rPr>
                    <w:t>出方</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b/>
                      <w:bCs/>
                      <w:vertAlign w:val="baseline"/>
                      <w:lang w:val="en-US" w:eastAsia="zh-CN"/>
                    </w:rPr>
                  </w:pPr>
                  <w:r>
                    <w:rPr>
                      <w:rFonts w:hint="eastAsia"/>
                      <w:b/>
                      <w:bCs/>
                      <w:vertAlign w:val="baseline"/>
                      <w:lang w:val="en-US" w:eastAsia="zh-CN"/>
                    </w:rPr>
                    <w:t>名称</w:t>
                  </w:r>
                </w:p>
              </w:tc>
              <w:tc>
                <w:tcPr>
                  <w:tcW w:w="1929" w:type="dxa"/>
                  <w:vAlign w:val="top"/>
                </w:tcPr>
                <w:p>
                  <w:pPr>
                    <w:pStyle w:val="2"/>
                    <w:numPr>
                      <w:ilvl w:val="0"/>
                      <w:numId w:val="0"/>
                    </w:numPr>
                    <w:jc w:val="center"/>
                    <w:rPr>
                      <w:rFonts w:hint="default"/>
                      <w:b/>
                      <w:bCs/>
                      <w:vertAlign w:val="baseline"/>
                      <w:lang w:val="en-US" w:eastAsia="zh-CN"/>
                    </w:rPr>
                  </w:pPr>
                  <w:r>
                    <w:rPr>
                      <w:rFonts w:hint="eastAsia"/>
                      <w:b/>
                      <w:bCs/>
                      <w:vertAlign w:val="baseline"/>
                      <w:lang w:val="en-US" w:eastAsia="zh-CN"/>
                    </w:rPr>
                    <w:t>用量（t/a）</w:t>
                  </w:r>
                </w:p>
              </w:tc>
              <w:tc>
                <w:tcPr>
                  <w:tcW w:w="1929" w:type="dxa"/>
                  <w:vAlign w:val="top"/>
                </w:tcPr>
                <w:p>
                  <w:pPr>
                    <w:pStyle w:val="2"/>
                    <w:numPr>
                      <w:ilvl w:val="0"/>
                      <w:numId w:val="0"/>
                    </w:numPr>
                    <w:jc w:val="center"/>
                    <w:rPr>
                      <w:rFonts w:hint="default"/>
                      <w:b/>
                      <w:bCs/>
                      <w:vertAlign w:val="baseline"/>
                      <w:lang w:val="en-US" w:eastAsia="zh-CN"/>
                    </w:rPr>
                  </w:pPr>
                  <w:r>
                    <w:rPr>
                      <w:rFonts w:hint="eastAsia"/>
                      <w:b/>
                      <w:bCs/>
                      <w:vertAlign w:val="baseline"/>
                      <w:lang w:val="en-US" w:eastAsia="zh-CN"/>
                    </w:rPr>
                    <w:t>去向</w:t>
                  </w:r>
                </w:p>
              </w:tc>
              <w:tc>
                <w:tcPr>
                  <w:tcW w:w="1931" w:type="dxa"/>
                  <w:vAlign w:val="top"/>
                </w:tcPr>
                <w:p>
                  <w:pPr>
                    <w:pStyle w:val="2"/>
                    <w:numPr>
                      <w:ilvl w:val="0"/>
                      <w:numId w:val="0"/>
                    </w:numPr>
                    <w:jc w:val="center"/>
                    <w:rPr>
                      <w:rFonts w:hint="default"/>
                      <w:b/>
                      <w:bCs/>
                      <w:vertAlign w:val="baseline"/>
                      <w:lang w:val="en-US" w:eastAsia="zh-CN"/>
                    </w:rPr>
                  </w:pPr>
                  <w:r>
                    <w:rPr>
                      <w:rFonts w:hint="eastAsia"/>
                      <w:b/>
                      <w:bCs/>
                      <w:vertAlign w:val="baseline"/>
                      <w:lang w:val="en-US" w:eastAsia="zh-CN"/>
                    </w:rPr>
                    <w:t>数量（t/a）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青石、鹅卵石</w:t>
                  </w: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140000</w:t>
                  </w: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机制砂</w:t>
                  </w:r>
                </w:p>
              </w:tc>
              <w:tc>
                <w:tcPr>
                  <w:tcW w:w="1931"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130000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r>
                    <w:rPr>
                      <w:rFonts w:hint="eastAsia"/>
                      <w:color w:val="000000"/>
                      <w:sz w:val="24"/>
                      <w:lang w:val="en-US" w:eastAsia="zh-CN"/>
                    </w:rPr>
                    <w:t>装卸粉尘</w:t>
                  </w:r>
                </w:p>
              </w:tc>
              <w:tc>
                <w:tcPr>
                  <w:tcW w:w="1931" w:type="dxa"/>
                  <w:vAlign w:val="top"/>
                </w:tcPr>
                <w:p>
                  <w:pPr>
                    <w:pStyle w:val="2"/>
                    <w:numPr>
                      <w:ilvl w:val="0"/>
                      <w:numId w:val="0"/>
                    </w:numPr>
                    <w:jc w:val="center"/>
                    <w:rPr>
                      <w:rFonts w:hint="default"/>
                      <w:vertAlign w:val="baseline"/>
                      <w:lang w:val="en-US" w:eastAsia="zh-CN"/>
                    </w:rPr>
                  </w:pPr>
                  <w:r>
                    <w:rPr>
                      <w:rFonts w:hint="eastAsia"/>
                      <w:color w:val="000000"/>
                      <w:sz w:val="24"/>
                      <w:lang w:val="en-US" w:eastAsia="zh-CN"/>
                    </w:rPr>
                    <w:t>1.4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破碎粉尘</w:t>
                  </w:r>
                </w:p>
              </w:tc>
              <w:tc>
                <w:tcPr>
                  <w:tcW w:w="1931"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42.98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筛分粉尘</w:t>
                  </w:r>
                </w:p>
              </w:tc>
              <w:tc>
                <w:tcPr>
                  <w:tcW w:w="1931"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沉渣干重</w:t>
                  </w:r>
                </w:p>
              </w:tc>
              <w:tc>
                <w:tcPr>
                  <w:tcW w:w="1931"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9899.62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合计</w:t>
                  </w: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140000</w:t>
                  </w:r>
                </w:p>
              </w:tc>
              <w:tc>
                <w:tcPr>
                  <w:tcW w:w="1929"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合计</w:t>
                  </w:r>
                </w:p>
              </w:tc>
              <w:tc>
                <w:tcPr>
                  <w:tcW w:w="1931" w:type="dxa"/>
                  <w:vAlign w:val="top"/>
                </w:tcPr>
                <w:p>
                  <w:pPr>
                    <w:pStyle w:val="2"/>
                    <w:numPr>
                      <w:ilvl w:val="0"/>
                      <w:numId w:val="0"/>
                    </w:numPr>
                    <w:jc w:val="center"/>
                    <w:rPr>
                      <w:rFonts w:hint="default"/>
                      <w:vertAlign w:val="baseline"/>
                      <w:lang w:val="en-US" w:eastAsia="zh-CN"/>
                    </w:rPr>
                  </w:pPr>
                  <w:r>
                    <w:rPr>
                      <w:rFonts w:hint="eastAsia"/>
                      <w:vertAlign w:val="baseline"/>
                      <w:lang w:val="en-US" w:eastAsia="zh-CN"/>
                    </w:rPr>
                    <w:t>140000</w:t>
                  </w:r>
                </w:p>
              </w:tc>
            </w:tr>
          </w:tbl>
          <w:p>
            <w:pPr>
              <w:pStyle w:val="2"/>
              <w:numPr>
                <w:ilvl w:val="0"/>
                <w:numId w:val="0"/>
              </w:numPr>
              <w:ind w:leftChars="0"/>
              <w:rPr>
                <w:rFonts w:hint="default"/>
                <w:lang w:val="en-US" w:eastAsia="zh-CN"/>
              </w:rPr>
            </w:pPr>
          </w:p>
          <w:p>
            <w:pPr>
              <w:spacing w:line="360" w:lineRule="auto"/>
              <w:ind w:firstLine="420" w:firstLineChars="200"/>
              <w:jc w:val="center"/>
              <w:rPr>
                <w:rFonts w:hint="eastAsia"/>
                <w:color w:val="000000"/>
                <w:sz w:val="24"/>
              </w:rPr>
            </w:pPr>
            <w:r>
              <w:drawing>
                <wp:inline distT="0" distB="0" distL="114300" distR="114300">
                  <wp:extent cx="3774440" cy="4521835"/>
                  <wp:effectExtent l="0" t="0" r="16510" b="1206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3774440" cy="4521835"/>
                          </a:xfrm>
                          <a:prstGeom prst="rect">
                            <a:avLst/>
                          </a:prstGeom>
                          <a:noFill/>
                          <a:ln>
                            <a:noFill/>
                          </a:ln>
                        </pic:spPr>
                      </pic:pic>
                    </a:graphicData>
                  </a:graphic>
                </wp:inline>
              </w:drawing>
            </w:r>
          </w:p>
          <w:p>
            <w:pPr>
              <w:keepNext w:val="0"/>
              <w:keepLines w:val="0"/>
              <w:widowControl/>
              <w:suppressLineNumbers w:val="0"/>
              <w:jc w:val="center"/>
              <w:rPr>
                <w:rFonts w:hint="eastAsia"/>
                <w:color w:val="000000"/>
                <w:sz w:val="24"/>
              </w:rPr>
            </w:pPr>
            <w:r>
              <w:rPr>
                <w:rFonts w:hint="eastAsia" w:ascii="宋体" w:hAnsi="宋体" w:eastAsia="宋体" w:cs="宋体"/>
                <w:b/>
                <w:bCs/>
                <w:color w:val="000000"/>
                <w:kern w:val="0"/>
                <w:sz w:val="24"/>
                <w:szCs w:val="24"/>
                <w:lang w:val="en-US" w:eastAsia="zh-CN" w:bidi="ar"/>
              </w:rPr>
              <w:t xml:space="preserve">图 </w:t>
            </w:r>
            <w:r>
              <w:rPr>
                <w:rFonts w:hint="eastAsia" w:cs="Times New Roman"/>
                <w:b/>
                <w:bCs/>
                <w:color w:val="000000"/>
                <w:kern w:val="0"/>
                <w:sz w:val="24"/>
                <w:szCs w:val="24"/>
                <w:lang w:val="en-US" w:eastAsia="zh-CN" w:bidi="ar"/>
              </w:rPr>
              <w:t>2-2</w:t>
            </w:r>
            <w:r>
              <w:rPr>
                <w:rFonts w:hint="default" w:ascii="Times New Roman" w:hAnsi="Times New Roman" w:eastAsia="宋体" w:cs="Times New Roman"/>
                <w:b/>
                <w:bCs/>
                <w:color w:val="000000"/>
                <w:kern w:val="0"/>
                <w:sz w:val="24"/>
                <w:szCs w:val="24"/>
                <w:lang w:val="en-US" w:eastAsia="zh-CN" w:bidi="ar"/>
              </w:rPr>
              <w:t xml:space="preserve"> </w:t>
            </w:r>
            <w:r>
              <w:rPr>
                <w:rFonts w:hint="eastAsia" w:ascii="宋体" w:hAnsi="宋体" w:eastAsia="宋体" w:cs="宋体"/>
                <w:b/>
                <w:bCs/>
                <w:color w:val="000000"/>
                <w:kern w:val="0"/>
                <w:sz w:val="24"/>
                <w:szCs w:val="24"/>
                <w:lang w:val="en-US" w:eastAsia="zh-CN" w:bidi="ar"/>
              </w:rPr>
              <w:t xml:space="preserve">本项目物料平衡图 </w:t>
            </w:r>
            <w:r>
              <w:rPr>
                <w:rFonts w:hint="default" w:ascii="Times New Roman" w:hAnsi="Times New Roman" w:eastAsia="宋体" w:cs="Times New Roman"/>
                <w:b/>
                <w:bCs/>
                <w:color w:val="000000"/>
                <w:kern w:val="0"/>
                <w:sz w:val="24"/>
                <w:szCs w:val="24"/>
                <w:lang w:val="en-US" w:eastAsia="zh-CN" w:bidi="ar"/>
              </w:rPr>
              <w:t>(t/a)</w:t>
            </w:r>
          </w:p>
          <w:p>
            <w:pPr>
              <w:spacing w:line="360" w:lineRule="auto"/>
              <w:ind w:firstLine="420" w:firstLineChars="200"/>
              <w:rPr>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889" w:type="dxa"/>
            <w:vAlign w:val="center"/>
          </w:tcPr>
          <w:p>
            <w:pPr>
              <w:pStyle w:val="24"/>
              <w:adjustRightInd w:val="0"/>
              <w:snapToGrid w:val="0"/>
              <w:spacing w:before="0" w:beforeAutospacing="0" w:after="0" w:afterAutospacing="0"/>
              <w:jc w:val="center"/>
              <w:rPr>
                <w:rFonts w:ascii="Times New Roman" w:hAnsi="Times New Roman" w:cs="宋体"/>
                <w:sz w:val="21"/>
                <w:szCs w:val="21"/>
              </w:rPr>
            </w:pPr>
            <w:r>
              <w:rPr>
                <w:rFonts w:hint="eastAsia" w:ascii="Times New Roman" w:hAnsi="Times New Roman" w:cs="宋体"/>
                <w:bCs/>
                <w:kern w:val="2"/>
                <w:szCs w:val="24"/>
              </w:rPr>
              <w:t>与项目有关的原有环境污染问题</w:t>
            </w:r>
          </w:p>
        </w:tc>
        <w:tc>
          <w:tcPr>
            <w:tcW w:w="7935" w:type="dxa"/>
          </w:tcPr>
          <w:p>
            <w:pPr>
              <w:autoSpaceDE w:val="0"/>
              <w:spacing w:line="360" w:lineRule="auto"/>
              <w:ind w:firstLine="482"/>
              <w:outlineLvl w:val="2"/>
              <w:rPr>
                <w:rFonts w:hint="eastAsia"/>
                <w:b/>
                <w:bCs/>
                <w:color w:val="000000"/>
                <w:sz w:val="24"/>
              </w:rPr>
            </w:pPr>
            <w:r>
              <w:rPr>
                <w:rFonts w:hint="default"/>
                <w:b/>
                <w:bCs/>
                <w:color w:val="000000"/>
                <w:sz w:val="24"/>
                <w:lang w:val="en-US" w:eastAsia="zh-CN"/>
              </w:rPr>
              <w:t>1</w:t>
            </w:r>
            <w:r>
              <w:rPr>
                <w:rFonts w:hint="eastAsia"/>
                <w:b/>
                <w:bCs/>
                <w:color w:val="000000"/>
                <w:sz w:val="24"/>
                <w:lang w:val="en-US" w:eastAsia="zh-CN"/>
              </w:rPr>
              <w:t xml:space="preserve">、现有项目环保“三同时”执行情况 </w:t>
            </w:r>
          </w:p>
          <w:p>
            <w:pPr>
              <w:spacing w:line="360" w:lineRule="auto"/>
              <w:ind w:firstLine="480" w:firstLineChars="200"/>
              <w:rPr>
                <w:rFonts w:hint="eastAsia"/>
                <w:color w:val="000000"/>
                <w:sz w:val="24"/>
                <w:lang w:val="en-US" w:eastAsia="zh-CN"/>
              </w:rPr>
            </w:pPr>
            <w:r>
              <w:rPr>
                <w:rFonts w:hint="eastAsia"/>
                <w:color w:val="000000"/>
                <w:sz w:val="24"/>
                <w:lang w:val="en-US" w:eastAsia="zh-CN"/>
              </w:rPr>
              <w:t xml:space="preserve">现有项目的环评手续履行情况见表 </w:t>
            </w:r>
            <w:r>
              <w:rPr>
                <w:rFonts w:hint="default"/>
                <w:color w:val="000000"/>
                <w:sz w:val="24"/>
                <w:lang w:val="en-US" w:eastAsia="zh-CN"/>
              </w:rPr>
              <w:t>2-</w:t>
            </w:r>
            <w:r>
              <w:rPr>
                <w:rFonts w:hint="eastAsia"/>
                <w:color w:val="000000"/>
                <w:sz w:val="24"/>
                <w:lang w:val="en-US" w:eastAsia="zh-CN"/>
              </w:rPr>
              <w:t xml:space="preserve">10。 </w:t>
            </w:r>
          </w:p>
          <w:p>
            <w:pPr>
              <w:jc w:val="center"/>
              <w:rPr>
                <w:rFonts w:hint="eastAsia"/>
                <w:b/>
                <w:color w:val="000000"/>
                <w:sz w:val="24"/>
                <w:lang w:val="en-US" w:eastAsia="zh-CN"/>
              </w:rPr>
            </w:pPr>
            <w:r>
              <w:rPr>
                <w:rFonts w:hint="eastAsia"/>
                <w:b/>
                <w:color w:val="000000"/>
                <w:sz w:val="24"/>
                <w:lang w:val="en-US" w:eastAsia="zh-CN"/>
              </w:rPr>
              <w:t xml:space="preserve">表 </w:t>
            </w:r>
            <w:r>
              <w:rPr>
                <w:rFonts w:hint="default"/>
                <w:b/>
                <w:color w:val="000000"/>
                <w:sz w:val="24"/>
                <w:lang w:val="en-US" w:eastAsia="zh-CN"/>
              </w:rPr>
              <w:t>2-</w:t>
            </w:r>
            <w:r>
              <w:rPr>
                <w:rFonts w:hint="eastAsia"/>
                <w:b/>
                <w:color w:val="000000"/>
                <w:sz w:val="24"/>
                <w:lang w:val="en-US" w:eastAsia="zh-CN"/>
              </w:rPr>
              <w:t>10</w:t>
            </w:r>
            <w:r>
              <w:rPr>
                <w:rFonts w:hint="default"/>
                <w:b/>
                <w:color w:val="000000"/>
                <w:sz w:val="24"/>
                <w:lang w:val="en-US" w:eastAsia="zh-CN"/>
              </w:rPr>
              <w:t xml:space="preserve"> </w:t>
            </w:r>
            <w:r>
              <w:rPr>
                <w:rFonts w:hint="eastAsia"/>
                <w:b/>
                <w:color w:val="000000"/>
                <w:sz w:val="24"/>
                <w:lang w:val="en-US" w:eastAsia="zh-CN"/>
              </w:rPr>
              <w:t>现有项目环评手续履行情况汇总表</w:t>
            </w:r>
          </w:p>
          <w:tbl>
            <w:tblPr>
              <w:tblStyle w:val="27"/>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0"/>
              <w:gridCol w:w="1007"/>
              <w:gridCol w:w="869"/>
              <w:gridCol w:w="738"/>
              <w:gridCol w:w="1155"/>
              <w:gridCol w:w="960"/>
              <w:gridCol w:w="1171"/>
              <w:gridCol w:w="1069"/>
              <w:gridCol w:w="4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10"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序号</w:t>
                  </w:r>
                </w:p>
              </w:tc>
              <w:tc>
                <w:tcPr>
                  <w:tcW w:w="1007"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项目名称</w:t>
                  </w:r>
                </w:p>
              </w:tc>
              <w:tc>
                <w:tcPr>
                  <w:tcW w:w="869"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主要建设内容</w:t>
                  </w:r>
                </w:p>
              </w:tc>
              <w:tc>
                <w:tcPr>
                  <w:tcW w:w="2853" w:type="dxa"/>
                  <w:gridSpan w:val="3"/>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产品及产能</w:t>
                  </w:r>
                </w:p>
              </w:tc>
              <w:tc>
                <w:tcPr>
                  <w:tcW w:w="1170"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环评批复</w:t>
                  </w:r>
                </w:p>
              </w:tc>
              <w:tc>
                <w:tcPr>
                  <w:tcW w:w="1068"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环保验收</w:t>
                  </w:r>
                </w:p>
              </w:tc>
              <w:tc>
                <w:tcPr>
                  <w:tcW w:w="439" w:type="dxa"/>
                  <w:vMerge w:val="restart"/>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备注</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310" w:type="dxa"/>
                  <w:vMerge w:val="continue"/>
                  <w:vAlign w:val="center"/>
                </w:tcPr>
                <w:p>
                  <w:pPr>
                    <w:widowControl/>
                    <w:autoSpaceDE w:val="0"/>
                    <w:spacing w:line="340" w:lineRule="exact"/>
                    <w:jc w:val="center"/>
                    <w:rPr>
                      <w:rFonts w:hint="eastAsia"/>
                      <w:color w:val="000000"/>
                      <w:szCs w:val="21"/>
                      <w:lang w:val="en-US" w:eastAsia="zh-CN"/>
                    </w:rPr>
                  </w:pPr>
                </w:p>
              </w:tc>
              <w:tc>
                <w:tcPr>
                  <w:tcW w:w="1007" w:type="dxa"/>
                  <w:vMerge w:val="continue"/>
                  <w:vAlign w:val="center"/>
                </w:tcPr>
                <w:p>
                  <w:pPr>
                    <w:widowControl/>
                    <w:autoSpaceDE w:val="0"/>
                    <w:spacing w:line="340" w:lineRule="exact"/>
                    <w:jc w:val="center"/>
                    <w:rPr>
                      <w:rFonts w:hint="eastAsia"/>
                      <w:color w:val="000000"/>
                      <w:szCs w:val="21"/>
                      <w:lang w:val="en-US" w:eastAsia="zh-CN"/>
                    </w:rPr>
                  </w:pPr>
                </w:p>
              </w:tc>
              <w:tc>
                <w:tcPr>
                  <w:tcW w:w="869" w:type="dxa"/>
                  <w:vMerge w:val="continue"/>
                  <w:vAlign w:val="center"/>
                </w:tcPr>
                <w:p>
                  <w:pPr>
                    <w:widowControl/>
                    <w:autoSpaceDE w:val="0"/>
                    <w:spacing w:line="340" w:lineRule="exact"/>
                    <w:jc w:val="center"/>
                    <w:rPr>
                      <w:rFonts w:hint="eastAsia"/>
                      <w:color w:val="000000"/>
                      <w:szCs w:val="21"/>
                      <w:lang w:val="en-US" w:eastAsia="zh-CN"/>
                    </w:rPr>
                  </w:pPr>
                </w:p>
              </w:tc>
              <w:tc>
                <w:tcPr>
                  <w:tcW w:w="738" w:type="dxa"/>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产品</w:t>
                  </w:r>
                </w:p>
              </w:tc>
              <w:tc>
                <w:tcPr>
                  <w:tcW w:w="1155" w:type="dxa"/>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设计产能</w:t>
                  </w:r>
                </w:p>
              </w:tc>
              <w:tc>
                <w:tcPr>
                  <w:tcW w:w="960" w:type="dxa"/>
                  <w:vAlign w:val="center"/>
                </w:tcPr>
                <w:p>
                  <w:pPr>
                    <w:widowControl/>
                    <w:autoSpaceDE w:val="0"/>
                    <w:spacing w:line="340" w:lineRule="exact"/>
                    <w:jc w:val="center"/>
                    <w:rPr>
                      <w:rFonts w:hint="default"/>
                      <w:b/>
                      <w:bCs/>
                      <w:color w:val="000000"/>
                      <w:szCs w:val="21"/>
                      <w:lang w:val="en-US" w:eastAsia="zh-CN"/>
                    </w:rPr>
                  </w:pPr>
                  <w:r>
                    <w:rPr>
                      <w:rFonts w:hint="eastAsia"/>
                      <w:b/>
                      <w:bCs/>
                      <w:color w:val="000000"/>
                      <w:szCs w:val="21"/>
                      <w:lang w:val="en-US" w:eastAsia="zh-CN"/>
                    </w:rPr>
                    <w:t>实际产能</w:t>
                  </w:r>
                </w:p>
              </w:tc>
              <w:tc>
                <w:tcPr>
                  <w:tcW w:w="1170" w:type="dxa"/>
                  <w:vMerge w:val="continue"/>
                  <w:vAlign w:val="center"/>
                </w:tcPr>
                <w:p>
                  <w:pPr>
                    <w:widowControl/>
                    <w:autoSpaceDE w:val="0"/>
                    <w:spacing w:line="340" w:lineRule="exact"/>
                    <w:jc w:val="center"/>
                    <w:rPr>
                      <w:rFonts w:hint="eastAsia"/>
                      <w:color w:val="000000"/>
                      <w:szCs w:val="21"/>
                      <w:lang w:val="en-US" w:eastAsia="zh-CN"/>
                    </w:rPr>
                  </w:pPr>
                </w:p>
              </w:tc>
              <w:tc>
                <w:tcPr>
                  <w:tcW w:w="1068" w:type="dxa"/>
                  <w:vMerge w:val="continue"/>
                  <w:vAlign w:val="center"/>
                </w:tcPr>
                <w:p>
                  <w:pPr>
                    <w:widowControl/>
                    <w:autoSpaceDE w:val="0"/>
                    <w:spacing w:line="340" w:lineRule="exact"/>
                    <w:jc w:val="center"/>
                    <w:rPr>
                      <w:rFonts w:hint="eastAsia"/>
                      <w:color w:val="000000"/>
                      <w:szCs w:val="21"/>
                      <w:lang w:val="en-US" w:eastAsia="zh-CN"/>
                    </w:rPr>
                  </w:pPr>
                </w:p>
              </w:tc>
              <w:tc>
                <w:tcPr>
                  <w:tcW w:w="439" w:type="dxa"/>
                  <w:vMerge w:val="continue"/>
                  <w:vAlign w:val="center"/>
                </w:tcPr>
                <w:p>
                  <w:pPr>
                    <w:widowControl/>
                    <w:autoSpaceDE w:val="0"/>
                    <w:spacing w:line="340" w:lineRule="exact"/>
                    <w:jc w:val="center"/>
                    <w:rPr>
                      <w:rFonts w:hint="eastAsia"/>
                      <w:color w:val="000000"/>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10" w:type="dxa"/>
                  <w:vMerge w:val="restart"/>
                  <w:vAlign w:val="center"/>
                </w:tcPr>
                <w:p>
                  <w:pPr>
                    <w:widowControl/>
                    <w:autoSpaceDE w:val="0"/>
                    <w:spacing w:line="340" w:lineRule="exact"/>
                    <w:jc w:val="center"/>
                    <w:rPr>
                      <w:rFonts w:hint="default"/>
                      <w:color w:val="000000"/>
                      <w:szCs w:val="21"/>
                      <w:lang w:val="en-US" w:eastAsia="zh-CN"/>
                    </w:rPr>
                  </w:pPr>
                  <w:r>
                    <w:rPr>
                      <w:rFonts w:hint="eastAsia"/>
                      <w:color w:val="000000"/>
                      <w:szCs w:val="21"/>
                      <w:lang w:val="en-US" w:eastAsia="zh-CN"/>
                    </w:rPr>
                    <w:t>1</w:t>
                  </w:r>
                </w:p>
              </w:tc>
              <w:tc>
                <w:tcPr>
                  <w:tcW w:w="1007" w:type="dxa"/>
                  <w:vMerge w:val="restart"/>
                  <w:vAlign w:val="center"/>
                </w:tcPr>
                <w:p>
                  <w:pPr>
                    <w:widowControl/>
                    <w:autoSpaceDE w:val="0"/>
                    <w:spacing w:line="340" w:lineRule="exact"/>
                    <w:jc w:val="center"/>
                    <w:rPr>
                      <w:rFonts w:hint="eastAsia"/>
                      <w:color w:val="000000"/>
                      <w:szCs w:val="21"/>
                      <w:lang w:val="en-US" w:eastAsia="zh-CN"/>
                    </w:rPr>
                  </w:pPr>
                  <w:r>
                    <w:rPr>
                      <w:rFonts w:hint="eastAsia"/>
                      <w:color w:val="000000"/>
                      <w:szCs w:val="21"/>
                      <w:lang w:val="en-US" w:eastAsia="zh-CN"/>
                    </w:rPr>
                    <w:t>造型材料制品车间项目</w:t>
                  </w:r>
                </w:p>
              </w:tc>
              <w:tc>
                <w:tcPr>
                  <w:tcW w:w="869" w:type="dxa"/>
                  <w:vMerge w:val="restart"/>
                  <w:vAlign w:val="center"/>
                </w:tcPr>
                <w:p>
                  <w:pPr>
                    <w:widowControl/>
                    <w:autoSpaceDE w:val="0"/>
                    <w:spacing w:line="340" w:lineRule="exact"/>
                    <w:jc w:val="center"/>
                    <w:rPr>
                      <w:rFonts w:hint="default"/>
                      <w:color w:val="000000"/>
                      <w:szCs w:val="21"/>
                      <w:lang w:val="en-US" w:eastAsia="zh-CN"/>
                    </w:rPr>
                  </w:pPr>
                  <w:r>
                    <w:rPr>
                      <w:rFonts w:hint="eastAsia"/>
                      <w:color w:val="000000"/>
                      <w:szCs w:val="21"/>
                      <w:lang w:val="en-US" w:eastAsia="zh-CN"/>
                    </w:rPr>
                    <w:t>水洗砂</w:t>
                  </w:r>
                </w:p>
              </w:tc>
              <w:tc>
                <w:tcPr>
                  <w:tcW w:w="738"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中砂</w:t>
                  </w:r>
                </w:p>
              </w:tc>
              <w:tc>
                <w:tcPr>
                  <w:tcW w:w="1155"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48000</w:t>
                  </w:r>
                </w:p>
              </w:tc>
              <w:tc>
                <w:tcPr>
                  <w:tcW w:w="960"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48000</w:t>
                  </w:r>
                </w:p>
              </w:tc>
              <w:tc>
                <w:tcPr>
                  <w:tcW w:w="1170" w:type="dxa"/>
                  <w:vMerge w:val="restart"/>
                  <w:vAlign w:val="center"/>
                </w:tcPr>
                <w:p>
                  <w:pPr>
                    <w:widowControl/>
                    <w:autoSpaceDE w:val="0"/>
                    <w:spacing w:line="340" w:lineRule="exact"/>
                    <w:jc w:val="center"/>
                    <w:rPr>
                      <w:rFonts w:hint="eastAsia"/>
                      <w:color w:val="000000"/>
                      <w:szCs w:val="21"/>
                      <w:lang w:val="en-US" w:eastAsia="zh-CN"/>
                    </w:rPr>
                  </w:pPr>
                  <w:r>
                    <w:rPr>
                      <w:rFonts w:hint="eastAsia"/>
                      <w:color w:val="000000"/>
                      <w:szCs w:val="21"/>
                      <w:lang w:eastAsia="zh-CN"/>
                    </w:rPr>
                    <w:t>芜环评审[2020]53号</w:t>
                  </w:r>
                </w:p>
              </w:tc>
              <w:tc>
                <w:tcPr>
                  <w:tcW w:w="1068" w:type="dxa"/>
                  <w:vMerge w:val="restart"/>
                  <w:vAlign w:val="center"/>
                </w:tcPr>
                <w:p>
                  <w:pPr>
                    <w:widowControl/>
                    <w:autoSpaceDE w:val="0"/>
                    <w:spacing w:line="340" w:lineRule="exact"/>
                    <w:jc w:val="center"/>
                    <w:rPr>
                      <w:rFonts w:hint="eastAsia"/>
                      <w:color w:val="000000"/>
                      <w:szCs w:val="21"/>
                      <w:lang w:val="en-US" w:eastAsia="zh-CN"/>
                    </w:rPr>
                  </w:pPr>
                  <w:r>
                    <w:rPr>
                      <w:rFonts w:hint="eastAsia"/>
                      <w:color w:val="000000"/>
                      <w:szCs w:val="21"/>
                      <w:lang w:val="en-US" w:eastAsia="zh-CN"/>
                    </w:rPr>
                    <w:t>2020年10月已通过验收</w:t>
                  </w:r>
                </w:p>
              </w:tc>
              <w:tc>
                <w:tcPr>
                  <w:tcW w:w="439" w:type="dxa"/>
                  <w:vMerge w:val="restart"/>
                  <w:vAlign w:val="center"/>
                </w:tcPr>
                <w:p>
                  <w:pPr>
                    <w:widowControl/>
                    <w:autoSpaceDE w:val="0"/>
                    <w:spacing w:line="340" w:lineRule="exact"/>
                    <w:jc w:val="center"/>
                    <w:rPr>
                      <w:rFonts w:hint="default"/>
                      <w:color w:val="000000"/>
                      <w:szCs w:val="21"/>
                      <w:lang w:val="en-US" w:eastAsia="zh-CN"/>
                    </w:rPr>
                  </w:pPr>
                  <w:r>
                    <w:rPr>
                      <w:rFonts w:hint="eastAsia"/>
                      <w:color w:val="000000"/>
                      <w:szCs w:val="21"/>
                      <w:lang w:val="en-US" w:eastAsia="zh-CN"/>
                    </w:rPr>
                    <w:t>在产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310" w:type="dxa"/>
                  <w:vMerge w:val="continue"/>
                  <w:vAlign w:val="center"/>
                </w:tcPr>
                <w:p>
                  <w:pPr>
                    <w:widowControl/>
                    <w:autoSpaceDE w:val="0"/>
                    <w:spacing w:line="340" w:lineRule="exact"/>
                    <w:jc w:val="center"/>
                    <w:rPr>
                      <w:rFonts w:hint="eastAsia"/>
                      <w:color w:val="000000"/>
                      <w:szCs w:val="21"/>
                      <w:lang w:val="en-US" w:eastAsia="zh-CN"/>
                    </w:rPr>
                  </w:pPr>
                </w:p>
              </w:tc>
              <w:tc>
                <w:tcPr>
                  <w:tcW w:w="1007" w:type="dxa"/>
                  <w:vMerge w:val="continue"/>
                  <w:vAlign w:val="center"/>
                </w:tcPr>
                <w:p>
                  <w:pPr>
                    <w:widowControl/>
                    <w:autoSpaceDE w:val="0"/>
                    <w:spacing w:line="340" w:lineRule="exact"/>
                    <w:jc w:val="center"/>
                    <w:rPr>
                      <w:rFonts w:hint="eastAsia"/>
                      <w:color w:val="000000"/>
                      <w:szCs w:val="21"/>
                      <w:lang w:val="en-US" w:eastAsia="zh-CN"/>
                    </w:rPr>
                  </w:pPr>
                </w:p>
              </w:tc>
              <w:tc>
                <w:tcPr>
                  <w:tcW w:w="869" w:type="dxa"/>
                  <w:vMerge w:val="continue"/>
                  <w:vAlign w:val="center"/>
                </w:tcPr>
                <w:p>
                  <w:pPr>
                    <w:widowControl/>
                    <w:autoSpaceDE w:val="0"/>
                    <w:spacing w:line="340" w:lineRule="exact"/>
                    <w:jc w:val="center"/>
                    <w:rPr>
                      <w:rFonts w:hint="eastAsia"/>
                      <w:color w:val="000000"/>
                      <w:szCs w:val="21"/>
                      <w:lang w:val="en-US" w:eastAsia="zh-CN"/>
                    </w:rPr>
                  </w:pPr>
                </w:p>
              </w:tc>
              <w:tc>
                <w:tcPr>
                  <w:tcW w:w="738"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细砂</w:t>
                  </w:r>
                </w:p>
              </w:tc>
              <w:tc>
                <w:tcPr>
                  <w:tcW w:w="1155"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60000</w:t>
                  </w:r>
                </w:p>
              </w:tc>
              <w:tc>
                <w:tcPr>
                  <w:tcW w:w="960"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60000</w:t>
                  </w:r>
                </w:p>
              </w:tc>
              <w:tc>
                <w:tcPr>
                  <w:tcW w:w="1170" w:type="dxa"/>
                  <w:vMerge w:val="continue"/>
                  <w:vAlign w:val="center"/>
                </w:tcPr>
                <w:p>
                  <w:pPr>
                    <w:widowControl/>
                    <w:autoSpaceDE w:val="0"/>
                    <w:spacing w:line="340" w:lineRule="exact"/>
                    <w:jc w:val="center"/>
                    <w:rPr>
                      <w:rFonts w:hint="eastAsia"/>
                      <w:color w:val="000000"/>
                      <w:szCs w:val="21"/>
                      <w:lang w:val="en-US" w:eastAsia="zh-CN"/>
                    </w:rPr>
                  </w:pPr>
                </w:p>
              </w:tc>
              <w:tc>
                <w:tcPr>
                  <w:tcW w:w="1068" w:type="dxa"/>
                  <w:vMerge w:val="continue"/>
                  <w:vAlign w:val="center"/>
                </w:tcPr>
                <w:p>
                  <w:pPr>
                    <w:widowControl/>
                    <w:autoSpaceDE w:val="0"/>
                    <w:spacing w:line="340" w:lineRule="exact"/>
                    <w:jc w:val="center"/>
                    <w:rPr>
                      <w:rFonts w:hint="eastAsia"/>
                      <w:color w:val="000000"/>
                      <w:szCs w:val="21"/>
                      <w:lang w:val="en-US" w:eastAsia="zh-CN"/>
                    </w:rPr>
                  </w:pPr>
                </w:p>
              </w:tc>
              <w:tc>
                <w:tcPr>
                  <w:tcW w:w="439" w:type="dxa"/>
                  <w:vMerge w:val="continue"/>
                  <w:vAlign w:val="center"/>
                </w:tcPr>
                <w:p>
                  <w:pPr>
                    <w:widowControl/>
                    <w:autoSpaceDE w:val="0"/>
                    <w:spacing w:line="340" w:lineRule="exact"/>
                    <w:jc w:val="center"/>
                    <w:rPr>
                      <w:rFonts w:hint="eastAsia"/>
                      <w:color w:val="000000"/>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310" w:type="dxa"/>
                  <w:vMerge w:val="continue"/>
                  <w:vAlign w:val="center"/>
                </w:tcPr>
                <w:p>
                  <w:pPr>
                    <w:widowControl/>
                    <w:autoSpaceDE w:val="0"/>
                    <w:spacing w:line="340" w:lineRule="exact"/>
                    <w:jc w:val="center"/>
                    <w:rPr>
                      <w:rFonts w:hint="eastAsia"/>
                      <w:color w:val="000000"/>
                      <w:szCs w:val="21"/>
                      <w:lang w:val="en-US" w:eastAsia="zh-CN"/>
                    </w:rPr>
                  </w:pPr>
                </w:p>
              </w:tc>
              <w:tc>
                <w:tcPr>
                  <w:tcW w:w="1007" w:type="dxa"/>
                  <w:vMerge w:val="continue"/>
                  <w:vAlign w:val="center"/>
                </w:tcPr>
                <w:p>
                  <w:pPr>
                    <w:widowControl/>
                    <w:autoSpaceDE w:val="0"/>
                    <w:spacing w:line="340" w:lineRule="exact"/>
                    <w:jc w:val="center"/>
                    <w:rPr>
                      <w:rFonts w:hint="eastAsia"/>
                      <w:color w:val="000000"/>
                      <w:szCs w:val="21"/>
                      <w:lang w:val="en-US" w:eastAsia="zh-CN"/>
                    </w:rPr>
                  </w:pPr>
                </w:p>
              </w:tc>
              <w:tc>
                <w:tcPr>
                  <w:tcW w:w="869" w:type="dxa"/>
                  <w:vMerge w:val="continue"/>
                  <w:vAlign w:val="center"/>
                </w:tcPr>
                <w:p>
                  <w:pPr>
                    <w:widowControl/>
                    <w:autoSpaceDE w:val="0"/>
                    <w:spacing w:line="340" w:lineRule="exact"/>
                    <w:jc w:val="center"/>
                    <w:rPr>
                      <w:rFonts w:hint="eastAsia"/>
                      <w:color w:val="000000"/>
                      <w:szCs w:val="21"/>
                      <w:lang w:val="en-US" w:eastAsia="zh-CN"/>
                    </w:rPr>
                  </w:pPr>
                </w:p>
              </w:tc>
              <w:tc>
                <w:tcPr>
                  <w:tcW w:w="738"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粗砂</w:t>
                  </w:r>
                </w:p>
              </w:tc>
              <w:tc>
                <w:tcPr>
                  <w:tcW w:w="1155"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24000</w:t>
                  </w:r>
                </w:p>
              </w:tc>
              <w:tc>
                <w:tcPr>
                  <w:tcW w:w="960" w:type="dxa"/>
                  <w:vAlign w:val="center"/>
                </w:tcPr>
                <w:p>
                  <w:pPr>
                    <w:widowControl/>
                    <w:autoSpaceDE w:val="0"/>
                    <w:spacing w:line="340" w:lineRule="exact"/>
                    <w:jc w:val="center"/>
                    <w:rPr>
                      <w:rFonts w:hint="eastAsia"/>
                      <w:color w:val="000000"/>
                      <w:szCs w:val="21"/>
                      <w:lang w:val="en-US" w:eastAsia="zh-CN"/>
                    </w:rPr>
                  </w:pPr>
                  <w:r>
                    <w:rPr>
                      <w:rFonts w:hint="default"/>
                      <w:color w:val="000000"/>
                      <w:szCs w:val="21"/>
                      <w:lang w:val="en-US" w:eastAsia="zh-CN"/>
                    </w:rPr>
                    <w:t>24000</w:t>
                  </w:r>
                </w:p>
              </w:tc>
              <w:tc>
                <w:tcPr>
                  <w:tcW w:w="1170" w:type="dxa"/>
                  <w:vMerge w:val="continue"/>
                  <w:vAlign w:val="center"/>
                </w:tcPr>
                <w:p>
                  <w:pPr>
                    <w:widowControl/>
                    <w:autoSpaceDE w:val="0"/>
                    <w:spacing w:line="340" w:lineRule="exact"/>
                    <w:jc w:val="center"/>
                    <w:rPr>
                      <w:rFonts w:hint="eastAsia"/>
                      <w:color w:val="000000"/>
                      <w:szCs w:val="21"/>
                      <w:lang w:val="en-US" w:eastAsia="zh-CN"/>
                    </w:rPr>
                  </w:pPr>
                </w:p>
              </w:tc>
              <w:tc>
                <w:tcPr>
                  <w:tcW w:w="1068" w:type="dxa"/>
                  <w:vMerge w:val="continue"/>
                  <w:vAlign w:val="center"/>
                </w:tcPr>
                <w:p>
                  <w:pPr>
                    <w:widowControl/>
                    <w:autoSpaceDE w:val="0"/>
                    <w:spacing w:line="340" w:lineRule="exact"/>
                    <w:jc w:val="center"/>
                    <w:rPr>
                      <w:rFonts w:hint="eastAsia"/>
                      <w:color w:val="000000"/>
                      <w:szCs w:val="21"/>
                      <w:lang w:val="en-US" w:eastAsia="zh-CN"/>
                    </w:rPr>
                  </w:pPr>
                </w:p>
              </w:tc>
              <w:tc>
                <w:tcPr>
                  <w:tcW w:w="439" w:type="dxa"/>
                  <w:vMerge w:val="continue"/>
                  <w:vAlign w:val="center"/>
                </w:tcPr>
                <w:p>
                  <w:pPr>
                    <w:widowControl/>
                    <w:autoSpaceDE w:val="0"/>
                    <w:spacing w:line="340" w:lineRule="exact"/>
                    <w:jc w:val="center"/>
                    <w:rPr>
                      <w:rFonts w:hint="eastAsia"/>
                      <w:color w:val="000000"/>
                      <w:szCs w:val="21"/>
                      <w:lang w:val="en-US" w:eastAsia="zh-CN"/>
                    </w:rPr>
                  </w:pPr>
                </w:p>
              </w:tc>
            </w:tr>
          </w:tbl>
          <w:p>
            <w:pPr>
              <w:autoSpaceDE w:val="0"/>
              <w:spacing w:line="360" w:lineRule="auto"/>
              <w:ind w:firstLine="480"/>
              <w:rPr>
                <w:rFonts w:hint="eastAsia"/>
                <w:bCs/>
                <w:color w:val="000000"/>
                <w:sz w:val="24"/>
                <w:lang w:val="en-US" w:eastAsia="zh-CN"/>
              </w:rPr>
            </w:pPr>
            <w:r>
              <w:rPr>
                <w:rFonts w:hint="eastAsia"/>
                <w:bCs/>
                <w:color w:val="000000"/>
                <w:sz w:val="24"/>
                <w:lang w:val="en-US" w:eastAsia="zh-CN"/>
              </w:rPr>
              <w:t>企业现有项目已完成排污许可。</w:t>
            </w:r>
          </w:p>
          <w:p>
            <w:pPr>
              <w:autoSpaceDE w:val="0"/>
              <w:spacing w:line="360" w:lineRule="auto"/>
              <w:ind w:firstLine="482"/>
              <w:outlineLvl w:val="2"/>
              <w:rPr>
                <w:b/>
                <w:bCs/>
                <w:color w:val="000000"/>
                <w:sz w:val="24"/>
              </w:rPr>
            </w:pPr>
            <w:r>
              <w:rPr>
                <w:rFonts w:hint="eastAsia"/>
                <w:b/>
                <w:bCs/>
                <w:color w:val="000000"/>
                <w:sz w:val="24"/>
              </w:rPr>
              <w:t>2、现有项目主要生产工艺</w:t>
            </w:r>
          </w:p>
          <w:p>
            <w:pPr>
              <w:autoSpaceDE w:val="0"/>
              <w:spacing w:line="360" w:lineRule="auto"/>
              <w:ind w:firstLine="480"/>
              <w:jc w:val="center"/>
              <w:rPr>
                <w:rFonts w:hint="default" w:ascii="Times New Roman" w:hAnsi="Times New Roman" w:eastAsia="宋体" w:cs="Times New Roman"/>
                <w:color w:val="000000"/>
                <w:sz w:val="24"/>
                <w:szCs w:val="24"/>
                <w:lang w:eastAsia="zh-CN"/>
              </w:rPr>
            </w:pPr>
            <w:r>
              <w:rPr>
                <w:rFonts w:hint="default" w:ascii="Times New Roman" w:hAnsi="Times New Roman" w:eastAsia="宋体" w:cs="Times New Roman"/>
                <w:color w:val="000000"/>
                <w:sz w:val="24"/>
                <w:szCs w:val="24"/>
                <w:lang w:eastAsia="zh-CN"/>
              </w:rPr>
              <w:object>
                <v:shape id="_x0000_i1025" o:spt="75" type="#_x0000_t75" style="height:230.75pt;width:336.55pt;" o:ole="t" filled="f" o:preferrelative="t" stroked="f" coordsize="21600,21600">
                  <v:path/>
                  <v:fill on="f" focussize="0,0"/>
                  <v:stroke on="f"/>
                  <v:imagedata r:id="rId9" o:title=""/>
                  <o:lock v:ext="edit" aspectratio="f"/>
                  <w10:wrap type="none"/>
                  <w10:anchorlock/>
                </v:shape>
                <o:OLEObject Type="Embed" ProgID="Visio.Drawing.11" ShapeID="_x0000_i1025" DrawAspect="Content" ObjectID="_1468075725" r:id="rId8">
                  <o:LockedField>false</o:LockedField>
                </o:OLEObject>
              </w:object>
            </w:r>
          </w:p>
          <w:p>
            <w:pPr>
              <w:jc w:val="center"/>
              <w:rPr>
                <w:rFonts w:hint="eastAsia"/>
                <w:b/>
                <w:color w:val="000000"/>
                <w:sz w:val="24"/>
              </w:rPr>
            </w:pPr>
            <w:r>
              <w:rPr>
                <w:rFonts w:hint="eastAsia"/>
                <w:b/>
                <w:color w:val="000000"/>
                <w:sz w:val="24"/>
              </w:rPr>
              <w:t>图 2-</w:t>
            </w:r>
            <w:r>
              <w:rPr>
                <w:rFonts w:hint="eastAsia"/>
                <w:b/>
                <w:color w:val="000000"/>
                <w:sz w:val="24"/>
                <w:lang w:val="en-US" w:eastAsia="zh-CN"/>
              </w:rPr>
              <w:t>3</w:t>
            </w:r>
            <w:r>
              <w:rPr>
                <w:rFonts w:hint="eastAsia"/>
                <w:b/>
                <w:color w:val="000000"/>
                <w:sz w:val="24"/>
              </w:rPr>
              <w:t xml:space="preserve"> 现有项目总生产工艺流程图及产污节点</w:t>
            </w:r>
          </w:p>
          <w:p>
            <w:pPr>
              <w:autoSpaceDE w:val="0"/>
              <w:spacing w:line="360" w:lineRule="auto"/>
              <w:ind w:firstLine="480"/>
              <w:rPr>
                <w:rFonts w:hint="eastAsia" w:eastAsia="宋体"/>
                <w:bCs/>
                <w:color w:val="000000"/>
                <w:sz w:val="24"/>
                <w:lang w:eastAsia="zh-CN"/>
              </w:rPr>
            </w:pPr>
            <w:r>
              <w:rPr>
                <w:rFonts w:hint="default"/>
                <w:bCs/>
                <w:color w:val="000000"/>
                <w:sz w:val="24"/>
              </w:rPr>
              <w:t>生产工艺流程说明</w:t>
            </w:r>
            <w:r>
              <w:rPr>
                <w:rFonts w:hint="eastAsia"/>
                <w:bCs/>
                <w:color w:val="000000"/>
                <w:sz w:val="24"/>
                <w:lang w:eastAsia="zh-CN"/>
              </w:rPr>
              <w:t>：</w:t>
            </w:r>
          </w:p>
          <w:p>
            <w:pPr>
              <w:autoSpaceDE w:val="0"/>
              <w:spacing w:line="360" w:lineRule="auto"/>
              <w:ind w:firstLine="480"/>
              <w:rPr>
                <w:rFonts w:hint="eastAsia"/>
                <w:bCs/>
                <w:color w:val="000000"/>
                <w:sz w:val="24"/>
              </w:rPr>
            </w:pPr>
            <w:r>
              <w:rPr>
                <w:rFonts w:hint="eastAsia"/>
                <w:bCs/>
                <w:color w:val="000000"/>
                <w:sz w:val="24"/>
              </w:rPr>
              <w:t>铲车将砂子上料给原料砂仓，再通过皮带机将砂子送到一级滚筒筛进行水洗筛分，分离出的砂子再送到二级滚筒筛进行筛分，分离出中砂、粗砂和细砂，中砂、粗砂和细砂通过单螺旋洗砂机后，送到成品砂仓，水洗出来的污水通过排水沟送到</w:t>
            </w:r>
            <w:r>
              <w:rPr>
                <w:rFonts w:hint="eastAsia"/>
                <w:bCs/>
                <w:color w:val="000000"/>
                <w:sz w:val="24"/>
                <w:lang w:val="en-US" w:eastAsia="zh-CN"/>
              </w:rPr>
              <w:t>循环</w:t>
            </w:r>
            <w:r>
              <w:rPr>
                <w:rFonts w:hint="eastAsia"/>
                <w:bCs/>
                <w:color w:val="000000"/>
                <w:sz w:val="24"/>
              </w:rPr>
              <w:t>水池沉淀，再用水泵将沉淀后的污泥打到压滤机进行处理。</w:t>
            </w:r>
          </w:p>
          <w:p>
            <w:pPr>
              <w:autoSpaceDE w:val="0"/>
              <w:spacing w:line="360" w:lineRule="auto"/>
              <w:ind w:firstLine="482"/>
              <w:outlineLvl w:val="2"/>
              <w:rPr>
                <w:rFonts w:hint="eastAsia"/>
                <w:b/>
                <w:bCs/>
                <w:color w:val="000000"/>
                <w:sz w:val="24"/>
              </w:rPr>
            </w:pPr>
            <w:r>
              <w:rPr>
                <w:rFonts w:hint="eastAsia"/>
                <w:b/>
                <w:bCs/>
                <w:color w:val="000000"/>
                <w:sz w:val="24"/>
                <w:lang w:val="en-US" w:eastAsia="zh-CN"/>
              </w:rPr>
              <w:t>3、</w:t>
            </w:r>
            <w:r>
              <w:rPr>
                <w:rFonts w:hint="eastAsia"/>
                <w:b/>
                <w:bCs/>
                <w:color w:val="000000"/>
                <w:sz w:val="24"/>
              </w:rPr>
              <w:t>现有项目污染物达标排放情况</w:t>
            </w:r>
          </w:p>
          <w:p>
            <w:pPr>
              <w:autoSpaceDE w:val="0"/>
              <w:spacing w:line="360" w:lineRule="auto"/>
              <w:ind w:firstLine="480"/>
              <w:rPr>
                <w:rFonts w:hint="eastAsia"/>
                <w:bCs/>
                <w:color w:val="000000"/>
                <w:sz w:val="24"/>
                <w:lang w:val="en-US" w:eastAsia="zh-CN"/>
              </w:rPr>
            </w:pPr>
            <w:r>
              <w:rPr>
                <w:rFonts w:hint="eastAsia"/>
                <w:bCs/>
                <w:color w:val="000000"/>
                <w:sz w:val="24"/>
                <w:lang w:eastAsia="zh-CN"/>
              </w:rPr>
              <w:t>（</w:t>
            </w:r>
            <w:r>
              <w:rPr>
                <w:rFonts w:hint="eastAsia"/>
                <w:bCs/>
                <w:color w:val="000000"/>
                <w:sz w:val="24"/>
                <w:lang w:val="en-US" w:eastAsia="zh-CN"/>
              </w:rPr>
              <w:t>1</w:t>
            </w:r>
            <w:r>
              <w:rPr>
                <w:rFonts w:hint="eastAsia"/>
                <w:bCs/>
                <w:color w:val="000000"/>
                <w:sz w:val="24"/>
                <w:lang w:eastAsia="zh-CN"/>
              </w:rPr>
              <w:t>）</w:t>
            </w:r>
            <w:r>
              <w:rPr>
                <w:rFonts w:hint="eastAsia"/>
                <w:bCs/>
                <w:color w:val="000000"/>
                <w:sz w:val="24"/>
                <w:lang w:val="en-US" w:eastAsia="zh-CN"/>
              </w:rPr>
              <w:t>废气</w:t>
            </w:r>
          </w:p>
          <w:p>
            <w:pPr>
              <w:autoSpaceDE w:val="0"/>
              <w:spacing w:line="360" w:lineRule="auto"/>
              <w:ind w:firstLine="480"/>
              <w:rPr>
                <w:rFonts w:hint="eastAsia"/>
                <w:bCs/>
                <w:color w:val="000000"/>
                <w:sz w:val="24"/>
              </w:rPr>
            </w:pPr>
            <w:r>
              <w:rPr>
                <w:rFonts w:hint="eastAsia"/>
                <w:bCs/>
                <w:color w:val="000000"/>
                <w:sz w:val="24"/>
                <w:lang w:val="en-US" w:eastAsia="zh-CN"/>
              </w:rPr>
              <w:t>根据现有项目环评及验收，现有项目废气主要为</w:t>
            </w:r>
            <w:r>
              <w:rPr>
                <w:rFonts w:hint="eastAsia"/>
                <w:bCs/>
                <w:color w:val="000000"/>
                <w:sz w:val="24"/>
              </w:rPr>
              <w:t>装卸、上料、传送</w:t>
            </w:r>
            <w:r>
              <w:rPr>
                <w:rFonts w:hint="eastAsia"/>
                <w:bCs/>
                <w:color w:val="000000"/>
                <w:sz w:val="24"/>
                <w:lang w:val="en-US" w:eastAsia="zh-CN"/>
              </w:rPr>
              <w:t>过程产生的粉尘</w:t>
            </w:r>
            <w:r>
              <w:rPr>
                <w:rFonts w:hint="eastAsia"/>
                <w:bCs/>
                <w:color w:val="000000"/>
                <w:sz w:val="24"/>
              </w:rPr>
              <w:t>采取喷雾、喷淋等措施</w:t>
            </w:r>
            <w:r>
              <w:rPr>
                <w:rFonts w:hint="eastAsia"/>
                <w:bCs/>
                <w:color w:val="000000"/>
                <w:sz w:val="24"/>
                <w:lang w:val="en-US" w:eastAsia="zh-CN"/>
              </w:rPr>
              <w:t xml:space="preserve">后无组织排放。 </w:t>
            </w:r>
          </w:p>
          <w:p>
            <w:pPr>
              <w:autoSpaceDE w:val="0"/>
              <w:spacing w:line="360" w:lineRule="auto"/>
              <w:ind w:firstLine="480"/>
              <w:rPr>
                <w:rFonts w:hint="eastAsia"/>
                <w:bCs/>
                <w:color w:val="000000"/>
                <w:sz w:val="24"/>
                <w:lang w:val="en-US" w:eastAsia="zh-CN"/>
              </w:rPr>
            </w:pPr>
            <w:r>
              <w:rPr>
                <w:rFonts w:hint="eastAsia"/>
                <w:bCs/>
                <w:color w:val="000000"/>
                <w:sz w:val="24"/>
                <w:lang w:val="en-US" w:eastAsia="zh-CN"/>
              </w:rPr>
              <w:t>根据</w:t>
            </w:r>
            <w:r>
              <w:rPr>
                <w:rFonts w:hint="default"/>
                <w:bCs/>
                <w:color w:val="000000"/>
                <w:sz w:val="24"/>
                <w:lang w:val="en-US" w:eastAsia="zh-CN"/>
              </w:rPr>
              <w:t>20</w:t>
            </w:r>
            <w:r>
              <w:rPr>
                <w:rFonts w:hint="eastAsia"/>
                <w:bCs/>
                <w:color w:val="000000"/>
                <w:sz w:val="24"/>
                <w:lang w:val="en-US" w:eastAsia="zh-CN"/>
              </w:rPr>
              <w:t>20年</w:t>
            </w:r>
            <w:r>
              <w:rPr>
                <w:rFonts w:hint="default"/>
                <w:bCs/>
                <w:color w:val="000000"/>
                <w:sz w:val="24"/>
                <w:lang w:val="en-US" w:eastAsia="zh-CN"/>
              </w:rPr>
              <w:t>8</w:t>
            </w:r>
            <w:r>
              <w:rPr>
                <w:rFonts w:hint="eastAsia"/>
                <w:bCs/>
                <w:color w:val="000000"/>
                <w:sz w:val="24"/>
                <w:lang w:val="en-US" w:eastAsia="zh-CN"/>
              </w:rPr>
              <w:t>月出具的建设项目竣工环境保护验收监测表，具体见表</w:t>
            </w:r>
            <w:r>
              <w:rPr>
                <w:rFonts w:hint="default"/>
                <w:bCs/>
                <w:color w:val="000000"/>
                <w:sz w:val="24"/>
                <w:lang w:val="en-US" w:eastAsia="zh-CN"/>
              </w:rPr>
              <w:t>2-</w:t>
            </w:r>
            <w:r>
              <w:rPr>
                <w:rFonts w:hint="eastAsia"/>
                <w:bCs/>
                <w:color w:val="000000"/>
                <w:sz w:val="24"/>
                <w:lang w:val="en-US" w:eastAsia="zh-CN"/>
              </w:rPr>
              <w:t>11，检测结果表明现有项目无组织废气的排放浓度可以达到</w:t>
            </w:r>
            <w:r>
              <w:rPr>
                <w:rFonts w:hint="eastAsia"/>
                <w:sz w:val="24"/>
              </w:rPr>
              <w:t>上海市地方标准《大气污染物综合排放标准》（DB31/933-2015）表3无组织排放点监控浓度限值</w:t>
            </w:r>
            <w:r>
              <w:rPr>
                <w:rFonts w:hint="eastAsia"/>
                <w:bCs/>
                <w:color w:val="000000"/>
                <w:sz w:val="24"/>
                <w:lang w:val="en-US" w:eastAsia="zh-CN"/>
              </w:rPr>
              <w:t>。</w:t>
            </w:r>
          </w:p>
          <w:p>
            <w:pPr>
              <w:keepNext w:val="0"/>
              <w:keepLines w:val="0"/>
              <w:widowControl/>
              <w:suppressLineNumbers w:val="0"/>
              <w:ind w:firstLine="1687" w:firstLineChars="700"/>
              <w:jc w:val="left"/>
            </w:pPr>
            <w:r>
              <w:rPr>
                <w:rFonts w:hint="eastAsia"/>
                <w:b/>
                <w:color w:val="000000"/>
                <w:sz w:val="24"/>
                <w:lang w:val="en-US" w:eastAsia="zh-CN"/>
              </w:rPr>
              <w:t xml:space="preserve">表 </w:t>
            </w:r>
            <w:r>
              <w:rPr>
                <w:rFonts w:hint="default"/>
                <w:b/>
                <w:color w:val="000000"/>
                <w:sz w:val="24"/>
                <w:lang w:val="en-US" w:eastAsia="zh-CN"/>
              </w:rPr>
              <w:t>2-</w:t>
            </w:r>
            <w:r>
              <w:rPr>
                <w:rFonts w:hint="eastAsia"/>
                <w:b/>
                <w:color w:val="000000"/>
                <w:sz w:val="24"/>
                <w:lang w:val="en-US" w:eastAsia="zh-CN"/>
              </w:rPr>
              <w:t>11</w:t>
            </w:r>
            <w:r>
              <w:rPr>
                <w:rFonts w:hint="default"/>
                <w:b/>
                <w:color w:val="000000"/>
                <w:sz w:val="24"/>
                <w:lang w:val="en-US" w:eastAsia="zh-CN"/>
              </w:rPr>
              <w:t xml:space="preserve"> </w:t>
            </w:r>
            <w:r>
              <w:rPr>
                <w:rFonts w:hint="eastAsia"/>
                <w:b/>
                <w:color w:val="000000"/>
                <w:sz w:val="24"/>
                <w:lang w:val="en-US" w:eastAsia="zh-CN"/>
              </w:rPr>
              <w:t>现有项目无组织废气检测结果统计表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04"/>
              <w:gridCol w:w="892"/>
              <w:gridCol w:w="1012"/>
              <w:gridCol w:w="801"/>
              <w:gridCol w:w="1067"/>
              <w:gridCol w:w="935"/>
              <w:gridCol w:w="939"/>
              <w:gridCol w:w="613"/>
              <w:gridCol w:w="45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86" w:hRule="atLeast"/>
                <w:jc w:val="center"/>
              </w:trPr>
              <w:tc>
                <w:tcPr>
                  <w:tcW w:w="967"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auto"/>
                      <w:sz w:val="21"/>
                      <w:szCs w:val="21"/>
                      <w:lang w:eastAsia="zh-CN"/>
                    </w:rPr>
                    <w:t>采样</w:t>
                  </w:r>
                  <w:r>
                    <w:rPr>
                      <w:rFonts w:hint="default" w:ascii="Times New Roman" w:hAnsi="Times New Roman" w:eastAsia="宋体" w:cs="Times New Roman"/>
                      <w:b/>
                      <w:bCs/>
                      <w:color w:val="auto"/>
                      <w:sz w:val="21"/>
                      <w:szCs w:val="21"/>
                    </w:rPr>
                    <w:t>日期</w:t>
                  </w:r>
                </w:p>
              </w:tc>
              <w:tc>
                <w:tcPr>
                  <w:tcW w:w="85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outlineLvl w:val="1"/>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sz w:val="21"/>
                      <w:szCs w:val="21"/>
                    </w:rPr>
                    <w:t>检测</w:t>
                  </w:r>
                  <w:r>
                    <w:rPr>
                      <w:rFonts w:hint="default" w:ascii="Times New Roman" w:hAnsi="Times New Roman" w:eastAsia="宋体" w:cs="Times New Roman"/>
                      <w:b/>
                      <w:bCs/>
                      <w:sz w:val="21"/>
                      <w:szCs w:val="21"/>
                      <w:lang w:eastAsia="zh-CN"/>
                    </w:rPr>
                    <w:t>项目</w:t>
                  </w:r>
                </w:p>
              </w:tc>
              <w:tc>
                <w:tcPr>
                  <w:tcW w:w="975"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sz w:val="21"/>
                      <w:szCs w:val="21"/>
                    </w:rPr>
                    <w:t>检测</w:t>
                  </w:r>
                  <w:r>
                    <w:rPr>
                      <w:rFonts w:hint="default" w:ascii="Times New Roman" w:hAnsi="Times New Roman" w:eastAsia="宋体" w:cs="Times New Roman"/>
                      <w:b/>
                      <w:bCs/>
                      <w:color w:val="000000"/>
                      <w:sz w:val="21"/>
                      <w:szCs w:val="21"/>
                    </w:rPr>
                    <w:t>时间</w:t>
                  </w:r>
                </w:p>
              </w:tc>
              <w:tc>
                <w:tcPr>
                  <w:tcW w:w="3606" w:type="dxa"/>
                  <w:gridSpan w:val="4"/>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检测结果（mg/m³）</w:t>
                  </w:r>
                </w:p>
              </w:tc>
              <w:tc>
                <w:tcPr>
                  <w:tcW w:w="591"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监测</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sz w:val="21"/>
                      <w:szCs w:val="21"/>
                      <w:lang w:val="en-US" w:eastAsia="zh-CN"/>
                    </w:rPr>
                  </w:pPr>
                  <w:r>
                    <w:rPr>
                      <w:rFonts w:hint="default" w:ascii="Times New Roman" w:hAnsi="Times New Roman" w:eastAsia="宋体" w:cs="Times New Roman"/>
                      <w:b/>
                      <w:bCs/>
                      <w:sz w:val="21"/>
                      <w:szCs w:val="21"/>
                      <w:lang w:val="en-US" w:eastAsia="zh-CN"/>
                    </w:rPr>
                    <w:t>最大值</w:t>
                  </w:r>
                </w:p>
              </w:tc>
              <w:tc>
                <w:tcPr>
                  <w:tcW w:w="43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标准</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限值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19"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outlineLvl w:val="1"/>
                    <w:rPr>
                      <w:rFonts w:hint="default" w:ascii="Times New Roman" w:hAnsi="Times New Roman" w:eastAsia="宋体" w:cs="Times New Roman"/>
                      <w:b w:val="0"/>
                      <w:bCs/>
                      <w:color w:val="000000"/>
                      <w:sz w:val="21"/>
                      <w:szCs w:val="21"/>
                    </w:rPr>
                  </w:pPr>
                </w:p>
              </w:tc>
              <w:tc>
                <w:tcPr>
                  <w:tcW w:w="975"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772"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eastAsia="zh-CN"/>
                    </w:rPr>
                    <w:t>上</w:t>
                  </w:r>
                  <w:r>
                    <w:rPr>
                      <w:rFonts w:hint="default" w:ascii="Times New Roman" w:hAnsi="Times New Roman" w:eastAsia="宋体" w:cs="Times New Roman"/>
                      <w:b/>
                      <w:bCs w:val="0"/>
                      <w:color w:val="000000"/>
                      <w:sz w:val="21"/>
                      <w:szCs w:val="21"/>
                    </w:rPr>
                    <w:t>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val="en-US" w:eastAsia="zh-CN"/>
                    </w:rPr>
                    <w:t>G</w:t>
                  </w:r>
                  <w:r>
                    <w:rPr>
                      <w:rFonts w:hint="default" w:ascii="Times New Roman" w:hAnsi="Times New Roman" w:eastAsia="宋体" w:cs="Times New Roman"/>
                      <w:b/>
                      <w:bCs w:val="0"/>
                      <w:color w:val="000000"/>
                      <w:sz w:val="21"/>
                      <w:szCs w:val="21"/>
                    </w:rPr>
                    <w:t>1</w:t>
                  </w:r>
                </w:p>
              </w:tc>
              <w:tc>
                <w:tcPr>
                  <w:tcW w:w="1028"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下风向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val="en-US" w:eastAsia="zh-CN"/>
                    </w:rPr>
                    <w:t>G2</w:t>
                  </w:r>
                </w:p>
              </w:tc>
              <w:tc>
                <w:tcPr>
                  <w:tcW w:w="901"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下风向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val="en-US" w:eastAsia="zh-CN"/>
                    </w:rPr>
                    <w:t>G3</w:t>
                  </w:r>
                </w:p>
              </w:tc>
              <w:tc>
                <w:tcPr>
                  <w:tcW w:w="90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lang w:eastAsia="zh-CN"/>
                    </w:rPr>
                  </w:pPr>
                  <w:r>
                    <w:rPr>
                      <w:rFonts w:hint="default" w:ascii="Times New Roman" w:hAnsi="Times New Roman" w:eastAsia="宋体" w:cs="Times New Roman"/>
                      <w:b/>
                      <w:bCs w:val="0"/>
                      <w:color w:val="000000"/>
                      <w:sz w:val="21"/>
                      <w:szCs w:val="21"/>
                      <w:lang w:eastAsia="zh-CN"/>
                    </w:rPr>
                    <w:t>厂界</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rPr>
                    <w:t>下风向</w:t>
                  </w:r>
                </w:p>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bCs w:val="0"/>
                      <w:color w:val="000000"/>
                      <w:sz w:val="21"/>
                      <w:szCs w:val="21"/>
                      <w:lang w:val="en-US" w:eastAsia="zh-CN"/>
                    </w:rPr>
                    <w:t>G4</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2020.08.11</w:t>
                  </w:r>
                </w:p>
              </w:tc>
              <w:tc>
                <w:tcPr>
                  <w:tcW w:w="85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eastAsia="zh-CN"/>
                    </w:rPr>
                  </w:pPr>
                  <w:r>
                    <w:rPr>
                      <w:rFonts w:hint="default" w:ascii="Times New Roman" w:hAnsi="Times New Roman" w:eastAsia="宋体" w:cs="Times New Roman"/>
                      <w:b w:val="0"/>
                      <w:bCs/>
                      <w:color w:val="000000"/>
                      <w:sz w:val="21"/>
                      <w:szCs w:val="21"/>
                      <w:lang w:eastAsia="zh-CN"/>
                    </w:rPr>
                    <w:t>颗粒物</w:t>
                  </w: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13:00-14:00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0.167</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0.200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591"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0.317</w:t>
                  </w:r>
                </w:p>
              </w:tc>
              <w:tc>
                <w:tcPr>
                  <w:tcW w:w="439"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eastAsia" w:cs="Times New Roman"/>
                      <w:b/>
                      <w:bCs w:val="0"/>
                      <w:color w:val="000000"/>
                      <w:sz w:val="21"/>
                      <w:szCs w:val="21"/>
                      <w:lang w:val="en-US" w:eastAsia="zh-CN"/>
                    </w:rPr>
                    <w:t>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14:10-15:10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0.183</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0.283</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15:20-16:20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0.200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0.317</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0.267</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16:30-17:30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0.267</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0.183</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outlineLvl w:val="9"/>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2020.08.12</w:t>
                  </w: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09:00-10:00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0.167</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0.233</w:t>
                  </w:r>
                </w:p>
              </w:tc>
              <w:tc>
                <w:tcPr>
                  <w:tcW w:w="591" w:type="dxa"/>
                  <w:vMerge w:val="restart"/>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0.333</w:t>
                  </w: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10:10-11:10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0.150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0.300</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0.250</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11:20-12:20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0.183</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0.283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0.333</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0.300</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13" w:hRule="atLeast"/>
                <w:jc w:val="center"/>
              </w:trPr>
              <w:tc>
                <w:tcPr>
                  <w:tcW w:w="967"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85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975" w:type="dxa"/>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color w:val="000000"/>
                      <w:sz w:val="21"/>
                      <w:szCs w:val="21"/>
                      <w:lang w:val="en-US" w:eastAsia="zh-CN"/>
                    </w:rPr>
                    <w:t>12:30-13:30</w:t>
                  </w:r>
                </w:p>
              </w:tc>
              <w:tc>
                <w:tcPr>
                  <w:tcW w:w="772"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0.200</w:t>
                  </w:r>
                </w:p>
              </w:tc>
              <w:tc>
                <w:tcPr>
                  <w:tcW w:w="1028"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0.233</w:t>
                  </w:r>
                </w:p>
              </w:tc>
              <w:tc>
                <w:tcPr>
                  <w:tcW w:w="901"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0.267</w:t>
                  </w:r>
                </w:p>
              </w:tc>
              <w:tc>
                <w:tcPr>
                  <w:tcW w:w="905" w:type="dxa"/>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0.217</w:t>
                  </w:r>
                </w:p>
              </w:tc>
              <w:tc>
                <w:tcPr>
                  <w:tcW w:w="591"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c>
                <w:tcPr>
                  <w:tcW w:w="439" w:type="dxa"/>
                  <w:vMerge w:val="continue"/>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6" w:hRule="atLeast"/>
                <w:jc w:val="center"/>
              </w:trPr>
              <w:tc>
                <w:tcPr>
                  <w:tcW w:w="967" w:type="dxa"/>
                  <w:noWrap w:val="0"/>
                  <w:vAlign w:val="center"/>
                </w:tcPr>
                <w:p>
                  <w:pPr>
                    <w:keepNext w:val="0"/>
                    <w:keepLines w:val="0"/>
                    <w:pageBreakBefore w:val="0"/>
                    <w:tabs>
                      <w:tab w:val="left" w:pos="2711"/>
                    </w:tabs>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eastAsia="zh-CN"/>
                    </w:rPr>
                  </w:pPr>
                  <w:r>
                    <w:rPr>
                      <w:rFonts w:hint="default" w:ascii="Times New Roman" w:hAnsi="Times New Roman" w:eastAsia="宋体" w:cs="Times New Roman"/>
                      <w:color w:val="auto"/>
                      <w:sz w:val="21"/>
                      <w:szCs w:val="21"/>
                      <w:lang w:eastAsia="zh-CN"/>
                    </w:rPr>
                    <w:t>执行标准</w:t>
                  </w:r>
                </w:p>
              </w:tc>
              <w:tc>
                <w:tcPr>
                  <w:tcW w:w="6470" w:type="dxa"/>
                  <w:gridSpan w:val="8"/>
                  <w:noWrap w:val="0"/>
                  <w:vAlign w:val="center"/>
                </w:tcPr>
                <w:p>
                  <w:pPr>
                    <w:keepNext w:val="0"/>
                    <w:keepLines w:val="0"/>
                    <w:pageBreakBefore w:val="0"/>
                    <w:kinsoku/>
                    <w:wordWrap/>
                    <w:overflowPunct/>
                    <w:topLinePunct w:val="0"/>
                    <w:autoSpaceDE/>
                    <w:autoSpaceDN/>
                    <w:bidi w:val="0"/>
                    <w:adjustRightInd w:val="0"/>
                    <w:snapToGrid w:val="0"/>
                    <w:spacing w:after="0"/>
                    <w:jc w:val="center"/>
                    <w:textAlignment w:val="auto"/>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Cs/>
                      <w:color w:val="auto"/>
                      <w:sz w:val="21"/>
                      <w:szCs w:val="21"/>
                      <w:lang w:val="en-US" w:eastAsia="zh-CN" w:bidi="ar"/>
                    </w:rPr>
                    <w:t>上海市地方标准《大气污染物综合排放标准》（DB31/933-2015）表3无组织排放点监控浓度限值</w:t>
                  </w:r>
                  <w:r>
                    <w:rPr>
                      <w:rFonts w:hint="default" w:ascii="Times New Roman" w:hAnsi="Times New Roman" w:eastAsia="宋体" w:cs="Times New Roman"/>
                      <w:kern w:val="2"/>
                      <w:sz w:val="21"/>
                      <w:szCs w:val="21"/>
                      <w:lang w:val="en-US" w:eastAsia="zh-CN" w:bidi="ar"/>
                    </w:rPr>
                    <w:t>。</w:t>
                  </w:r>
                </w:p>
              </w:tc>
            </w:tr>
          </w:tbl>
          <w:p>
            <w:pPr>
              <w:autoSpaceDE w:val="0"/>
              <w:spacing w:line="360" w:lineRule="auto"/>
              <w:ind w:firstLine="480"/>
              <w:rPr>
                <w:rFonts w:hint="eastAsia"/>
                <w:bCs/>
                <w:color w:val="000000"/>
                <w:sz w:val="24"/>
                <w:lang w:eastAsia="zh-CN"/>
              </w:rPr>
            </w:pPr>
            <w:r>
              <w:rPr>
                <w:rFonts w:hint="eastAsia"/>
                <w:bCs/>
                <w:color w:val="000000"/>
                <w:sz w:val="24"/>
                <w:lang w:val="en-US" w:eastAsia="zh-CN"/>
              </w:rPr>
              <w:t>（</w:t>
            </w:r>
            <w:r>
              <w:rPr>
                <w:rFonts w:hint="default"/>
                <w:bCs/>
                <w:color w:val="000000"/>
                <w:sz w:val="24"/>
                <w:lang w:val="en-US" w:eastAsia="zh-CN"/>
              </w:rPr>
              <w:t>2</w:t>
            </w:r>
            <w:r>
              <w:rPr>
                <w:rFonts w:hint="eastAsia"/>
                <w:bCs/>
                <w:color w:val="000000"/>
                <w:sz w:val="24"/>
                <w:lang w:val="en-US" w:eastAsia="zh-CN"/>
              </w:rPr>
              <w:t xml:space="preserve">）废水 </w:t>
            </w:r>
          </w:p>
          <w:p>
            <w:pPr>
              <w:autoSpaceDE w:val="0"/>
              <w:spacing w:line="360" w:lineRule="auto"/>
              <w:ind w:firstLine="480"/>
              <w:rPr>
                <w:rFonts w:hint="eastAsia"/>
                <w:bCs/>
                <w:color w:val="000000"/>
                <w:sz w:val="24"/>
                <w:lang w:eastAsia="zh-CN"/>
              </w:rPr>
            </w:pPr>
            <w:r>
              <w:rPr>
                <w:rFonts w:hint="default"/>
                <w:bCs/>
                <w:color w:val="000000"/>
                <w:sz w:val="24"/>
                <w:lang w:val="en-US" w:eastAsia="zh-CN"/>
              </w:rPr>
              <w:t>员工为</w:t>
            </w:r>
            <w:r>
              <w:rPr>
                <w:rFonts w:hint="default"/>
                <w:bCs/>
                <w:color w:val="000000"/>
                <w:sz w:val="24"/>
                <w:lang w:eastAsia="zh-CN"/>
              </w:rPr>
              <w:t>芜湖新兴铸管有限责任公司</w:t>
            </w:r>
            <w:r>
              <w:rPr>
                <w:rFonts w:hint="default"/>
                <w:bCs/>
                <w:color w:val="000000"/>
                <w:sz w:val="24"/>
                <w:lang w:val="en-US" w:eastAsia="zh-CN"/>
              </w:rPr>
              <w:t>调配人员，生活用水依托</w:t>
            </w:r>
            <w:r>
              <w:rPr>
                <w:rFonts w:hint="default"/>
                <w:bCs/>
                <w:color w:val="000000"/>
                <w:sz w:val="24"/>
                <w:lang w:eastAsia="zh-CN"/>
              </w:rPr>
              <w:t>芜湖新兴铸管有限责任公司，</w:t>
            </w:r>
            <w:r>
              <w:rPr>
                <w:rFonts w:hint="default"/>
                <w:bCs/>
                <w:color w:val="000000"/>
                <w:sz w:val="24"/>
                <w:lang w:val="en-US" w:eastAsia="zh-CN"/>
              </w:rPr>
              <w:t>不新增生活用水，故无</w:t>
            </w:r>
            <w:r>
              <w:rPr>
                <w:rFonts w:hint="eastAsia"/>
                <w:bCs/>
                <w:color w:val="000000"/>
                <w:sz w:val="24"/>
                <w:lang w:eastAsia="zh-CN"/>
              </w:rPr>
              <w:t>生活废水产生。洗砂废水与</w:t>
            </w:r>
            <w:r>
              <w:rPr>
                <w:rFonts w:hint="eastAsia"/>
                <w:bCs/>
                <w:color w:val="auto"/>
                <w:sz w:val="24"/>
                <w:lang w:eastAsia="zh-CN"/>
              </w:rPr>
              <w:t>筛</w:t>
            </w:r>
            <w:r>
              <w:rPr>
                <w:rFonts w:hint="eastAsia"/>
                <w:bCs/>
                <w:color w:val="auto"/>
                <w:sz w:val="24"/>
                <w:lang w:val="en-US" w:eastAsia="zh-CN"/>
              </w:rPr>
              <w:t>选</w:t>
            </w:r>
            <w:r>
              <w:rPr>
                <w:rFonts w:hint="eastAsia"/>
                <w:bCs/>
                <w:color w:val="000000"/>
                <w:sz w:val="24"/>
                <w:lang w:eastAsia="zh-CN"/>
              </w:rPr>
              <w:t>废水一起排入循环水池沉淀后回用，不外排。</w:t>
            </w:r>
          </w:p>
          <w:p>
            <w:pPr>
              <w:autoSpaceDE w:val="0"/>
              <w:spacing w:line="360" w:lineRule="auto"/>
              <w:ind w:firstLine="480"/>
              <w:rPr>
                <w:rFonts w:hint="eastAsia"/>
                <w:bCs/>
                <w:color w:val="000000"/>
                <w:sz w:val="24"/>
                <w:lang w:eastAsia="zh-CN"/>
              </w:rPr>
            </w:pPr>
            <w:r>
              <w:rPr>
                <w:rFonts w:hint="eastAsia"/>
                <w:bCs/>
                <w:color w:val="000000"/>
                <w:sz w:val="24"/>
                <w:lang w:val="en-US" w:eastAsia="zh-CN"/>
              </w:rPr>
              <w:t xml:space="preserve">（3）噪声 </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噪声主要来源于主要为滚筒筛、洗砂机等，最大噪声值为</w:t>
            </w:r>
            <w:r>
              <w:rPr>
                <w:rFonts w:hint="eastAsia"/>
                <w:bCs/>
                <w:color w:val="000000"/>
                <w:sz w:val="24"/>
                <w:lang w:val="en-US" w:eastAsia="zh-CN"/>
              </w:rPr>
              <w:t>85</w:t>
            </w:r>
            <w:r>
              <w:rPr>
                <w:rFonts w:hint="default"/>
                <w:bCs/>
                <w:color w:val="000000"/>
                <w:sz w:val="24"/>
                <w:lang w:val="en-US" w:eastAsia="zh-CN"/>
              </w:rPr>
              <w:t>dB（A）。采取合理布局、隔声、减振等措施</w:t>
            </w:r>
            <w:r>
              <w:rPr>
                <w:rFonts w:hint="eastAsia"/>
                <w:bCs/>
                <w:color w:val="000000"/>
                <w:sz w:val="24"/>
                <w:lang w:val="en-US" w:eastAsia="zh-CN"/>
              </w:rPr>
              <w:t>。</w:t>
            </w:r>
          </w:p>
          <w:p>
            <w:pPr>
              <w:autoSpaceDE w:val="0"/>
              <w:spacing w:line="360" w:lineRule="auto"/>
              <w:ind w:firstLine="480"/>
              <w:rPr>
                <w:rFonts w:hint="eastAsia"/>
                <w:bCs/>
                <w:color w:val="000000"/>
                <w:sz w:val="24"/>
                <w:lang w:val="en-US" w:eastAsia="zh-CN"/>
              </w:rPr>
            </w:pPr>
            <w:r>
              <w:rPr>
                <w:rFonts w:hint="eastAsia"/>
                <w:bCs/>
                <w:color w:val="000000"/>
                <w:sz w:val="24"/>
                <w:lang w:val="en-US" w:eastAsia="zh-CN"/>
              </w:rPr>
              <w:t>根据</w:t>
            </w:r>
            <w:r>
              <w:rPr>
                <w:rFonts w:hint="eastAsia"/>
                <w:bCs/>
                <w:sz w:val="24"/>
                <w:lang w:val="en-US" w:eastAsia="zh-CN"/>
              </w:rPr>
              <w:t>芜湖新兴新材料产业园有限公司</w:t>
            </w:r>
            <w:r>
              <w:rPr>
                <w:rFonts w:hint="eastAsia"/>
                <w:bCs/>
                <w:color w:val="000000"/>
                <w:sz w:val="24"/>
                <w:lang w:val="en-US" w:eastAsia="zh-CN"/>
              </w:rPr>
              <w:t>委托</w:t>
            </w:r>
            <w:r>
              <w:rPr>
                <w:rFonts w:hint="eastAsia"/>
                <w:bCs/>
                <w:sz w:val="24"/>
              </w:rPr>
              <w:t>安徽</w:t>
            </w:r>
            <w:r>
              <w:rPr>
                <w:rFonts w:hint="eastAsia"/>
                <w:bCs/>
                <w:sz w:val="24"/>
                <w:lang w:val="en-US" w:eastAsia="zh-CN"/>
              </w:rPr>
              <w:t>威正测试技术</w:t>
            </w:r>
            <w:r>
              <w:rPr>
                <w:rFonts w:hint="eastAsia"/>
                <w:bCs/>
                <w:sz w:val="24"/>
              </w:rPr>
              <w:t>有限公司</w:t>
            </w:r>
            <w:r>
              <w:rPr>
                <w:rFonts w:hint="eastAsia"/>
                <w:bCs/>
                <w:color w:val="000000"/>
                <w:sz w:val="24"/>
                <w:lang w:val="en-US" w:eastAsia="zh-CN"/>
              </w:rPr>
              <w:t>所出监测报告（检测报告编号：</w:t>
            </w:r>
            <w:r>
              <w:rPr>
                <w:rFonts w:hint="eastAsia"/>
                <w:bCs/>
                <w:sz w:val="24"/>
                <w:lang w:eastAsia="zh-CN"/>
              </w:rPr>
              <w:t>2021113000807Q</w:t>
            </w:r>
            <w:r>
              <w:rPr>
                <w:rFonts w:hint="eastAsia"/>
                <w:bCs/>
                <w:color w:val="000000"/>
                <w:sz w:val="24"/>
                <w:lang w:val="en-US" w:eastAsia="zh-CN"/>
              </w:rPr>
              <w:t>），企业噪声现状监测见表</w:t>
            </w:r>
            <w:r>
              <w:rPr>
                <w:rFonts w:hint="default"/>
                <w:bCs/>
                <w:color w:val="000000"/>
                <w:sz w:val="24"/>
                <w:lang w:val="en-US" w:eastAsia="zh-CN"/>
              </w:rPr>
              <w:t>2-</w:t>
            </w:r>
            <w:r>
              <w:rPr>
                <w:rFonts w:hint="eastAsia"/>
                <w:bCs/>
                <w:color w:val="000000"/>
                <w:sz w:val="24"/>
                <w:lang w:val="en-US" w:eastAsia="zh-CN"/>
              </w:rPr>
              <w:t>12，检测结果表明现有项目厂界噪声符合《工业企业厂界环境噪声排放标准》（GB12348-2008）表1中3类标准限值的要求。</w:t>
            </w:r>
          </w:p>
          <w:p>
            <w:pPr>
              <w:keepNext w:val="0"/>
              <w:keepLines w:val="0"/>
              <w:widowControl/>
              <w:suppressLineNumbers w:val="0"/>
              <w:ind w:firstLine="1687" w:firstLineChars="700"/>
              <w:jc w:val="left"/>
              <w:rPr>
                <w:rFonts w:hint="default"/>
                <w:lang w:val="en-US" w:eastAsia="zh-CN"/>
              </w:rPr>
            </w:pPr>
            <w:r>
              <w:rPr>
                <w:rFonts w:hint="eastAsia"/>
                <w:b/>
                <w:color w:val="000000"/>
                <w:sz w:val="24"/>
                <w:lang w:val="en-US" w:eastAsia="zh-CN"/>
              </w:rPr>
              <w:t xml:space="preserve">表 </w:t>
            </w:r>
            <w:r>
              <w:rPr>
                <w:rFonts w:hint="default"/>
                <w:b/>
                <w:color w:val="000000"/>
                <w:sz w:val="24"/>
                <w:lang w:val="en-US" w:eastAsia="zh-CN"/>
              </w:rPr>
              <w:t>2-</w:t>
            </w:r>
            <w:r>
              <w:rPr>
                <w:rFonts w:hint="eastAsia"/>
                <w:b/>
                <w:color w:val="000000"/>
                <w:sz w:val="24"/>
                <w:lang w:val="en-US" w:eastAsia="zh-CN"/>
              </w:rPr>
              <w:t>12</w:t>
            </w:r>
            <w:r>
              <w:rPr>
                <w:rFonts w:hint="default"/>
                <w:b/>
                <w:color w:val="000000"/>
                <w:sz w:val="24"/>
                <w:lang w:val="en-US" w:eastAsia="zh-CN"/>
              </w:rPr>
              <w:t xml:space="preserve"> </w:t>
            </w:r>
            <w:r>
              <w:rPr>
                <w:rFonts w:hint="eastAsia"/>
                <w:b/>
                <w:color w:val="000000"/>
                <w:sz w:val="24"/>
                <w:lang w:val="en-US" w:eastAsia="zh-CN"/>
              </w:rPr>
              <w:t>现有项目厂界噪声检测结果统计表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8"/>
              <w:gridCol w:w="1446"/>
              <w:gridCol w:w="1323"/>
              <w:gridCol w:w="1323"/>
              <w:gridCol w:w="1323"/>
              <w:gridCol w:w="140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点位编号</w:t>
                  </w:r>
                </w:p>
              </w:tc>
              <w:tc>
                <w:tcPr>
                  <w:tcW w:w="145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点位名称</w:t>
                  </w:r>
                </w:p>
              </w:tc>
              <w:tc>
                <w:tcPr>
                  <w:tcW w:w="5416"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检测结果Leq[dB(A)]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5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266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.1</w:t>
                  </w:r>
                </w:p>
              </w:tc>
              <w:tc>
                <w:tcPr>
                  <w:tcW w:w="275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5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N1</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color w:val="000000"/>
                      <w:sz w:val="21"/>
                      <w:szCs w:val="21"/>
                      <w:lang w:eastAsia="zh-CN"/>
                    </w:rPr>
                  </w:pPr>
                  <w:r>
                    <w:rPr>
                      <w:rFonts w:hint="default" w:ascii="Times New Roman" w:hAnsi="Times New Roman" w:eastAsia="宋体" w:cs="Times New Roman"/>
                      <w:b w:val="0"/>
                      <w:bCs/>
                      <w:color w:val="000000"/>
                      <w:sz w:val="21"/>
                      <w:szCs w:val="21"/>
                    </w:rPr>
                    <w:t>厂界东</w:t>
                  </w:r>
                  <w:r>
                    <w:rPr>
                      <w:rFonts w:hint="eastAsia" w:cs="Times New Roman"/>
                      <w:b w:val="0"/>
                      <w:bCs/>
                      <w:color w:val="000000"/>
                      <w:sz w:val="21"/>
                      <w:szCs w:val="21"/>
                      <w:lang w:val="en-US" w:eastAsia="zh-CN"/>
                    </w:rPr>
                    <w:t>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55.2</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44.8</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55.1</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N2</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eastAsia" w:ascii="Times New Roman" w:hAnsi="Times New Roman" w:eastAsia="宋体" w:cs="Times New Roman"/>
                      <w:b w:val="0"/>
                      <w:bCs/>
                      <w:color w:val="000000"/>
                      <w:sz w:val="21"/>
                      <w:szCs w:val="21"/>
                      <w:lang w:eastAsia="zh-CN"/>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南侧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55.8</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55.6</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rPr>
                    <w:t>N</w:t>
                  </w:r>
                  <w:r>
                    <w:rPr>
                      <w:rFonts w:hint="default" w:ascii="Times New Roman" w:hAnsi="Times New Roman" w:eastAsia="宋体" w:cs="Times New Roman"/>
                      <w:b w:val="0"/>
                      <w:bCs/>
                      <w:color w:val="000000"/>
                      <w:sz w:val="21"/>
                      <w:szCs w:val="21"/>
                      <w:lang w:val="en-US" w:eastAsia="zh-CN"/>
                    </w:rPr>
                    <w:t>3</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西侧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55.4</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55.0</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N4</w:t>
                  </w:r>
                </w:p>
              </w:tc>
              <w:tc>
                <w:tcPr>
                  <w:tcW w:w="145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北侧</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56.4</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45.5</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56.3</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2"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val="0"/>
                      <w:bCs/>
                      <w:color w:val="000000"/>
                      <w:sz w:val="21"/>
                      <w:szCs w:val="21"/>
                    </w:rPr>
                    <w:t>标准限值</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c>
                <w:tcPr>
                  <w:tcW w:w="133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41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2"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执行标准</w:t>
                  </w:r>
                </w:p>
              </w:tc>
              <w:tc>
                <w:tcPr>
                  <w:tcW w:w="5416"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color w:val="auto"/>
                      <w:kern w:val="0"/>
                      <w:sz w:val="21"/>
                      <w:szCs w:val="21"/>
                      <w:u w:val="none"/>
                      <w:lang w:val="en-US" w:eastAsia="zh-CN" w:bidi="ar"/>
                    </w:rPr>
                    <w:t>《工业企业厂界环境噪声排放标准》（GB12348-2008） 表1中3类。</w:t>
                  </w:r>
                </w:p>
              </w:tc>
            </w:tr>
          </w:tbl>
          <w:p>
            <w:pPr>
              <w:rPr>
                <w:rFonts w:hint="eastAsia"/>
              </w:rPr>
            </w:pPr>
          </w:p>
          <w:p>
            <w:pPr>
              <w:autoSpaceDE w:val="0"/>
              <w:spacing w:line="360" w:lineRule="auto"/>
              <w:ind w:firstLine="480"/>
              <w:rPr>
                <w:rFonts w:hint="eastAsia"/>
                <w:bCs/>
                <w:color w:val="000000"/>
                <w:sz w:val="24"/>
                <w:lang w:eastAsia="zh-CN"/>
              </w:rPr>
            </w:pPr>
            <w:r>
              <w:rPr>
                <w:rFonts w:hint="eastAsia"/>
                <w:bCs/>
                <w:color w:val="000000"/>
                <w:sz w:val="24"/>
                <w:lang w:val="en-US" w:eastAsia="zh-CN"/>
              </w:rPr>
              <w:t xml:space="preserve">（4）固废 </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固体废弃物主要是产生的碎石杂质、沉渣</w:t>
            </w:r>
            <w:r>
              <w:rPr>
                <w:rFonts w:hint="eastAsia"/>
                <w:bCs/>
                <w:color w:val="000000"/>
                <w:sz w:val="24"/>
                <w:lang w:val="en-US" w:eastAsia="zh-CN"/>
              </w:rPr>
              <w:t>、</w:t>
            </w:r>
            <w:r>
              <w:rPr>
                <w:rFonts w:hint="default"/>
                <w:bCs/>
                <w:color w:val="000000"/>
                <w:sz w:val="24"/>
                <w:lang w:val="en-US" w:eastAsia="zh-CN"/>
              </w:rPr>
              <w:t>生活垃圾。</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碎石杂质：属于一般固废，产生量为2870t/a，收集后外售。</w:t>
            </w:r>
          </w:p>
          <w:p>
            <w:pPr>
              <w:autoSpaceDE w:val="0"/>
              <w:spacing w:line="360" w:lineRule="auto"/>
              <w:ind w:firstLine="480"/>
              <w:rPr>
                <w:rFonts w:hint="default"/>
                <w:bCs/>
                <w:color w:val="000000"/>
                <w:sz w:val="24"/>
                <w:lang w:val="en-US" w:eastAsia="zh-CN"/>
              </w:rPr>
            </w:pPr>
            <w:r>
              <w:rPr>
                <w:rFonts w:hint="default"/>
                <w:bCs/>
                <w:color w:val="000000"/>
                <w:sz w:val="24"/>
                <w:lang w:val="en-US" w:eastAsia="zh-CN"/>
              </w:rPr>
              <w:t>沉渣：属于一般固废，产生量为9878t/a，收集后外售。</w:t>
            </w:r>
          </w:p>
          <w:p>
            <w:pPr>
              <w:autoSpaceDE w:val="0"/>
              <w:spacing w:line="360" w:lineRule="auto"/>
              <w:ind w:firstLine="480"/>
              <w:rPr>
                <w:rFonts w:hint="eastAsia"/>
                <w:bCs/>
                <w:color w:val="000000"/>
                <w:sz w:val="24"/>
                <w:lang w:val="en-US" w:eastAsia="zh-CN"/>
              </w:rPr>
            </w:pPr>
            <w:r>
              <w:rPr>
                <w:rFonts w:hint="default"/>
                <w:bCs/>
                <w:color w:val="000000"/>
                <w:sz w:val="24"/>
                <w:lang w:val="en-US" w:eastAsia="zh-CN"/>
              </w:rPr>
              <w:t>生活垃圾：属于一般固废，产生量为2t/a，委托环卫部门统一清运。</w:t>
            </w:r>
          </w:p>
          <w:p>
            <w:pPr>
              <w:autoSpaceDE w:val="0"/>
              <w:spacing w:line="360" w:lineRule="auto"/>
              <w:ind w:firstLine="482"/>
              <w:outlineLvl w:val="2"/>
            </w:pPr>
            <w:r>
              <w:rPr>
                <w:rFonts w:hint="eastAsia"/>
                <w:b/>
                <w:bCs/>
                <w:color w:val="000000"/>
                <w:sz w:val="24"/>
                <w:lang w:val="en-US" w:eastAsia="zh-CN"/>
              </w:rPr>
              <w:t>4</w:t>
            </w:r>
            <w:r>
              <w:rPr>
                <w:rFonts w:hint="eastAsia" w:ascii="宋体" w:hAnsi="宋体" w:eastAsia="宋体" w:cs="宋体"/>
                <w:b/>
                <w:bCs/>
                <w:color w:val="000000"/>
                <w:kern w:val="0"/>
                <w:sz w:val="24"/>
                <w:szCs w:val="24"/>
                <w:lang w:val="en-US" w:eastAsia="zh-CN" w:bidi="ar"/>
              </w:rPr>
              <w:t xml:space="preserve">、现有项目存在的主要环境问题及整改措施 </w:t>
            </w:r>
          </w:p>
          <w:p>
            <w:pPr>
              <w:autoSpaceDE w:val="0"/>
              <w:spacing w:line="360" w:lineRule="auto"/>
              <w:ind w:firstLine="480"/>
              <w:rPr>
                <w:rFonts w:hint="default"/>
                <w:bCs/>
                <w:color w:val="000000"/>
                <w:sz w:val="24"/>
                <w:lang w:val="en-US" w:eastAsia="zh-CN"/>
              </w:rPr>
            </w:pPr>
            <w:r>
              <w:rPr>
                <w:rFonts w:hint="eastAsia"/>
                <w:bCs/>
                <w:color w:val="000000"/>
                <w:sz w:val="24"/>
                <w:lang w:val="en-US" w:eastAsia="zh-CN"/>
              </w:rPr>
              <w:t>经过现场勘查及三同时验收监测结果，现有项目污染防治措施建成运行，废气、废水及噪声都实现达标排放要求。</w:t>
            </w: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ind w:firstLine="480" w:firstLineChars="200"/>
              <w:rPr>
                <w:bCs/>
                <w:sz w:val="24"/>
              </w:rPr>
            </w:pPr>
          </w:p>
          <w:p>
            <w:pPr>
              <w:adjustRightInd w:val="0"/>
              <w:snapToGrid w:val="0"/>
              <w:spacing w:line="360" w:lineRule="auto"/>
              <w:rPr>
                <w:bCs/>
                <w:sz w:val="24"/>
              </w:rPr>
            </w:pPr>
          </w:p>
        </w:tc>
      </w:tr>
    </w:tbl>
    <w:p>
      <w:pPr>
        <w:pStyle w:val="24"/>
        <w:jc w:val="center"/>
        <w:rPr>
          <w:rFonts w:ascii="Times New Roman" w:hAnsi="Times New Roman"/>
          <w:snapToGrid w:val="0"/>
          <w:sz w:val="36"/>
          <w:szCs w:val="36"/>
        </w:rPr>
        <w:sectPr>
          <w:pgSz w:w="11906" w:h="16838"/>
          <w:pgMar w:top="1701" w:right="1531" w:bottom="1701" w:left="1531" w:header="851" w:footer="851" w:gutter="0"/>
          <w:cols w:space="720" w:num="1"/>
          <w:docGrid w:linePitch="312" w:charSpace="0"/>
        </w:sectPr>
      </w:pPr>
    </w:p>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三、区域环境质量现状、环境保护目标及评价标准</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92"/>
        <w:gridCol w:w="806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69" w:hRule="atLeast"/>
          <w:jc w:val="center"/>
        </w:trPr>
        <w:tc>
          <w:tcPr>
            <w:tcW w:w="992" w:type="dxa"/>
            <w:vAlign w:val="center"/>
          </w:tcPr>
          <w:p>
            <w:pPr>
              <w:adjustRightInd w:val="0"/>
              <w:snapToGrid w:val="0"/>
              <w:jc w:val="center"/>
              <w:rPr>
                <w:rFonts w:cs="宋体"/>
                <w:kern w:val="0"/>
                <w:sz w:val="24"/>
              </w:rPr>
            </w:pPr>
            <w:r>
              <w:rPr>
                <w:rFonts w:hint="eastAsia" w:cs="宋体"/>
                <w:kern w:val="0"/>
                <w:sz w:val="24"/>
              </w:rPr>
              <w:t>区域</w:t>
            </w:r>
          </w:p>
          <w:p>
            <w:pPr>
              <w:adjustRightInd w:val="0"/>
              <w:snapToGrid w:val="0"/>
              <w:jc w:val="center"/>
              <w:rPr>
                <w:rFonts w:cs="宋体"/>
                <w:kern w:val="0"/>
                <w:sz w:val="24"/>
              </w:rPr>
            </w:pPr>
            <w:r>
              <w:rPr>
                <w:rFonts w:hint="eastAsia" w:cs="宋体"/>
                <w:kern w:val="0"/>
                <w:sz w:val="24"/>
              </w:rPr>
              <w:t>环境</w:t>
            </w:r>
          </w:p>
          <w:p>
            <w:pPr>
              <w:adjustRightInd w:val="0"/>
              <w:snapToGrid w:val="0"/>
              <w:jc w:val="center"/>
              <w:rPr>
                <w:rFonts w:cs="宋体"/>
                <w:kern w:val="0"/>
                <w:sz w:val="24"/>
              </w:rPr>
            </w:pPr>
            <w:r>
              <w:rPr>
                <w:rFonts w:hint="eastAsia" w:cs="宋体"/>
                <w:kern w:val="0"/>
                <w:sz w:val="24"/>
              </w:rPr>
              <w:t>质量</w:t>
            </w:r>
          </w:p>
          <w:p>
            <w:pPr>
              <w:adjustRightInd w:val="0"/>
              <w:snapToGrid w:val="0"/>
              <w:jc w:val="center"/>
              <w:rPr>
                <w:rFonts w:cs="宋体"/>
                <w:kern w:val="0"/>
                <w:szCs w:val="21"/>
              </w:rPr>
            </w:pPr>
            <w:r>
              <w:rPr>
                <w:rFonts w:hint="eastAsia" w:cs="宋体"/>
                <w:kern w:val="0"/>
                <w:sz w:val="24"/>
              </w:rPr>
              <w:t>现状</w:t>
            </w:r>
          </w:p>
        </w:tc>
        <w:tc>
          <w:tcPr>
            <w:tcW w:w="8069" w:type="dxa"/>
            <w:vAlign w:val="center"/>
          </w:tcPr>
          <w:p>
            <w:pPr>
              <w:spacing w:line="440" w:lineRule="exact"/>
              <w:rPr>
                <w:b/>
                <w:color w:val="000000"/>
                <w:sz w:val="24"/>
              </w:rPr>
            </w:pPr>
            <w:r>
              <w:rPr>
                <w:rFonts w:hint="eastAsia"/>
                <w:b/>
                <w:color w:val="000000"/>
                <w:sz w:val="24"/>
              </w:rPr>
              <w:t>建设项目所在地区域环境质量现状及主要环境问题（环境空气、地面水、地下水、声环境、生态环境等）：</w:t>
            </w:r>
          </w:p>
          <w:p>
            <w:pPr>
              <w:pStyle w:val="10"/>
              <w:spacing w:line="460" w:lineRule="exact"/>
              <w:ind w:right="122" w:firstLine="361" w:firstLineChars="150"/>
              <w:rPr>
                <w:b/>
                <w:color w:val="000000"/>
                <w:kern w:val="2"/>
                <w:sz w:val="24"/>
                <w:szCs w:val="24"/>
              </w:rPr>
            </w:pPr>
            <w:r>
              <w:rPr>
                <w:b/>
                <w:color w:val="000000"/>
                <w:sz w:val="24"/>
                <w:szCs w:val="24"/>
              </w:rPr>
              <w:t>1、环境空气质量现状</w:t>
            </w:r>
          </w:p>
          <w:p>
            <w:pPr>
              <w:spacing w:line="360" w:lineRule="auto"/>
              <w:ind w:firstLine="482"/>
              <w:rPr>
                <w:sz w:val="24"/>
              </w:rPr>
            </w:pPr>
            <w:r>
              <w:rPr>
                <w:sz w:val="24"/>
              </w:rPr>
              <w:t>本次评价选取2020年作为评价基准年，</w:t>
            </w:r>
            <w:r>
              <w:rPr>
                <w:rFonts w:hint="eastAsia"/>
                <w:sz w:val="24"/>
              </w:rPr>
              <w:t>根据</w:t>
            </w:r>
            <w:r>
              <w:rPr>
                <w:sz w:val="24"/>
              </w:rPr>
              <w:t>芜湖市</w:t>
            </w:r>
            <w:r>
              <w:rPr>
                <w:rFonts w:hint="eastAsia"/>
                <w:sz w:val="24"/>
              </w:rPr>
              <w:t>生态</w:t>
            </w:r>
            <w:r>
              <w:rPr>
                <w:sz w:val="24"/>
              </w:rPr>
              <w:t>环境局网站公示的</w:t>
            </w:r>
            <w:r>
              <w:rPr>
                <w:rFonts w:hint="eastAsia"/>
                <w:sz w:val="24"/>
              </w:rPr>
              <w:t>20</w:t>
            </w:r>
            <w:r>
              <w:rPr>
                <w:sz w:val="24"/>
              </w:rPr>
              <w:t>20年</w:t>
            </w:r>
            <w:r>
              <w:rPr>
                <w:rFonts w:hint="eastAsia"/>
                <w:sz w:val="24"/>
              </w:rPr>
              <w:t>芜湖市生态环境状况公报（</w:t>
            </w:r>
            <w:r>
              <w:fldChar w:fldCharType="begin"/>
            </w:r>
            <w:r>
              <w:instrText xml:space="preserve"> HYPERLINK "http://sthjj.wuhu.gov.cn/hbyw/hjzl/hjzlgb/8284951.html）" </w:instrText>
            </w:r>
            <w:r>
              <w:fldChar w:fldCharType="separate"/>
            </w:r>
            <w:r>
              <w:rPr>
                <w:rStyle w:val="61"/>
                <w:sz w:val="24"/>
              </w:rPr>
              <w:t>http://sthjj.wuhu.gov.cn/hbyw/hjzl/hjzlgb/8284951.html</w:t>
            </w:r>
            <w:r>
              <w:rPr>
                <w:rStyle w:val="61"/>
                <w:rFonts w:hint="eastAsia"/>
                <w:sz w:val="24"/>
              </w:rPr>
              <w:t>）</w:t>
            </w:r>
            <w:r>
              <w:rPr>
                <w:rStyle w:val="61"/>
                <w:rFonts w:hint="eastAsia"/>
                <w:sz w:val="24"/>
              </w:rPr>
              <w:fldChar w:fldCharType="end"/>
            </w:r>
            <w:r>
              <w:rPr>
                <w:rFonts w:hint="eastAsia"/>
                <w:sz w:val="24"/>
              </w:rPr>
              <w:t>20</w:t>
            </w:r>
            <w:r>
              <w:rPr>
                <w:sz w:val="24"/>
              </w:rPr>
              <w:t>20</w:t>
            </w:r>
            <w:r>
              <w:rPr>
                <w:rFonts w:hint="eastAsia"/>
                <w:sz w:val="24"/>
              </w:rPr>
              <w:t>年：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line="360" w:lineRule="auto"/>
              <w:ind w:firstLine="480" w:firstLineChars="200"/>
              <w:rPr>
                <w:sz w:val="24"/>
              </w:rPr>
            </w:pPr>
            <w:r>
              <w:rPr>
                <w:rFonts w:hint="eastAsia"/>
                <w:sz w:val="24"/>
              </w:rPr>
              <w:t>20</w:t>
            </w:r>
            <w:r>
              <w:rPr>
                <w:sz w:val="24"/>
              </w:rPr>
              <w:t>20</w:t>
            </w:r>
            <w:r>
              <w:rPr>
                <w:rFonts w:hint="eastAsia"/>
                <w:sz w:val="24"/>
              </w:rPr>
              <w:t>年，三山区设置1座空气质量监测站点。站点采用空气质量自动监测系统监测</w:t>
            </w:r>
            <w:r>
              <w:rPr>
                <w:sz w:val="24"/>
              </w:rPr>
              <w:t>。</w:t>
            </w:r>
            <w:r>
              <w:rPr>
                <w:rFonts w:hint="eastAsia"/>
                <w:sz w:val="24"/>
              </w:rPr>
              <w:t>以下为三山区1座监测站首要污染物浓度一览表</w:t>
            </w:r>
            <w:r>
              <w:rPr>
                <w:sz w:val="24"/>
              </w:rPr>
              <w:t>。</w:t>
            </w:r>
          </w:p>
          <w:p>
            <w:pPr>
              <w:spacing w:before="120" w:beforeLines="50"/>
              <w:jc w:val="center"/>
              <w:rPr>
                <w:b/>
                <w:sz w:val="24"/>
              </w:rPr>
            </w:pPr>
            <w:r>
              <w:rPr>
                <w:b/>
                <w:sz w:val="24"/>
              </w:rPr>
              <w:t>表</w:t>
            </w:r>
            <w:r>
              <w:rPr>
                <w:rFonts w:hint="eastAsia"/>
                <w:b/>
                <w:sz w:val="24"/>
              </w:rPr>
              <w:t>3-1</w:t>
            </w:r>
            <w:r>
              <w:rPr>
                <w:b/>
                <w:sz w:val="24"/>
              </w:rPr>
              <w:t xml:space="preserve">  </w:t>
            </w:r>
            <w:r>
              <w:rPr>
                <w:rFonts w:hint="eastAsia"/>
                <w:b/>
                <w:sz w:val="24"/>
              </w:rPr>
              <w:t>三山区</w:t>
            </w:r>
            <w:r>
              <w:rPr>
                <w:b/>
                <w:sz w:val="24"/>
              </w:rPr>
              <w:t>环境空气</w:t>
            </w:r>
            <w:r>
              <w:rPr>
                <w:rFonts w:hint="eastAsia"/>
                <w:b/>
                <w:sz w:val="24"/>
              </w:rPr>
              <w:t>首要污染物平均浓度值汇总</w:t>
            </w:r>
            <w:r>
              <w:rPr>
                <w:b/>
                <w:sz w:val="24"/>
              </w:rPr>
              <w:t>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3072"/>
              <w:gridCol w:w="3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9" w:hRule="atLeast"/>
                <w:jc w:val="center"/>
              </w:trPr>
              <w:tc>
                <w:tcPr>
                  <w:tcW w:w="1565" w:type="dxa"/>
                  <w:vMerge w:val="restart"/>
                  <w:tcBorders>
                    <w:top w:val="single" w:color="auto" w:sz="12" w:space="0"/>
                    <w:left w:val="nil"/>
                    <w:bottom w:val="single" w:color="auto" w:sz="4" w:space="0"/>
                    <w:right w:val="single" w:color="auto" w:sz="4" w:space="0"/>
                  </w:tcBorders>
                  <w:vAlign w:val="center"/>
                </w:tcPr>
                <w:p>
                  <w:pPr>
                    <w:jc w:val="right"/>
                    <w:rPr>
                      <w:b/>
                      <w:szCs w:val="21"/>
                    </w:rPr>
                  </w:pPr>
                  <w:r>
                    <w:rPr>
                      <w:rFonts w:hint="eastAsia"/>
                      <w:b/>
                    </w:rPr>
                    <w:t>站点</w:t>
                  </w:r>
                </w:p>
                <w:p>
                  <w:pPr>
                    <w:rPr>
                      <w:b/>
                    </w:rPr>
                  </w:pPr>
                  <w:r>
                    <w:rPr>
                      <w:b/>
                    </w:rPr>
                    <w:t>监测项</w:t>
                  </w:r>
                </w:p>
              </w:tc>
              <w:tc>
                <w:tcPr>
                  <w:tcW w:w="6034" w:type="dxa"/>
                  <w:gridSpan w:val="2"/>
                  <w:tcBorders>
                    <w:top w:val="single" w:color="auto" w:sz="12" w:space="0"/>
                    <w:left w:val="nil"/>
                    <w:bottom w:val="single" w:color="auto" w:sz="4" w:space="0"/>
                    <w:right w:val="nil"/>
                  </w:tcBorders>
                  <w:vAlign w:val="center"/>
                </w:tcPr>
                <w:p>
                  <w:pPr>
                    <w:jc w:val="center"/>
                    <w:rPr>
                      <w:b/>
                    </w:rPr>
                  </w:pPr>
                  <w:r>
                    <w:rPr>
                      <w:rFonts w:hint="eastAsia"/>
                      <w:b/>
                    </w:rPr>
                    <w:t>20</w:t>
                  </w:r>
                  <w:r>
                    <w:rPr>
                      <w:b/>
                    </w:rPr>
                    <w:t>20</w:t>
                  </w:r>
                  <w:r>
                    <w:rPr>
                      <w:rFonts w:hint="eastAsia"/>
                      <w:b/>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565" w:type="dxa"/>
                  <w:vMerge w:val="continue"/>
                  <w:tcBorders>
                    <w:top w:val="single" w:color="auto" w:sz="12" w:space="0"/>
                    <w:left w:val="nil"/>
                    <w:bottom w:val="single" w:color="auto" w:sz="4" w:space="0"/>
                    <w:right w:val="single" w:color="auto" w:sz="4" w:space="0"/>
                  </w:tcBorders>
                  <w:vAlign w:val="center"/>
                </w:tcPr>
                <w:p>
                  <w:pPr>
                    <w:widowControl/>
                    <w:jc w:val="left"/>
                    <w:rPr>
                      <w:b/>
                      <w:szCs w:val="21"/>
                    </w:rPr>
                  </w:pPr>
                </w:p>
              </w:tc>
              <w:tc>
                <w:tcPr>
                  <w:tcW w:w="2976" w:type="dxa"/>
                  <w:tcBorders>
                    <w:top w:val="single" w:color="auto" w:sz="4" w:space="0"/>
                    <w:left w:val="nil"/>
                    <w:bottom w:val="single" w:color="auto" w:sz="4" w:space="0"/>
                    <w:right w:val="single" w:color="auto" w:sz="4" w:space="0"/>
                  </w:tcBorders>
                  <w:vAlign w:val="center"/>
                </w:tcPr>
                <w:p>
                  <w:pPr>
                    <w:ind w:left="-105" w:leftChars="-50" w:right="-105" w:rightChars="-50"/>
                    <w:jc w:val="center"/>
                    <w:rPr>
                      <w:b/>
                    </w:rPr>
                  </w:pPr>
                  <w:r>
                    <w:rPr>
                      <w:rFonts w:hint="eastAsia"/>
                      <w:b/>
                    </w:rPr>
                    <w:t>扬子学院</w:t>
                  </w:r>
                </w:p>
              </w:tc>
              <w:tc>
                <w:tcPr>
                  <w:tcW w:w="3058" w:type="dxa"/>
                  <w:tcBorders>
                    <w:top w:val="single" w:color="auto" w:sz="4" w:space="0"/>
                    <w:left w:val="nil"/>
                    <w:bottom w:val="single" w:color="auto" w:sz="4" w:space="0"/>
                    <w:right w:val="nil"/>
                  </w:tcBorders>
                  <w:vAlign w:val="center"/>
                </w:tcPr>
                <w:p>
                  <w:pPr>
                    <w:jc w:val="center"/>
                    <w:rPr>
                      <w:b/>
                    </w:rPr>
                  </w:pPr>
                  <w:r>
                    <w:rPr>
                      <w:b/>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rPr>
                      <w:rFonts w:hint="eastAsia"/>
                    </w:rPr>
                    <w:t>S</w:t>
                  </w:r>
                  <w:r>
                    <w:t>O</w:t>
                  </w:r>
                  <w:r>
                    <w:rPr>
                      <w:vertAlign w:val="subscript"/>
                    </w:rPr>
                    <w:t>2</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8</w:t>
                  </w:r>
                  <w:r>
                    <w:t>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rPr>
                      <w:rFonts w:hint="eastAsia"/>
                    </w:rPr>
                    <w:t>6</w:t>
                  </w:r>
                  <w:r>
                    <w:t>0</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t>NO</w:t>
                  </w:r>
                  <w:r>
                    <w:rPr>
                      <w:vertAlign w:val="subscript"/>
                    </w:rPr>
                    <w:t>2</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2</w:t>
                  </w:r>
                  <w:r>
                    <w:t>7μg/m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40</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t>PM</w:t>
                  </w:r>
                  <w:r>
                    <w:rPr>
                      <w:vertAlign w:val="subscript"/>
                    </w:rPr>
                    <w:t>10</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6</w:t>
                  </w:r>
                  <w:r>
                    <w:t>1μg/m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70</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t>PM</w:t>
                  </w:r>
                  <w:r>
                    <w:rPr>
                      <w:vertAlign w:val="subscript"/>
                    </w:rPr>
                    <w:t>2.5</w:t>
                  </w:r>
                  <w:r>
                    <w:t>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3</w:t>
                  </w:r>
                  <w:r>
                    <w:t>5μg/m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35</w:t>
                  </w:r>
                  <w:r>
                    <w:rPr>
                      <w:rFonts w:hint="eastAsia"/>
                    </w:rPr>
                    <w:t> </w:t>
                  </w:r>
                  <w:r>
                    <w:t>μg/m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565" w:type="dxa"/>
                  <w:tcBorders>
                    <w:top w:val="single" w:color="auto" w:sz="4" w:space="0"/>
                    <w:left w:val="nil"/>
                    <w:bottom w:val="single" w:color="auto" w:sz="4" w:space="0"/>
                    <w:right w:val="single" w:color="auto" w:sz="4" w:space="0"/>
                  </w:tcBorders>
                  <w:vAlign w:val="center"/>
                </w:tcPr>
                <w:p>
                  <w:pPr>
                    <w:jc w:val="center"/>
                  </w:pPr>
                  <w:r>
                    <w:rPr>
                      <w:rFonts w:hint="eastAsia"/>
                    </w:rPr>
                    <w:t>C</w:t>
                  </w:r>
                  <w:r>
                    <w:t>O年平均</w:t>
                  </w:r>
                </w:p>
              </w:tc>
              <w:tc>
                <w:tcPr>
                  <w:tcW w:w="2976" w:type="dxa"/>
                  <w:tcBorders>
                    <w:top w:val="single" w:color="auto" w:sz="4" w:space="0"/>
                    <w:left w:val="nil"/>
                    <w:bottom w:val="single" w:color="auto" w:sz="4" w:space="0"/>
                    <w:right w:val="single" w:color="auto" w:sz="4" w:space="0"/>
                  </w:tcBorders>
                  <w:vAlign w:val="center"/>
                </w:tcPr>
                <w:p>
                  <w:pPr>
                    <w:jc w:val="center"/>
                  </w:pPr>
                  <w:r>
                    <w:rPr>
                      <w:rFonts w:hint="eastAsia"/>
                    </w:rPr>
                    <w:t>1.</w:t>
                  </w:r>
                  <w:r>
                    <w:t>2 mg/m</w:t>
                  </w:r>
                  <w:r>
                    <w:rPr>
                      <w:vertAlign w:val="superscript"/>
                    </w:rPr>
                    <w:t>3</w:t>
                  </w:r>
                </w:p>
              </w:tc>
              <w:tc>
                <w:tcPr>
                  <w:tcW w:w="3058" w:type="dxa"/>
                  <w:tcBorders>
                    <w:top w:val="single" w:color="auto" w:sz="4" w:space="0"/>
                    <w:left w:val="nil"/>
                    <w:bottom w:val="single" w:color="auto" w:sz="4" w:space="0"/>
                    <w:right w:val="nil"/>
                  </w:tcBorders>
                  <w:vAlign w:val="center"/>
                </w:tcPr>
                <w:p>
                  <w:pPr>
                    <w:jc w:val="center"/>
                  </w:pPr>
                  <w:r>
                    <w:t>4 mg/m</w:t>
                  </w:r>
                  <w:r>
                    <w:rPr>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1565" w:type="dxa"/>
                  <w:tcBorders>
                    <w:top w:val="single" w:color="auto" w:sz="4" w:space="0"/>
                    <w:left w:val="nil"/>
                    <w:bottom w:val="single" w:color="auto" w:sz="12" w:space="0"/>
                    <w:right w:val="single" w:color="auto" w:sz="4" w:space="0"/>
                  </w:tcBorders>
                  <w:vAlign w:val="center"/>
                </w:tcPr>
                <w:p>
                  <w:pPr>
                    <w:ind w:left="-105" w:leftChars="-50" w:right="-105" w:rightChars="-50"/>
                    <w:jc w:val="center"/>
                  </w:pPr>
                  <w:r>
                    <w:t>O</w:t>
                  </w:r>
                  <w:r>
                    <w:rPr>
                      <w:vertAlign w:val="subscript"/>
                    </w:rPr>
                    <w:t>3</w:t>
                  </w:r>
                  <w:r>
                    <w:t> </w:t>
                  </w:r>
                  <w:r>
                    <w:rPr>
                      <w:rFonts w:hint="eastAsia"/>
                    </w:rPr>
                    <w:t>日最大</w:t>
                  </w:r>
                  <w:r>
                    <w:t>8h平均</w:t>
                  </w:r>
                </w:p>
              </w:tc>
              <w:tc>
                <w:tcPr>
                  <w:tcW w:w="2976" w:type="dxa"/>
                  <w:tcBorders>
                    <w:top w:val="single" w:color="auto" w:sz="4" w:space="0"/>
                    <w:left w:val="nil"/>
                    <w:bottom w:val="single" w:color="auto" w:sz="12" w:space="0"/>
                    <w:right w:val="single" w:color="auto" w:sz="4" w:space="0"/>
                  </w:tcBorders>
                  <w:vAlign w:val="center"/>
                </w:tcPr>
                <w:p>
                  <w:pPr>
                    <w:jc w:val="center"/>
                  </w:pPr>
                  <w:r>
                    <w:t>150μg/m</w:t>
                  </w:r>
                  <w:r>
                    <w:rPr>
                      <w:vertAlign w:val="superscript"/>
                    </w:rPr>
                    <w:t>3</w:t>
                  </w:r>
                </w:p>
              </w:tc>
              <w:tc>
                <w:tcPr>
                  <w:tcW w:w="3058" w:type="dxa"/>
                  <w:tcBorders>
                    <w:top w:val="single" w:color="auto" w:sz="4" w:space="0"/>
                    <w:left w:val="nil"/>
                    <w:bottom w:val="single" w:color="auto" w:sz="12" w:space="0"/>
                    <w:right w:val="nil"/>
                  </w:tcBorders>
                  <w:vAlign w:val="center"/>
                </w:tcPr>
                <w:p>
                  <w:pPr>
                    <w:jc w:val="center"/>
                  </w:pPr>
                  <w:r>
                    <w:rPr>
                      <w:rFonts w:hint="eastAsia"/>
                    </w:rPr>
                    <w:t xml:space="preserve">160 </w:t>
                  </w:r>
                  <w:r>
                    <w:t>μg/m</w:t>
                  </w:r>
                  <w:r>
                    <w:rPr>
                      <w:vertAlign w:val="superscript"/>
                    </w:rPr>
                    <w:t>3</w:t>
                  </w:r>
                </w:p>
              </w:tc>
            </w:tr>
          </w:tbl>
          <w:p>
            <w:pPr>
              <w:spacing w:line="360" w:lineRule="auto"/>
              <w:ind w:firstLine="480" w:firstLineChars="200"/>
              <w:rPr>
                <w:rFonts w:hint="eastAsia"/>
                <w:kern w:val="0"/>
                <w:sz w:val="24"/>
              </w:rPr>
            </w:pPr>
            <w:r>
              <w:rPr>
                <w:sz w:val="24"/>
              </w:rPr>
              <w:t>由上表分析可知：判定项目所在地</w:t>
            </w:r>
            <w:r>
              <w:rPr>
                <w:rFonts w:hint="eastAsia"/>
                <w:sz w:val="24"/>
              </w:rPr>
              <w:t>三山区</w:t>
            </w:r>
            <w:r>
              <w:rPr>
                <w:sz w:val="24"/>
              </w:rPr>
              <w:t>环境空气为</w:t>
            </w:r>
            <w:r>
              <w:rPr>
                <w:rFonts w:hint="eastAsia"/>
                <w:sz w:val="24"/>
              </w:rPr>
              <w:t>“</w:t>
            </w:r>
            <w:r>
              <w:rPr>
                <w:sz w:val="24"/>
              </w:rPr>
              <w:t>达标区</w:t>
            </w:r>
            <w:r>
              <w:rPr>
                <w:rFonts w:hint="eastAsia"/>
                <w:sz w:val="24"/>
              </w:rPr>
              <w:t>”</w:t>
            </w:r>
            <w:r>
              <w:rPr>
                <w:rFonts w:hint="eastAsia"/>
                <w:kern w:val="0"/>
                <w:sz w:val="24"/>
                <w:lang w:eastAsia="zh-CN"/>
              </w:rPr>
              <w:t>，</w:t>
            </w:r>
            <w:r>
              <w:rPr>
                <w:rFonts w:hint="eastAsia"/>
                <w:kern w:val="0"/>
                <w:sz w:val="24"/>
              </w:rPr>
              <w:t xml:space="preserve"> PM2.5 刚好达标，原因可能为：县区受区域扬尘、道路工程施工、工业污染源排放量偏高，以及外源污染传输叠加影响。</w:t>
            </w:r>
          </w:p>
          <w:p>
            <w:pPr>
              <w:spacing w:line="360" w:lineRule="auto"/>
              <w:ind w:firstLine="482" w:firstLineChars="200"/>
              <w:rPr>
                <w:b/>
                <w:bCs/>
                <w:color w:val="000000"/>
                <w:sz w:val="24"/>
              </w:rPr>
            </w:pPr>
            <w:r>
              <w:rPr>
                <w:b/>
                <w:bCs/>
                <w:color w:val="000000"/>
                <w:sz w:val="24"/>
              </w:rPr>
              <w:t>2、地表水环境</w:t>
            </w:r>
          </w:p>
          <w:p>
            <w:pPr>
              <w:spacing w:line="360" w:lineRule="auto"/>
              <w:ind w:firstLine="480" w:firstLineChars="200"/>
              <w:rPr>
                <w:bCs/>
                <w:sz w:val="24"/>
              </w:rPr>
            </w:pPr>
            <w:r>
              <w:rPr>
                <w:bCs/>
                <w:sz w:val="24"/>
              </w:rPr>
              <w:t>本次环评依据芜湖市生态环境局发布的《2020年芜湖市环境状况公报》进行区域达标性判断评价，对项目所在区域水环境质量现状进行分析。</w:t>
            </w:r>
          </w:p>
          <w:p>
            <w:pPr>
              <w:spacing w:line="360" w:lineRule="auto"/>
              <w:ind w:firstLine="480" w:firstLineChars="200"/>
              <w:rPr>
                <w:bCs/>
                <w:sz w:val="24"/>
              </w:rPr>
            </w:pPr>
            <w:r>
              <w:rPr>
                <w:bCs/>
                <w:sz w:val="24"/>
              </w:rPr>
              <w:t>（1）河流</w:t>
            </w:r>
          </w:p>
          <w:p>
            <w:pPr>
              <w:spacing w:line="360" w:lineRule="auto"/>
              <w:ind w:firstLine="480" w:firstLineChars="200"/>
              <w:rPr>
                <w:bCs/>
                <w:sz w:val="24"/>
              </w:rPr>
            </w:pPr>
            <w:r>
              <w:rPr>
                <w:bCs/>
                <w:sz w:val="24"/>
              </w:rPr>
              <w:t>全市列入国家水质考核断面共有6个，长江东西梁山、漳河澛港桥、青山河查湾、青弋江宝塔根、裕溪河裕溪口、黄浒河荻港6个断面水质均值达到《地表水环境质量标准》（GB3838-2002）Ⅱ类标准，其中青弋江宝塔根、裕溪河裕溪口、黄浒河荻港3个国控断面优于国家考核要求。</w:t>
            </w:r>
          </w:p>
          <w:p>
            <w:pPr>
              <w:spacing w:line="360" w:lineRule="auto"/>
              <w:ind w:firstLine="480" w:firstLineChars="200"/>
              <w:rPr>
                <w:bCs/>
                <w:sz w:val="24"/>
              </w:rPr>
            </w:pPr>
            <w:r>
              <w:rPr>
                <w:bCs/>
                <w:sz w:val="24"/>
              </w:rPr>
              <w:t>县级及以上集中式饮用水水源地</w:t>
            </w:r>
          </w:p>
          <w:p>
            <w:pPr>
              <w:spacing w:line="360" w:lineRule="auto"/>
              <w:ind w:firstLine="480" w:firstLineChars="200"/>
              <w:rPr>
                <w:bCs/>
                <w:sz w:val="24"/>
              </w:rPr>
            </w:pPr>
            <w:r>
              <w:rPr>
                <w:bCs/>
                <w:sz w:val="24"/>
              </w:rPr>
              <w:t>全市市级集中式饮用水水源地共2个（二水厂和四水厂），取水口均位于长江，按每月对水源地开展的水质61项指标检测结果评价，每年3月、7月进行的109项全指标分析，水源地总体水质符合国家《地表水环境质量标准》（GB3838-2002）Ⅲ类标准，满足生活饮用水源地水质要求，水质达标率为100%。</w:t>
            </w:r>
          </w:p>
          <w:p>
            <w:pPr>
              <w:spacing w:line="360" w:lineRule="auto"/>
              <w:ind w:firstLine="480" w:firstLineChars="200"/>
              <w:rPr>
                <w:bCs/>
                <w:sz w:val="24"/>
              </w:rPr>
            </w:pPr>
            <w:r>
              <w:rPr>
                <w:bCs/>
                <w:sz w:val="24"/>
              </w:rPr>
              <w:t>全市县级集中式饮用水水源地共4个，取水口位于长江、青弋江和西河，按每季度对水源地开展的水质61项指标检测结果评价，每年6</w:t>
            </w:r>
            <w:r>
              <w:rPr>
                <w:rFonts w:hint="eastAsia"/>
                <w:bCs/>
                <w:sz w:val="24"/>
              </w:rPr>
              <w:t>~</w:t>
            </w:r>
            <w:r>
              <w:rPr>
                <w:bCs/>
                <w:sz w:val="24"/>
              </w:rPr>
              <w:t>7月开展的109项全指标检测结果符合《地表水环境质量标准》（GB3838-2002）Ⅲ类水标准，水质达标率为100%。</w:t>
            </w:r>
          </w:p>
          <w:p>
            <w:pPr>
              <w:spacing w:line="360" w:lineRule="auto"/>
              <w:ind w:firstLine="480" w:firstLineChars="200"/>
              <w:rPr>
                <w:bCs/>
                <w:sz w:val="24"/>
              </w:rPr>
            </w:pPr>
            <w:r>
              <w:rPr>
                <w:bCs/>
                <w:sz w:val="24"/>
              </w:rPr>
              <w:t>监测结果详见</w:t>
            </w:r>
            <w:r>
              <w:rPr>
                <w:rFonts w:hint="eastAsia"/>
                <w:bCs/>
                <w:sz w:val="24"/>
              </w:rPr>
              <w:t>下表</w:t>
            </w:r>
            <w:r>
              <w:rPr>
                <w:bCs/>
                <w:sz w:val="24"/>
              </w:rPr>
              <w:t>：</w:t>
            </w:r>
          </w:p>
          <w:p>
            <w:pPr>
              <w:ind w:firstLine="482" w:firstLineChars="200"/>
              <w:jc w:val="center"/>
              <w:rPr>
                <w:b/>
                <w:bCs/>
                <w:sz w:val="24"/>
              </w:rPr>
            </w:pPr>
            <w:r>
              <w:rPr>
                <w:rFonts w:hint="eastAsia"/>
                <w:b/>
                <w:bCs/>
                <w:sz w:val="24"/>
              </w:rPr>
              <w:t>表</w:t>
            </w:r>
            <w:r>
              <w:rPr>
                <w:b/>
                <w:bCs/>
                <w:sz w:val="24"/>
              </w:rPr>
              <w:t>3-</w:t>
            </w:r>
            <w:r>
              <w:rPr>
                <w:rFonts w:hint="eastAsia"/>
                <w:b/>
                <w:bCs/>
                <w:sz w:val="24"/>
                <w:lang w:val="en-US" w:eastAsia="zh-CN"/>
              </w:rPr>
              <w:t>2</w:t>
            </w:r>
            <w:r>
              <w:rPr>
                <w:b/>
                <w:bCs/>
                <w:sz w:val="24"/>
              </w:rPr>
              <w:t xml:space="preserve">  </w:t>
            </w:r>
            <w:r>
              <w:rPr>
                <w:rFonts w:hint="eastAsia"/>
                <w:b/>
                <w:bCs/>
                <w:sz w:val="24"/>
              </w:rPr>
              <w:t>县市级集中饮用水源地分布及水质达标情况</w:t>
            </w:r>
          </w:p>
          <w:tbl>
            <w:tblPr>
              <w:tblStyle w:val="26"/>
              <w:tblW w:w="4786" w:type="pct"/>
              <w:tblInd w:w="216"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507"/>
              <w:gridCol w:w="756"/>
              <w:gridCol w:w="1246"/>
              <w:gridCol w:w="1918"/>
              <w:gridCol w:w="10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507"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集中式饮用水水源地名称</w:t>
                  </w:r>
                </w:p>
              </w:tc>
              <w:tc>
                <w:tcPr>
                  <w:tcW w:w="756"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级别</w:t>
                  </w:r>
                </w:p>
              </w:tc>
              <w:tc>
                <w:tcPr>
                  <w:tcW w:w="1246"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监测频次</w:t>
                  </w:r>
                </w:p>
              </w:tc>
              <w:tc>
                <w:tcPr>
                  <w:tcW w:w="1918" w:type="dxa"/>
                  <w:tcBorders>
                    <w:top w:val="single" w:color="auto" w:sz="12"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检测项目（109项或者28项）</w:t>
                  </w:r>
                </w:p>
              </w:tc>
              <w:tc>
                <w:tcPr>
                  <w:tcW w:w="1090" w:type="dxa"/>
                  <w:tcBorders>
                    <w:top w:val="single" w:color="auto" w:sz="12"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b/>
                      <w:color w:val="000000"/>
                      <w:sz w:val="21"/>
                      <w:szCs w:val="21"/>
                    </w:rPr>
                    <w:t>达标率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二水厂取水口</w:t>
                  </w:r>
                </w:p>
              </w:tc>
              <w:tc>
                <w:tcPr>
                  <w:tcW w:w="75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市级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12次/年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四水厂取水口</w:t>
                  </w:r>
                </w:p>
              </w:tc>
              <w:tc>
                <w:tcPr>
                  <w:tcW w:w="75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市级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12次/年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芜湖县供水有限公司取水口</w:t>
                  </w:r>
                </w:p>
              </w:tc>
              <w:tc>
                <w:tcPr>
                  <w:tcW w:w="75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县级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南陵县麒麟自来水厂青弋江取水口</w:t>
                  </w:r>
                </w:p>
              </w:tc>
              <w:tc>
                <w:tcPr>
                  <w:tcW w:w="756" w:type="dxa"/>
                  <w:tcBorders>
                    <w:top w:val="single" w:color="auto" w:sz="4" w:space="0"/>
                    <w:left w:val="nil"/>
                    <w:bottom w:val="single" w:color="auto" w:sz="4" w:space="0"/>
                    <w:right w:val="single" w:color="auto" w:sz="4" w:space="0"/>
                  </w:tcBorders>
                  <w:vAlign w:val="center"/>
                </w:tcPr>
                <w:p>
                  <w:pPr>
                    <w:widowControl/>
                    <w:jc w:val="center"/>
                    <w:rPr>
                      <w:color w:val="000000"/>
                      <w:szCs w:val="21"/>
                    </w:rPr>
                  </w:pPr>
                  <w:r>
                    <w:rPr>
                      <w:color w:val="000000"/>
                      <w:kern w:val="0"/>
                    </w:rPr>
                    <w:t>县级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507"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无为县自来水厂长江取水口</w:t>
                  </w:r>
                </w:p>
              </w:tc>
              <w:tc>
                <w:tcPr>
                  <w:tcW w:w="756" w:type="dxa"/>
                  <w:tcBorders>
                    <w:top w:val="single" w:color="auto" w:sz="4" w:space="0"/>
                    <w:left w:val="nil"/>
                    <w:bottom w:val="single" w:color="auto" w:sz="4" w:space="0"/>
                    <w:right w:val="single" w:color="auto" w:sz="4" w:space="0"/>
                  </w:tcBorders>
                  <w:vAlign w:val="center"/>
                </w:tcPr>
                <w:p>
                  <w:pPr>
                    <w:widowControl/>
                    <w:jc w:val="center"/>
                    <w:rPr>
                      <w:color w:val="000000"/>
                      <w:szCs w:val="21"/>
                    </w:rPr>
                  </w:pPr>
                  <w:r>
                    <w:rPr>
                      <w:color w:val="000000"/>
                      <w:kern w:val="0"/>
                    </w:rPr>
                    <w:t>县级</w:t>
                  </w:r>
                </w:p>
              </w:tc>
              <w:tc>
                <w:tcPr>
                  <w:tcW w:w="1246"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4"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4"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507" w:type="dxa"/>
                  <w:tcBorders>
                    <w:top w:val="single" w:color="auto" w:sz="4" w:space="0"/>
                    <w:left w:val="nil"/>
                    <w:bottom w:val="single" w:color="auto" w:sz="12"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繁昌县长江新港取水口</w:t>
                  </w:r>
                </w:p>
              </w:tc>
              <w:tc>
                <w:tcPr>
                  <w:tcW w:w="756" w:type="dxa"/>
                  <w:tcBorders>
                    <w:top w:val="single" w:color="auto" w:sz="4" w:space="0"/>
                    <w:left w:val="nil"/>
                    <w:bottom w:val="single" w:color="auto" w:sz="12" w:space="0"/>
                    <w:right w:val="single" w:color="auto" w:sz="4" w:space="0"/>
                  </w:tcBorders>
                  <w:vAlign w:val="center"/>
                </w:tcPr>
                <w:p>
                  <w:pPr>
                    <w:widowControl/>
                    <w:jc w:val="center"/>
                    <w:rPr>
                      <w:color w:val="000000"/>
                      <w:szCs w:val="21"/>
                    </w:rPr>
                  </w:pPr>
                  <w:r>
                    <w:rPr>
                      <w:color w:val="000000"/>
                      <w:kern w:val="0"/>
                    </w:rPr>
                    <w:t>县级</w:t>
                  </w:r>
                </w:p>
              </w:tc>
              <w:tc>
                <w:tcPr>
                  <w:tcW w:w="1246" w:type="dxa"/>
                  <w:tcBorders>
                    <w:top w:val="single" w:color="auto" w:sz="4" w:space="0"/>
                    <w:left w:val="nil"/>
                    <w:bottom w:val="single" w:color="auto" w:sz="12"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4次/年</w:t>
                  </w:r>
                </w:p>
              </w:tc>
              <w:tc>
                <w:tcPr>
                  <w:tcW w:w="1918" w:type="dxa"/>
                  <w:tcBorders>
                    <w:top w:val="single" w:color="auto" w:sz="4" w:space="0"/>
                    <w:left w:val="nil"/>
                    <w:bottom w:val="single" w:color="auto" w:sz="12" w:space="0"/>
                    <w:right w:val="single" w:color="auto" w:sz="4" w:space="0"/>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61项（全分析109项）</w:t>
                  </w:r>
                </w:p>
              </w:tc>
              <w:tc>
                <w:tcPr>
                  <w:tcW w:w="1090" w:type="dxa"/>
                  <w:tcBorders>
                    <w:top w:val="single" w:color="auto" w:sz="4" w:space="0"/>
                    <w:left w:val="nil"/>
                    <w:bottom w:val="single" w:color="auto" w:sz="12" w:space="0"/>
                    <w:right w:val="nil"/>
                  </w:tcBorders>
                  <w:vAlign w:val="center"/>
                </w:tcPr>
                <w:p>
                  <w:pPr>
                    <w:pStyle w:val="24"/>
                    <w:spacing w:before="0" w:beforeAutospacing="0" w:after="0" w:afterAutospacing="0"/>
                    <w:jc w:val="center"/>
                    <w:rPr>
                      <w:rFonts w:ascii="Times New Roman" w:hAnsi="Times New Roman"/>
                      <w:color w:val="000000"/>
                      <w:sz w:val="21"/>
                      <w:szCs w:val="21"/>
                    </w:rPr>
                  </w:pPr>
                  <w:r>
                    <w:rPr>
                      <w:rFonts w:ascii="Times New Roman" w:hAnsi="Times New Roman"/>
                      <w:color w:val="000000"/>
                      <w:sz w:val="21"/>
                      <w:szCs w:val="21"/>
                    </w:rPr>
                    <w:t>100%</w:t>
                  </w:r>
                </w:p>
              </w:tc>
            </w:tr>
          </w:tbl>
          <w:p>
            <w:pPr>
              <w:spacing w:line="360" w:lineRule="auto"/>
              <w:ind w:firstLine="480" w:firstLineChars="200"/>
              <w:rPr>
                <w:szCs w:val="21"/>
              </w:rPr>
            </w:pPr>
            <w:r>
              <w:rPr>
                <w:rFonts w:hint="eastAsia"/>
                <w:bCs/>
                <w:sz w:val="24"/>
              </w:rPr>
              <w:t>本项目所在区域污水由厂内污水处理站收集处理后厂内进行回用，不外排。</w:t>
            </w:r>
          </w:p>
          <w:p>
            <w:pPr>
              <w:spacing w:line="360" w:lineRule="auto"/>
              <w:ind w:firstLine="482" w:firstLineChars="200"/>
              <w:rPr>
                <w:b/>
                <w:color w:val="000000"/>
                <w:sz w:val="24"/>
              </w:rPr>
            </w:pPr>
            <w:r>
              <w:rPr>
                <w:b/>
                <w:color w:val="000000"/>
                <w:sz w:val="24"/>
              </w:rPr>
              <w:t>3、声环境质量状况</w:t>
            </w:r>
          </w:p>
          <w:p>
            <w:pPr>
              <w:spacing w:line="360" w:lineRule="auto"/>
              <w:ind w:firstLine="480" w:firstLineChars="200"/>
              <w:rPr>
                <w:rFonts w:hint="eastAsia"/>
                <w:bCs/>
                <w:sz w:val="24"/>
              </w:rPr>
            </w:pPr>
            <w:r>
              <w:rPr>
                <w:rFonts w:hint="eastAsia"/>
                <w:bCs/>
                <w:sz w:val="24"/>
              </w:rPr>
              <w:t>为了解项目周边声环境质量现状，</w:t>
            </w:r>
            <w:r>
              <w:rPr>
                <w:rFonts w:hint="eastAsia"/>
                <w:bCs/>
                <w:sz w:val="24"/>
                <w:lang w:val="en-US" w:eastAsia="zh-CN"/>
              </w:rPr>
              <w:t>芜湖新兴新材料产业园有限公司委托</w:t>
            </w:r>
            <w:r>
              <w:rPr>
                <w:rFonts w:hint="eastAsia"/>
                <w:bCs/>
                <w:sz w:val="24"/>
              </w:rPr>
              <w:t>安徽</w:t>
            </w:r>
            <w:r>
              <w:rPr>
                <w:rFonts w:hint="eastAsia"/>
                <w:bCs/>
                <w:sz w:val="24"/>
                <w:lang w:val="en-US" w:eastAsia="zh-CN"/>
              </w:rPr>
              <w:t>威正测试技术</w:t>
            </w:r>
            <w:r>
              <w:rPr>
                <w:rFonts w:hint="eastAsia"/>
                <w:bCs/>
                <w:sz w:val="24"/>
              </w:rPr>
              <w:t>有限公司对本项目所在地声环境进行现场测量</w:t>
            </w:r>
            <w:r>
              <w:rPr>
                <w:rFonts w:hint="eastAsia"/>
                <w:bCs/>
                <w:sz w:val="24"/>
                <w:lang w:eastAsia="zh-CN"/>
              </w:rPr>
              <w:t>（报告编号：2021113000807Q），</w:t>
            </w:r>
            <w:r>
              <w:rPr>
                <w:rFonts w:hint="eastAsia"/>
                <w:bCs/>
                <w:sz w:val="24"/>
              </w:rPr>
              <w:t>监测时间：2021年</w:t>
            </w:r>
            <w:r>
              <w:rPr>
                <w:rFonts w:hint="eastAsia"/>
                <w:bCs/>
                <w:sz w:val="24"/>
                <w:lang w:val="en-US" w:eastAsia="zh-CN"/>
              </w:rPr>
              <w:t>12</w:t>
            </w:r>
            <w:r>
              <w:rPr>
                <w:rFonts w:hint="eastAsia"/>
                <w:bCs/>
                <w:sz w:val="24"/>
              </w:rPr>
              <w:t>月</w:t>
            </w:r>
            <w:r>
              <w:rPr>
                <w:rFonts w:hint="eastAsia"/>
                <w:bCs/>
                <w:sz w:val="24"/>
                <w:lang w:val="en-US" w:eastAsia="zh-CN"/>
              </w:rPr>
              <w:t>03</w:t>
            </w:r>
            <w:r>
              <w:rPr>
                <w:rFonts w:hint="eastAsia"/>
                <w:bCs/>
                <w:sz w:val="24"/>
              </w:rPr>
              <w:t>日，</w:t>
            </w:r>
            <w:r>
              <w:rPr>
                <w:rFonts w:hint="eastAsia"/>
                <w:bCs/>
                <w:sz w:val="24"/>
                <w:lang w:val="en-US" w:eastAsia="zh-CN"/>
              </w:rPr>
              <w:t>4个点位，</w:t>
            </w:r>
            <w:r>
              <w:rPr>
                <w:rFonts w:hint="eastAsia"/>
                <w:bCs/>
                <w:sz w:val="24"/>
              </w:rPr>
              <w:t>昼夜各监测一次</w:t>
            </w:r>
            <w:r>
              <w:rPr>
                <w:rFonts w:hint="eastAsia"/>
                <w:bCs/>
                <w:sz w:val="24"/>
                <w:lang w:eastAsia="zh-CN"/>
              </w:rPr>
              <w:t>，</w:t>
            </w:r>
            <w:r>
              <w:rPr>
                <w:rFonts w:hint="eastAsia"/>
                <w:bCs/>
                <w:sz w:val="24"/>
                <w:lang w:val="en-US" w:eastAsia="zh-CN"/>
              </w:rPr>
              <w:t>监测两天</w:t>
            </w:r>
            <w:r>
              <w:rPr>
                <w:rFonts w:hint="eastAsia"/>
                <w:bCs/>
                <w:sz w:val="24"/>
              </w:rPr>
              <w:t>。 监测结果表明，项目所在地厂界四周声环境能够达到《声环境质量标准》 （GB3096-2008）3 类标准。监测结果见下表。</w:t>
            </w:r>
          </w:p>
          <w:p>
            <w:pPr>
              <w:spacing w:line="360" w:lineRule="auto"/>
              <w:ind w:firstLine="482" w:firstLineChars="200"/>
              <w:jc w:val="center"/>
              <w:rPr>
                <w:rFonts w:hint="eastAsia"/>
                <w:b/>
                <w:bCs/>
                <w:sz w:val="24"/>
              </w:rPr>
            </w:pPr>
            <w:r>
              <w:rPr>
                <w:rFonts w:hint="eastAsia"/>
                <w:b/>
                <w:bCs/>
                <w:sz w:val="24"/>
              </w:rPr>
              <w:t>表 3-</w:t>
            </w:r>
            <w:r>
              <w:rPr>
                <w:rFonts w:hint="eastAsia"/>
                <w:b/>
                <w:bCs/>
                <w:sz w:val="24"/>
                <w:lang w:val="en-US" w:eastAsia="zh-CN"/>
              </w:rPr>
              <w:t>3</w:t>
            </w:r>
            <w:r>
              <w:rPr>
                <w:rFonts w:hint="eastAsia"/>
                <w:b/>
                <w:bCs/>
                <w:sz w:val="24"/>
              </w:rPr>
              <w:t xml:space="preserve"> 地块环境噪声现状监测表</w:t>
            </w:r>
          </w:p>
          <w:tbl>
            <w:tblPr>
              <w:tblStyle w:val="26"/>
              <w:tblW w:w="4914"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7"/>
              <w:gridCol w:w="1446"/>
              <w:gridCol w:w="1323"/>
              <w:gridCol w:w="1323"/>
              <w:gridCol w:w="1323"/>
              <w:gridCol w:w="1407"/>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点位编号</w:t>
                  </w:r>
                </w:p>
              </w:tc>
              <w:tc>
                <w:tcPr>
                  <w:tcW w:w="1446"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点位名称</w:t>
                  </w:r>
                </w:p>
              </w:tc>
              <w:tc>
                <w:tcPr>
                  <w:tcW w:w="5376" w:type="dxa"/>
                  <w:gridSpan w:val="4"/>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检测结果Leq[dB(A)]</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46"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2646"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.1</w:t>
                  </w:r>
                </w:p>
              </w:tc>
              <w:tc>
                <w:tcPr>
                  <w:tcW w:w="2730"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lang w:val="en-US" w:eastAsia="zh-CN"/>
                    </w:rPr>
                  </w:pPr>
                  <w:r>
                    <w:rPr>
                      <w:rFonts w:hint="default" w:ascii="Times New Roman" w:hAnsi="Times New Roman" w:eastAsia="宋体" w:cs="Times New Roman"/>
                      <w:b/>
                      <w:bCs/>
                      <w:color w:val="000000"/>
                      <w:sz w:val="21"/>
                      <w:szCs w:val="21"/>
                      <w:lang w:val="en-US" w:eastAsia="zh-CN"/>
                    </w:rPr>
                    <w:t>202</w:t>
                  </w:r>
                  <w:r>
                    <w:rPr>
                      <w:rFonts w:hint="eastAsia" w:cs="Times New Roman"/>
                      <w:b/>
                      <w:bCs/>
                      <w:color w:val="000000"/>
                      <w:sz w:val="21"/>
                      <w:szCs w:val="21"/>
                      <w:lang w:val="en-US" w:eastAsia="zh-CN"/>
                    </w:rPr>
                    <w:t>1</w:t>
                  </w:r>
                  <w:r>
                    <w:rPr>
                      <w:rFonts w:hint="default" w:ascii="Times New Roman" w:hAnsi="Times New Roman" w:eastAsia="宋体" w:cs="Times New Roman"/>
                      <w:b/>
                      <w:bCs/>
                      <w:color w:val="000000"/>
                      <w:sz w:val="21"/>
                      <w:szCs w:val="21"/>
                      <w:lang w:val="en-US" w:eastAsia="zh-CN"/>
                    </w:rPr>
                    <w:t>.</w:t>
                  </w:r>
                  <w:r>
                    <w:rPr>
                      <w:rFonts w:hint="eastAsia" w:cs="Times New Roman"/>
                      <w:b/>
                      <w:bCs/>
                      <w:color w:val="000000"/>
                      <w:sz w:val="21"/>
                      <w:szCs w:val="21"/>
                      <w:lang w:val="en-US" w:eastAsia="zh-CN"/>
                    </w:rPr>
                    <w:t>12</w:t>
                  </w:r>
                  <w:r>
                    <w:rPr>
                      <w:rFonts w:hint="default" w:ascii="Times New Roman" w:hAnsi="Times New Roman" w:eastAsia="宋体" w:cs="Times New Roman"/>
                      <w:b/>
                      <w:bCs/>
                      <w:color w:val="000000"/>
                      <w:sz w:val="21"/>
                      <w:szCs w:val="21"/>
                      <w:lang w:val="en-US" w:eastAsia="zh-CN"/>
                    </w:rPr>
                    <w:t>.2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446"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auto"/>
                      <w:sz w:val="21"/>
                      <w:szCs w:val="21"/>
                    </w:rPr>
                  </w:pP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rPr>
                    <w:t>昼间</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color w:val="000000"/>
                      <w:sz w:val="21"/>
                      <w:szCs w:val="21"/>
                    </w:rPr>
                  </w:pPr>
                  <w:r>
                    <w:rPr>
                      <w:rFonts w:hint="default" w:ascii="Times New Roman" w:hAnsi="Times New Roman" w:eastAsia="宋体" w:cs="Times New Roman"/>
                      <w:b/>
                      <w:bCs/>
                      <w:color w:val="000000"/>
                      <w:sz w:val="21"/>
                      <w:szCs w:val="21"/>
                      <w:lang w:eastAsia="zh-CN"/>
                    </w:rPr>
                    <w:t>夜</w:t>
                  </w:r>
                  <w:r>
                    <w:rPr>
                      <w:rFonts w:hint="default" w:ascii="Times New Roman" w:hAnsi="Times New Roman" w:eastAsia="宋体" w:cs="Times New Roman"/>
                      <w:b/>
                      <w:bCs/>
                      <w:color w:val="000000"/>
                      <w:sz w:val="21"/>
                      <w:szCs w:val="21"/>
                    </w:rPr>
                    <w:t>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rPr>
                  </w:pPr>
                  <w:r>
                    <w:rPr>
                      <w:rFonts w:hint="default" w:ascii="Times New Roman" w:hAnsi="Times New Roman" w:eastAsia="宋体" w:cs="Times New Roman"/>
                      <w:b w:val="0"/>
                      <w:bCs/>
                      <w:color w:val="000000"/>
                      <w:sz w:val="21"/>
                      <w:szCs w:val="21"/>
                    </w:rPr>
                    <w:t>N1</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厂界东</w:t>
                  </w:r>
                  <w:r>
                    <w:rPr>
                      <w:rFonts w:hint="eastAsia" w:cs="Times New Roman"/>
                      <w:b w:val="0"/>
                      <w:bCs/>
                      <w:color w:val="000000"/>
                      <w:sz w:val="21"/>
                      <w:szCs w:val="21"/>
                      <w:lang w:val="en-US" w:eastAsia="zh-CN"/>
                    </w:rPr>
                    <w:t>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55.2</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44.8</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55.1</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N2</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南侧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55.8</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55.6</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rPr>
                    <w:t>N</w:t>
                  </w:r>
                  <w:r>
                    <w:rPr>
                      <w:rFonts w:hint="default" w:ascii="Times New Roman" w:hAnsi="Times New Roman" w:eastAsia="宋体" w:cs="Times New Roman"/>
                      <w:b w:val="0"/>
                      <w:bCs/>
                      <w:color w:val="000000"/>
                      <w:sz w:val="21"/>
                      <w:szCs w:val="21"/>
                      <w:lang w:val="en-US" w:eastAsia="zh-CN"/>
                    </w:rPr>
                    <w:t>3</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西侧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55.4</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44.9</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55.0</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89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rPr>
                  </w:pPr>
                  <w:r>
                    <w:rPr>
                      <w:rFonts w:hint="default" w:ascii="Times New Roman" w:hAnsi="Times New Roman" w:eastAsia="宋体" w:cs="Times New Roman"/>
                      <w:b w:val="0"/>
                      <w:bCs/>
                      <w:color w:val="000000"/>
                      <w:sz w:val="21"/>
                      <w:szCs w:val="21"/>
                      <w:lang w:val="en-US" w:eastAsia="zh-CN"/>
                    </w:rPr>
                    <w:t>N4</w:t>
                  </w:r>
                </w:p>
              </w:tc>
              <w:tc>
                <w:tcPr>
                  <w:tcW w:w="1446"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kern w:val="2"/>
                      <w:sz w:val="21"/>
                      <w:szCs w:val="21"/>
                      <w:lang w:val="en-US" w:eastAsia="zh-CN" w:bidi="ar-SA"/>
                    </w:rPr>
                  </w:pPr>
                  <w:r>
                    <w:rPr>
                      <w:rFonts w:hint="default" w:ascii="Times New Roman" w:hAnsi="Times New Roman" w:eastAsia="宋体" w:cs="Times New Roman"/>
                      <w:b w:val="0"/>
                      <w:bCs/>
                      <w:color w:val="000000"/>
                      <w:sz w:val="21"/>
                      <w:szCs w:val="21"/>
                    </w:rPr>
                    <w:t>厂界</w:t>
                  </w:r>
                  <w:r>
                    <w:rPr>
                      <w:rFonts w:hint="eastAsia" w:cs="Times New Roman"/>
                      <w:b w:val="0"/>
                      <w:bCs/>
                      <w:color w:val="000000"/>
                      <w:sz w:val="21"/>
                      <w:szCs w:val="21"/>
                      <w:lang w:val="en-US" w:eastAsia="zh-CN"/>
                    </w:rPr>
                    <w:t>北侧</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56.4</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45.5</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56.3</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eastAsia" w:cs="Times New Roman"/>
                      <w:b w:val="0"/>
                      <w:bCs/>
                      <w:color w:val="000000"/>
                      <w:sz w:val="21"/>
                      <w:szCs w:val="21"/>
                      <w:lang w:val="en-US" w:eastAsia="zh-CN"/>
                    </w:rPr>
                    <w:t>45.8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2343"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000000"/>
                      <w:sz w:val="21"/>
                      <w:szCs w:val="21"/>
                    </w:rPr>
                  </w:pPr>
                  <w:r>
                    <w:rPr>
                      <w:rFonts w:hint="default" w:ascii="Times New Roman" w:hAnsi="Times New Roman" w:eastAsia="宋体" w:cs="Times New Roman"/>
                      <w:b w:val="0"/>
                      <w:bCs/>
                      <w:color w:val="000000"/>
                      <w:sz w:val="21"/>
                      <w:szCs w:val="21"/>
                    </w:rPr>
                    <w:t>标准限值</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c>
                <w:tcPr>
                  <w:tcW w:w="1323"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65</w:t>
                  </w:r>
                </w:p>
              </w:tc>
              <w:tc>
                <w:tcPr>
                  <w:tcW w:w="1407"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55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2343" w:type="dxa"/>
                  <w:gridSpan w:val="2"/>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rPr>
                      <w:rFonts w:hint="default" w:ascii="Times New Roman" w:hAnsi="Times New Roman" w:eastAsia="宋体" w:cs="Times New Roman"/>
                      <w:b w:val="0"/>
                      <w:bCs/>
                      <w:color w:val="000000"/>
                      <w:sz w:val="21"/>
                      <w:szCs w:val="21"/>
                      <w:lang w:val="en-US" w:eastAsia="zh-CN"/>
                    </w:rPr>
                  </w:pPr>
                  <w:r>
                    <w:rPr>
                      <w:rFonts w:hint="default" w:ascii="Times New Roman" w:hAnsi="Times New Roman" w:eastAsia="宋体" w:cs="Times New Roman"/>
                      <w:b w:val="0"/>
                      <w:bCs/>
                      <w:color w:val="000000"/>
                      <w:sz w:val="21"/>
                      <w:szCs w:val="21"/>
                      <w:lang w:val="en-US" w:eastAsia="zh-CN"/>
                    </w:rPr>
                    <w:t>执行标准</w:t>
                  </w:r>
                </w:p>
              </w:tc>
              <w:tc>
                <w:tcPr>
                  <w:tcW w:w="5376" w:type="dxa"/>
                  <w:gridSpan w:val="4"/>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after="0" w:line="240" w:lineRule="auto"/>
                    <w:jc w:val="both"/>
                    <w:textAlignment w:val="center"/>
                    <w:rPr>
                      <w:rFonts w:hint="default" w:ascii="Times New Roman" w:hAnsi="Times New Roman" w:eastAsia="宋体" w:cs="Times New Roman"/>
                      <w:b w:val="0"/>
                      <w:bCs/>
                      <w:color w:val="auto"/>
                      <w:sz w:val="21"/>
                      <w:szCs w:val="21"/>
                    </w:rPr>
                  </w:pPr>
                  <w:r>
                    <w:rPr>
                      <w:rFonts w:hint="default" w:ascii="Times New Roman" w:hAnsi="Times New Roman" w:eastAsia="宋体" w:cs="Times New Roman"/>
                      <w:i w:val="0"/>
                      <w:color w:val="auto"/>
                      <w:kern w:val="0"/>
                      <w:sz w:val="21"/>
                      <w:szCs w:val="21"/>
                      <w:u w:val="none"/>
                      <w:lang w:val="en-US" w:eastAsia="zh-CN" w:bidi="ar"/>
                    </w:rPr>
                    <w:t>《工业企业厂界环境噪声排放标准》（GB12348-2008） 表1中3类。</w:t>
                  </w:r>
                </w:p>
              </w:tc>
            </w:tr>
          </w:tbl>
          <w:p>
            <w:pPr>
              <w:pStyle w:val="87"/>
              <w:ind w:firstLine="477" w:firstLineChars="199"/>
              <w:rPr>
                <w:rFonts w:ascii="Times New Roman" w:hAnsi="Times New Roman" w:cs="宋体"/>
                <w:szCs w:val="21"/>
              </w:rPr>
            </w:pPr>
            <w:r>
              <w:rPr>
                <w:rFonts w:hint="eastAsia"/>
                <w:bCs/>
                <w:sz w:val="24"/>
              </w:rPr>
              <w:t xml:space="preserve"> </w:t>
            </w:r>
            <w:r>
              <w:rPr>
                <w:rFonts w:ascii="Times New Roman" w:hAnsi="Times New Roman"/>
                <w:color w:val="000000"/>
              </w:rPr>
              <w:t>根据监测结果，建设项目各厂界的声环境质量现状监测值可满足《声环境质量标准》（GB3096-2008）中的3类标准要求</w:t>
            </w:r>
            <w:r>
              <w:rPr>
                <w:rFonts w:hint="eastAsia" w:ascii="Times New Roman" w:hAnsi="Times New Roman"/>
                <w:color w:val="000000"/>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992" w:type="dxa"/>
            <w:vAlign w:val="center"/>
          </w:tcPr>
          <w:p>
            <w:pPr>
              <w:adjustRightInd w:val="0"/>
              <w:snapToGrid w:val="0"/>
              <w:jc w:val="center"/>
              <w:rPr>
                <w:rFonts w:cs="宋体"/>
                <w:kern w:val="0"/>
                <w:sz w:val="24"/>
              </w:rPr>
            </w:pPr>
            <w:r>
              <w:rPr>
                <w:rFonts w:hint="eastAsia" w:cs="宋体"/>
                <w:kern w:val="0"/>
                <w:sz w:val="24"/>
              </w:rPr>
              <w:t>环境</w:t>
            </w:r>
          </w:p>
          <w:p>
            <w:pPr>
              <w:adjustRightInd w:val="0"/>
              <w:snapToGrid w:val="0"/>
              <w:jc w:val="center"/>
              <w:rPr>
                <w:rFonts w:cs="宋体"/>
                <w:kern w:val="0"/>
                <w:sz w:val="24"/>
              </w:rPr>
            </w:pPr>
            <w:r>
              <w:rPr>
                <w:rFonts w:hint="eastAsia" w:cs="宋体"/>
                <w:kern w:val="0"/>
                <w:sz w:val="24"/>
              </w:rPr>
              <w:t>保护</w:t>
            </w:r>
          </w:p>
          <w:p>
            <w:pPr>
              <w:adjustRightInd w:val="0"/>
              <w:snapToGrid w:val="0"/>
              <w:jc w:val="center"/>
              <w:rPr>
                <w:rFonts w:cs="宋体"/>
                <w:kern w:val="0"/>
                <w:sz w:val="24"/>
              </w:rPr>
            </w:pPr>
            <w:r>
              <w:rPr>
                <w:rFonts w:hint="eastAsia" w:cs="宋体"/>
                <w:kern w:val="0"/>
                <w:sz w:val="24"/>
              </w:rPr>
              <w:t>目标</w:t>
            </w:r>
          </w:p>
        </w:tc>
        <w:tc>
          <w:tcPr>
            <w:tcW w:w="8069" w:type="dxa"/>
            <w:vAlign w:val="center"/>
          </w:tcPr>
          <w:p>
            <w:pPr>
              <w:spacing w:line="440" w:lineRule="atLeast"/>
              <w:ind w:left="-13" w:leftChars="-34" w:hanging="58" w:hangingChars="24"/>
              <w:rPr>
                <w:b/>
                <w:color w:val="auto"/>
                <w:sz w:val="24"/>
              </w:rPr>
            </w:pPr>
            <w:r>
              <w:rPr>
                <w:rFonts w:hint="eastAsia"/>
                <w:b/>
                <w:color w:val="auto"/>
                <w:sz w:val="24"/>
              </w:rPr>
              <w:t>主要环境保护目标（列出名单及保护级别）：</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本项目位于芜湖市三山区春洲路2号</w:t>
            </w:r>
            <w:r>
              <w:rPr>
                <w:rFonts w:hint="eastAsia" w:ascii="Times New Roman" w:hAnsi="Times New Roman" w:eastAsia="宋体" w:cs="Times New Roman"/>
                <w:color w:val="000000"/>
                <w:kern w:val="0"/>
                <w:sz w:val="24"/>
                <w:lang w:eastAsia="zh-CN"/>
              </w:rPr>
              <w:t>，</w:t>
            </w:r>
            <w:r>
              <w:rPr>
                <w:rFonts w:hint="eastAsia" w:ascii="Times New Roman" w:hAnsi="Times New Roman" w:eastAsia="宋体" w:cs="Times New Roman"/>
                <w:color w:val="000000"/>
                <w:kern w:val="0"/>
                <w:sz w:val="24"/>
              </w:rPr>
              <w:t>根据现场踏勘结果</w:t>
            </w:r>
            <w:r>
              <w:rPr>
                <w:rFonts w:hint="eastAsia" w:ascii="Times New Roman" w:hAnsi="Times New Roman" w:eastAsia="宋体" w:cs="Times New Roman"/>
                <w:color w:val="000000"/>
                <w:kern w:val="0"/>
                <w:sz w:val="24"/>
                <w:lang w:eastAsia="zh-CN"/>
              </w:rPr>
              <w:t>，</w:t>
            </w:r>
            <w:r>
              <w:rPr>
                <w:rFonts w:hint="eastAsia" w:ascii="Times New Roman" w:hAnsi="Times New Roman" w:eastAsia="宋体" w:cs="Times New Roman"/>
                <w:color w:val="000000"/>
                <w:kern w:val="0"/>
                <w:sz w:val="24"/>
                <w:lang w:val="en-US" w:eastAsia="zh-CN"/>
              </w:rPr>
              <w:t>项目</w:t>
            </w:r>
            <w:r>
              <w:rPr>
                <w:rFonts w:hint="eastAsia" w:ascii="Times New Roman" w:hAnsi="Times New Roman" w:eastAsia="宋体" w:cs="Times New Roman"/>
                <w:color w:val="000000"/>
                <w:kern w:val="0"/>
                <w:sz w:val="24"/>
              </w:rPr>
              <w:t>评价范围内无自然保护区、风景旅游点和文物古迹等需要特殊保护的环境敏感对象。保护目标为总体上不因本项目的实施而改变区域环境现有功能，具体环境保护目标如下：</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（1）区域地表水体长江以《地表水环境质量标准》（GB3838-2002）III类保护。</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（2）保护项目区域所在地环境空气质量达到《环境空气质量标准》（GB3095-2012）中的二级标准；</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（3）保护项目区周围环境噪声满足《声环境质量标准》（GB3096-2008）中3类功能区标准。</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其主要环境保护目标详见下表。</w:t>
            </w:r>
          </w:p>
          <w:p>
            <w:pPr>
              <w:adjustRightInd w:val="0"/>
              <w:spacing w:line="460" w:lineRule="exact"/>
              <w:ind w:firstLine="480" w:firstLineChars="200"/>
              <w:rPr>
                <w:rFonts w:hint="eastAsia" w:ascii="Times New Roman" w:hAnsi="Times New Roman" w:eastAsia="宋体" w:cs="Times New Roman"/>
                <w:color w:val="000000"/>
                <w:kern w:val="0"/>
                <w:sz w:val="24"/>
              </w:rPr>
            </w:pPr>
            <w:r>
              <w:rPr>
                <w:rFonts w:hint="eastAsia" w:ascii="Times New Roman" w:hAnsi="Times New Roman" w:eastAsia="宋体" w:cs="Times New Roman"/>
                <w:color w:val="000000"/>
                <w:kern w:val="0"/>
                <w:sz w:val="24"/>
              </w:rPr>
              <w:t>本项目500m范围内无环境空气保护目标</w:t>
            </w:r>
          </w:p>
          <w:p>
            <w:pPr>
              <w:spacing w:line="480" w:lineRule="exact"/>
              <w:jc w:val="center"/>
              <w:rPr>
                <w:b/>
                <w:bCs/>
                <w:color w:val="000000"/>
                <w:sz w:val="24"/>
              </w:rPr>
            </w:pPr>
            <w:r>
              <w:rPr>
                <w:b/>
                <w:bCs/>
                <w:color w:val="000000"/>
                <w:sz w:val="24"/>
              </w:rPr>
              <w:t>表3-</w:t>
            </w:r>
            <w:r>
              <w:rPr>
                <w:rFonts w:hint="eastAsia"/>
                <w:b/>
                <w:bCs/>
                <w:color w:val="000000"/>
                <w:sz w:val="24"/>
                <w:lang w:val="en-US" w:eastAsia="zh-CN"/>
              </w:rPr>
              <w:t>4</w:t>
            </w:r>
            <w:r>
              <w:rPr>
                <w:b/>
                <w:bCs/>
                <w:color w:val="000000"/>
                <w:sz w:val="24"/>
              </w:rPr>
              <w:t xml:space="preserve">  环境保护目标一览表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3"/>
              <w:gridCol w:w="1310"/>
              <w:gridCol w:w="988"/>
              <w:gridCol w:w="1395"/>
              <w:gridCol w:w="1298"/>
              <w:gridCol w:w="212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473" w:type="pct"/>
                  <w:tcBorders>
                    <w:top w:val="single" w:color="auto" w:sz="4" w:space="0"/>
                    <w:bottom w:val="single" w:color="auto" w:sz="4" w:space="0"/>
                    <w:right w:val="single" w:color="auto" w:sz="4" w:space="0"/>
                  </w:tcBorders>
                  <w:vAlign w:val="center"/>
                </w:tcPr>
                <w:p>
                  <w:pPr>
                    <w:spacing w:line="240" w:lineRule="atLeast"/>
                    <w:jc w:val="center"/>
                    <w:rPr>
                      <w:b/>
                      <w:bCs/>
                      <w:color w:val="000000"/>
                    </w:rPr>
                  </w:pPr>
                  <w:r>
                    <w:rPr>
                      <w:b/>
                      <w:bCs/>
                      <w:color w:val="000000"/>
                    </w:rPr>
                    <w:t>环境</w:t>
                  </w:r>
                </w:p>
                <w:p>
                  <w:pPr>
                    <w:spacing w:line="240" w:lineRule="atLeast"/>
                    <w:jc w:val="center"/>
                    <w:rPr>
                      <w:b/>
                      <w:bCs/>
                      <w:color w:val="000000"/>
                    </w:rPr>
                  </w:pPr>
                  <w:r>
                    <w:rPr>
                      <w:b/>
                      <w:bCs/>
                      <w:color w:val="000000"/>
                    </w:rPr>
                    <w:t>要素</w:t>
                  </w:r>
                </w:p>
              </w:tc>
              <w:tc>
                <w:tcPr>
                  <w:tcW w:w="833"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名称</w:t>
                  </w:r>
                </w:p>
              </w:tc>
              <w:tc>
                <w:tcPr>
                  <w:tcW w:w="628"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相对项</w:t>
                  </w:r>
                </w:p>
                <w:p>
                  <w:pPr>
                    <w:spacing w:line="240" w:lineRule="atLeast"/>
                    <w:jc w:val="center"/>
                    <w:rPr>
                      <w:b/>
                      <w:bCs/>
                      <w:color w:val="000000"/>
                    </w:rPr>
                  </w:pPr>
                  <w:r>
                    <w:rPr>
                      <w:b/>
                      <w:bCs/>
                      <w:color w:val="000000"/>
                    </w:rPr>
                    <w:t>目方位</w:t>
                  </w:r>
                </w:p>
              </w:tc>
              <w:tc>
                <w:tcPr>
                  <w:tcW w:w="888"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与项目厂界最近距离m</w:t>
                  </w:r>
                </w:p>
              </w:tc>
              <w:tc>
                <w:tcPr>
                  <w:tcW w:w="826" w:type="pct"/>
                  <w:tcBorders>
                    <w:top w:val="single" w:color="auto" w:sz="4" w:space="0"/>
                    <w:left w:val="nil"/>
                    <w:bottom w:val="single" w:color="auto" w:sz="4" w:space="0"/>
                    <w:right w:val="single" w:color="auto" w:sz="4" w:space="0"/>
                  </w:tcBorders>
                  <w:vAlign w:val="center"/>
                </w:tcPr>
                <w:p>
                  <w:pPr>
                    <w:spacing w:line="240" w:lineRule="atLeast"/>
                    <w:jc w:val="center"/>
                    <w:rPr>
                      <w:b/>
                      <w:bCs/>
                      <w:color w:val="000000"/>
                    </w:rPr>
                  </w:pPr>
                  <w:r>
                    <w:rPr>
                      <w:b/>
                      <w:bCs/>
                      <w:color w:val="000000"/>
                    </w:rPr>
                    <w:t>规模</w:t>
                  </w:r>
                </w:p>
              </w:tc>
              <w:tc>
                <w:tcPr>
                  <w:tcW w:w="1349" w:type="pct"/>
                  <w:tcBorders>
                    <w:top w:val="single" w:color="auto" w:sz="4" w:space="0"/>
                    <w:left w:val="nil"/>
                    <w:bottom w:val="single" w:color="auto" w:sz="4" w:space="0"/>
                  </w:tcBorders>
                  <w:vAlign w:val="center"/>
                </w:tcPr>
                <w:p>
                  <w:pPr>
                    <w:spacing w:line="240" w:lineRule="atLeast"/>
                    <w:jc w:val="center"/>
                    <w:rPr>
                      <w:b/>
                      <w:bCs/>
                      <w:color w:val="000000"/>
                    </w:rPr>
                  </w:pPr>
                  <w:r>
                    <w:rPr>
                      <w:b/>
                      <w:bCs/>
                      <w:color w:val="000000"/>
                    </w:rPr>
                    <w:t>环境保护级别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473" w:type="pct"/>
                  <w:tcBorders>
                    <w:top w:val="single" w:color="auto" w:sz="4" w:space="0"/>
                    <w:bottom w:val="single" w:color="auto" w:sz="4" w:space="0"/>
                    <w:right w:val="single" w:color="auto" w:sz="4" w:space="0"/>
                  </w:tcBorders>
                  <w:vAlign w:val="center"/>
                </w:tcPr>
                <w:p>
                  <w:pPr>
                    <w:spacing w:line="240" w:lineRule="atLeast"/>
                    <w:jc w:val="center"/>
                    <w:rPr>
                      <w:color w:val="000000"/>
                    </w:rPr>
                  </w:pPr>
                  <w:r>
                    <w:rPr>
                      <w:color w:val="000000"/>
                    </w:rPr>
                    <w:t>水环境</w:t>
                  </w:r>
                </w:p>
              </w:tc>
              <w:tc>
                <w:tcPr>
                  <w:tcW w:w="833"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长江（评价河段）</w:t>
                  </w:r>
                </w:p>
              </w:tc>
              <w:tc>
                <w:tcPr>
                  <w:tcW w:w="62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NW</w:t>
                  </w:r>
                </w:p>
              </w:tc>
              <w:tc>
                <w:tcPr>
                  <w:tcW w:w="88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hint="eastAsia" w:ascii="Times New Roman" w:hAnsi="Times New Roman"/>
                      <w:color w:val="000000"/>
                      <w:kern w:val="2"/>
                      <w:sz w:val="21"/>
                      <w:szCs w:val="21"/>
                      <w:lang w:val="en-US" w:eastAsia="zh-CN"/>
                    </w:rPr>
                    <w:t>240</w:t>
                  </w:r>
                  <w:r>
                    <w:rPr>
                      <w:rFonts w:ascii="Times New Roman" w:hAnsi="Times New Roman"/>
                      <w:color w:val="000000"/>
                      <w:kern w:val="2"/>
                      <w:sz w:val="21"/>
                      <w:szCs w:val="21"/>
                    </w:rPr>
                    <w:t>0</w:t>
                  </w:r>
                </w:p>
              </w:tc>
              <w:tc>
                <w:tcPr>
                  <w:tcW w:w="826"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大型河流</w:t>
                  </w:r>
                </w:p>
              </w:tc>
              <w:tc>
                <w:tcPr>
                  <w:tcW w:w="1349" w:type="pct"/>
                  <w:tcBorders>
                    <w:top w:val="single" w:color="auto" w:sz="4" w:space="0"/>
                    <w:left w:val="nil"/>
                    <w:bottom w:val="single" w:color="auto" w:sz="4" w:space="0"/>
                  </w:tcBorders>
                  <w:vAlign w:val="center"/>
                </w:tcPr>
                <w:p>
                  <w:pPr>
                    <w:spacing w:line="240" w:lineRule="atLeast"/>
                    <w:jc w:val="center"/>
                    <w:rPr>
                      <w:color w:val="000000"/>
                    </w:rPr>
                  </w:pPr>
                  <w:r>
                    <w:rPr>
                      <w:color w:val="000000"/>
                    </w:rPr>
                    <w:t>《地表水环境质量标准》（GB3838-2002）中Ⅲ类标准</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PrEx>
              <w:trPr>
                <w:trHeight w:val="465" w:hRule="atLeast"/>
                <w:jc w:val="center"/>
              </w:trPr>
              <w:tc>
                <w:tcPr>
                  <w:tcW w:w="473" w:type="pct"/>
                  <w:tcBorders>
                    <w:top w:val="single" w:color="auto" w:sz="4" w:space="0"/>
                    <w:bottom w:val="single" w:color="auto" w:sz="4" w:space="0"/>
                    <w:right w:val="single" w:color="auto" w:sz="4" w:space="0"/>
                  </w:tcBorders>
                  <w:vAlign w:val="center"/>
                </w:tcPr>
                <w:p>
                  <w:pPr>
                    <w:spacing w:line="240" w:lineRule="atLeast"/>
                    <w:jc w:val="center"/>
                    <w:rPr>
                      <w:color w:val="000000"/>
                    </w:rPr>
                  </w:pPr>
                  <w:r>
                    <w:rPr>
                      <w:color w:val="000000"/>
                    </w:rPr>
                    <w:t>声环境</w:t>
                  </w:r>
                </w:p>
              </w:tc>
              <w:tc>
                <w:tcPr>
                  <w:tcW w:w="833"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厂界四周</w:t>
                  </w:r>
                </w:p>
              </w:tc>
              <w:tc>
                <w:tcPr>
                  <w:tcW w:w="62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888"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826" w:type="pct"/>
                  <w:tcBorders>
                    <w:top w:val="single" w:color="auto" w:sz="4" w:space="0"/>
                    <w:left w:val="nil"/>
                    <w:bottom w:val="single" w:color="auto" w:sz="4" w:space="0"/>
                    <w:right w:val="single" w:color="auto" w:sz="4" w:space="0"/>
                  </w:tcBorders>
                  <w:vAlign w:val="center"/>
                </w:tcPr>
                <w:p>
                  <w:pPr>
                    <w:pStyle w:val="54"/>
                    <w:autoSpaceDE w:val="0"/>
                    <w:autoSpaceDN w:val="0"/>
                    <w:spacing w:line="240" w:lineRule="atLeast"/>
                    <w:jc w:val="center"/>
                    <w:rPr>
                      <w:rFonts w:ascii="Times New Roman" w:hAnsi="Times New Roman"/>
                      <w:color w:val="000000"/>
                      <w:kern w:val="2"/>
                    </w:rPr>
                  </w:pPr>
                  <w:r>
                    <w:rPr>
                      <w:rFonts w:ascii="Times New Roman" w:hAnsi="Times New Roman"/>
                      <w:color w:val="000000"/>
                      <w:kern w:val="2"/>
                      <w:sz w:val="21"/>
                      <w:szCs w:val="21"/>
                    </w:rPr>
                    <w:t>/</w:t>
                  </w:r>
                </w:p>
              </w:tc>
              <w:tc>
                <w:tcPr>
                  <w:tcW w:w="1349" w:type="pct"/>
                  <w:tcBorders>
                    <w:top w:val="single" w:color="auto" w:sz="4" w:space="0"/>
                    <w:left w:val="nil"/>
                    <w:bottom w:val="single" w:color="auto" w:sz="4" w:space="0"/>
                  </w:tcBorders>
                  <w:vAlign w:val="center"/>
                </w:tcPr>
                <w:p>
                  <w:pPr>
                    <w:spacing w:line="240" w:lineRule="atLeast"/>
                    <w:jc w:val="center"/>
                    <w:rPr>
                      <w:color w:val="000000"/>
                    </w:rPr>
                  </w:pPr>
                  <w:r>
                    <w:rPr>
                      <w:color w:val="000000"/>
                    </w:rPr>
                    <w:t>《声环境质量标准》（3096-2008）中3类区标准要求</w:t>
                  </w:r>
                </w:p>
              </w:tc>
            </w:tr>
          </w:tbl>
          <w:p>
            <w:pPr>
              <w:pStyle w:val="6"/>
            </w:pPr>
          </w:p>
          <w:p>
            <w:pPr>
              <w:pStyle w:val="31"/>
              <w:spacing w:after="240"/>
              <w:jc w:val="both"/>
              <w:rPr>
                <w:rFonts w:ascii="Times New Roman" w:hAnsi="Times New Roman"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992" w:type="dxa"/>
            <w:tcMar>
              <w:left w:w="28" w:type="dxa"/>
              <w:right w:w="28" w:type="dxa"/>
            </w:tcMar>
            <w:vAlign w:val="center"/>
          </w:tcPr>
          <w:p>
            <w:pPr>
              <w:adjustRightInd w:val="0"/>
              <w:snapToGrid w:val="0"/>
              <w:jc w:val="center"/>
              <w:rPr>
                <w:rFonts w:cs="宋体"/>
                <w:kern w:val="0"/>
                <w:sz w:val="24"/>
              </w:rPr>
            </w:pPr>
            <w:r>
              <w:rPr>
                <w:rFonts w:hint="eastAsia" w:cs="宋体"/>
                <w:kern w:val="0"/>
                <w:sz w:val="24"/>
              </w:rPr>
              <w:t>污染</w:t>
            </w:r>
          </w:p>
          <w:p>
            <w:pPr>
              <w:adjustRightInd w:val="0"/>
              <w:snapToGrid w:val="0"/>
              <w:jc w:val="center"/>
              <w:rPr>
                <w:rFonts w:cs="宋体"/>
                <w:kern w:val="0"/>
                <w:sz w:val="24"/>
              </w:rPr>
            </w:pPr>
            <w:r>
              <w:rPr>
                <w:rFonts w:hint="eastAsia" w:cs="宋体"/>
                <w:kern w:val="0"/>
                <w:sz w:val="24"/>
              </w:rPr>
              <w:t>物排</w:t>
            </w:r>
          </w:p>
          <w:p>
            <w:pPr>
              <w:adjustRightInd w:val="0"/>
              <w:snapToGrid w:val="0"/>
              <w:jc w:val="center"/>
              <w:rPr>
                <w:rFonts w:cs="宋体"/>
                <w:kern w:val="0"/>
                <w:sz w:val="24"/>
              </w:rPr>
            </w:pPr>
            <w:r>
              <w:rPr>
                <w:rFonts w:hint="eastAsia" w:cs="宋体"/>
                <w:kern w:val="0"/>
                <w:sz w:val="24"/>
              </w:rPr>
              <w:t>放控</w:t>
            </w:r>
          </w:p>
          <w:p>
            <w:pPr>
              <w:adjustRightInd w:val="0"/>
              <w:snapToGrid w:val="0"/>
              <w:jc w:val="center"/>
              <w:rPr>
                <w:rFonts w:cs="宋体"/>
                <w:kern w:val="0"/>
                <w:sz w:val="24"/>
              </w:rPr>
            </w:pPr>
            <w:r>
              <w:rPr>
                <w:rFonts w:hint="eastAsia" w:cs="宋体"/>
                <w:kern w:val="0"/>
                <w:sz w:val="24"/>
              </w:rPr>
              <w:t>制标</w:t>
            </w:r>
          </w:p>
          <w:p>
            <w:pPr>
              <w:adjustRightInd w:val="0"/>
              <w:snapToGrid w:val="0"/>
              <w:jc w:val="center"/>
              <w:rPr>
                <w:rFonts w:cs="宋体"/>
                <w:kern w:val="0"/>
                <w:szCs w:val="21"/>
              </w:rPr>
            </w:pPr>
            <w:r>
              <w:rPr>
                <w:rFonts w:hint="eastAsia" w:cs="宋体"/>
                <w:kern w:val="0"/>
                <w:sz w:val="24"/>
              </w:rPr>
              <w:t>准</w:t>
            </w:r>
          </w:p>
        </w:tc>
        <w:tc>
          <w:tcPr>
            <w:tcW w:w="8069" w:type="dxa"/>
            <w:vAlign w:val="center"/>
          </w:tcPr>
          <w:p>
            <w:pPr>
              <w:spacing w:line="480" w:lineRule="exact"/>
              <w:ind w:firstLine="472" w:firstLineChars="196"/>
              <w:rPr>
                <w:b/>
                <w:bCs/>
                <w:color w:val="000000"/>
                <w:kern w:val="0"/>
                <w:sz w:val="24"/>
              </w:rPr>
            </w:pPr>
            <w:r>
              <w:rPr>
                <w:b/>
                <w:bCs/>
                <w:color w:val="000000"/>
                <w:kern w:val="0"/>
                <w:sz w:val="24"/>
              </w:rPr>
              <w:t>1、废气</w:t>
            </w:r>
          </w:p>
          <w:p>
            <w:pPr>
              <w:adjustRightInd w:val="0"/>
              <w:snapToGrid w:val="0"/>
              <w:spacing w:line="360" w:lineRule="auto"/>
              <w:ind w:firstLine="480" w:firstLineChars="200"/>
              <w:rPr>
                <w:b/>
                <w:color w:val="000000"/>
                <w:sz w:val="24"/>
              </w:rPr>
            </w:pPr>
            <w:r>
              <w:rPr>
                <w:rFonts w:hint="eastAsia"/>
                <w:bCs/>
                <w:color w:val="000000"/>
                <w:sz w:val="24"/>
              </w:rPr>
              <w:t>本项目生产过程中产生的废气污染物主要为粉尘。本项目采用湿法制</w:t>
            </w:r>
            <w:r>
              <w:rPr>
                <w:rFonts w:hint="eastAsia"/>
                <w:bCs/>
                <w:color w:val="000000"/>
                <w:sz w:val="24"/>
                <w:lang w:val="en-US" w:eastAsia="zh-CN"/>
              </w:rPr>
              <w:t>砂</w:t>
            </w:r>
            <w:r>
              <w:rPr>
                <w:rFonts w:hint="eastAsia"/>
                <w:bCs/>
                <w:color w:val="000000"/>
                <w:sz w:val="24"/>
              </w:rPr>
              <w:t>工艺制</w:t>
            </w:r>
            <w:r>
              <w:rPr>
                <w:rFonts w:hint="eastAsia"/>
                <w:bCs/>
                <w:color w:val="000000"/>
                <w:sz w:val="24"/>
                <w:lang w:val="en-US" w:eastAsia="zh-CN"/>
              </w:rPr>
              <w:t>砂</w:t>
            </w:r>
            <w:r>
              <w:rPr>
                <w:rFonts w:hint="eastAsia"/>
                <w:bCs/>
                <w:color w:val="000000"/>
                <w:sz w:val="24"/>
              </w:rPr>
              <w:t>，产生粉尘的工序主要</w:t>
            </w:r>
            <w:r>
              <w:rPr>
                <w:rFonts w:hint="eastAsia"/>
                <w:bCs/>
                <w:color w:val="000000"/>
                <w:sz w:val="24"/>
                <w:lang w:val="en-US" w:eastAsia="zh-CN"/>
              </w:rPr>
              <w:t>为车辆运输、装卸、破碎和筛分等，在</w:t>
            </w:r>
            <w:r>
              <w:rPr>
                <w:rFonts w:hint="eastAsia"/>
                <w:bCs/>
                <w:color w:val="000000"/>
                <w:sz w:val="24"/>
                <w:lang w:eastAsia="zh-CN"/>
              </w:rPr>
              <w:t>厂界执行</w:t>
            </w:r>
            <w:r>
              <w:rPr>
                <w:rFonts w:hint="eastAsia"/>
                <w:sz w:val="24"/>
              </w:rPr>
              <w:t>上海市地方标准《大气污染物综合排放标准》（DB31/933-2015）表3无组织排放点监控浓度限值</w:t>
            </w:r>
            <w:r>
              <w:rPr>
                <w:rFonts w:hint="eastAsia"/>
                <w:bCs/>
                <w:color w:val="000000"/>
                <w:sz w:val="24"/>
              </w:rPr>
              <w:t>。</w:t>
            </w:r>
            <w:r>
              <w:rPr>
                <w:bCs/>
                <w:color w:val="000000"/>
                <w:sz w:val="24"/>
              </w:rPr>
              <w:t>具体标准值见下表</w:t>
            </w:r>
            <w:r>
              <w:rPr>
                <w:color w:val="000000"/>
                <w:sz w:val="24"/>
              </w:rPr>
              <w:t>。</w:t>
            </w:r>
          </w:p>
          <w:p>
            <w:pPr>
              <w:spacing w:line="480" w:lineRule="exact"/>
              <w:jc w:val="center"/>
              <w:rPr>
                <w:b/>
                <w:color w:val="000000"/>
                <w:sz w:val="24"/>
              </w:rPr>
            </w:pPr>
            <w:r>
              <w:rPr>
                <w:b/>
                <w:color w:val="000000"/>
                <w:sz w:val="24"/>
              </w:rPr>
              <w:t>表3-</w:t>
            </w:r>
            <w:r>
              <w:rPr>
                <w:rFonts w:hint="eastAsia"/>
                <w:b/>
                <w:color w:val="000000"/>
                <w:sz w:val="24"/>
                <w:lang w:val="en-US" w:eastAsia="zh-CN"/>
              </w:rPr>
              <w:t>5</w:t>
            </w:r>
            <w:r>
              <w:rPr>
                <w:b/>
                <w:color w:val="000000"/>
                <w:sz w:val="24"/>
              </w:rPr>
              <w:t xml:space="preserve"> </w:t>
            </w:r>
            <w:r>
              <w:rPr>
                <w:rFonts w:hint="eastAsia"/>
                <w:b/>
                <w:color w:val="000000"/>
                <w:sz w:val="24"/>
                <w:lang w:val="en-US" w:eastAsia="zh-CN"/>
              </w:rPr>
              <w:t>无组织废气</w:t>
            </w:r>
            <w:r>
              <w:rPr>
                <w:b/>
                <w:color w:val="000000"/>
                <w:sz w:val="24"/>
              </w:rPr>
              <w:t xml:space="preserve">污染物排放标准 </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1334"/>
              <w:gridCol w:w="1915"/>
              <w:gridCol w:w="35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666" w:type="pct"/>
                  <w:vAlign w:val="center"/>
                </w:tcPr>
                <w:p>
                  <w:pPr>
                    <w:widowControl/>
                    <w:adjustRightInd w:val="0"/>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污染物</w:t>
                  </w:r>
                </w:p>
              </w:tc>
              <w:tc>
                <w:tcPr>
                  <w:tcW w:w="84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bCs/>
                      <w:color w:val="0D0D0D" w:themeColor="text1" w:themeTint="F2"/>
                      <w:kern w:val="0"/>
                      <w:szCs w:val="21"/>
                      <w14:textFill>
                        <w14:solidFill>
                          <w14:schemeClr w14:val="tx1">
                            <w14:lumMod w14:val="95000"/>
                            <w14:lumOff w14:val="5000"/>
                          </w14:schemeClr>
                        </w14:solidFill>
                      </w14:textFill>
                    </w:rPr>
                    <w:t>排放</w:t>
                  </w:r>
                  <w:r>
                    <w:rPr>
                      <w:b/>
                      <w:bCs/>
                      <w:color w:val="0D0D0D" w:themeColor="text1" w:themeTint="F2"/>
                      <w:kern w:val="0"/>
                      <w:szCs w:val="21"/>
                      <w14:textFill>
                        <w14:solidFill>
                          <w14:schemeClr w14:val="tx1">
                            <w14:lumMod w14:val="95000"/>
                            <w14:lumOff w14:val="5000"/>
                          </w14:schemeClr>
                        </w14:solidFill>
                      </w14:textFill>
                    </w:rPr>
                    <w:t>限值</w:t>
                  </w:r>
                </w:p>
              </w:tc>
              <w:tc>
                <w:tcPr>
                  <w:tcW w:w="1219"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监控点/限值含义</w:t>
                  </w:r>
                </w:p>
              </w:tc>
              <w:tc>
                <w:tcPr>
                  <w:tcW w:w="2264" w:type="pct"/>
                  <w:vAlign w:val="center"/>
                </w:tcPr>
                <w:p>
                  <w:pPr>
                    <w:widowControl/>
                    <w:snapToGrid w:val="0"/>
                    <w:jc w:val="center"/>
                    <w:rPr>
                      <w:b/>
                      <w:color w:val="0D0D0D" w:themeColor="text1" w:themeTint="F2"/>
                      <w:kern w:val="0"/>
                      <w:szCs w:val="21"/>
                      <w14:textFill>
                        <w14:solidFill>
                          <w14:schemeClr w14:val="tx1">
                            <w14:lumMod w14:val="95000"/>
                            <w14:lumOff w14:val="5000"/>
                          </w14:schemeClr>
                        </w14:solidFill>
                      </w14:textFill>
                    </w:rPr>
                  </w:pPr>
                  <w:r>
                    <w:rPr>
                      <w:rFonts w:hint="eastAsia"/>
                      <w:b/>
                      <w:color w:val="0D0D0D" w:themeColor="text1" w:themeTint="F2"/>
                      <w:kern w:val="0"/>
                      <w:szCs w:val="21"/>
                      <w14:textFill>
                        <w14:solidFill>
                          <w14:schemeClr w14:val="tx1">
                            <w14:lumMod w14:val="95000"/>
                            <w14:lumOff w14:val="5000"/>
                          </w14:schemeClr>
                        </w14:solidFill>
                      </w14:textFill>
                    </w:rPr>
                    <w:t>标准依据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7" w:hRule="atLeast"/>
                <w:tblHeader/>
                <w:jc w:val="center"/>
              </w:trPr>
              <w:tc>
                <w:tcPr>
                  <w:tcW w:w="666" w:type="pct"/>
                  <w:vAlign w:val="center"/>
                </w:tcPr>
                <w:p>
                  <w:pPr>
                    <w:widowControl/>
                    <w:adjustRightInd w:val="0"/>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颗粒物</w:t>
                  </w:r>
                </w:p>
              </w:tc>
              <w:tc>
                <w:tcPr>
                  <w:tcW w:w="849" w:type="pct"/>
                  <w:vAlign w:val="center"/>
                </w:tcPr>
                <w:p>
                  <w:pPr>
                    <w:widowControl/>
                    <w:snapToGrid w:val="0"/>
                    <w:jc w:val="center"/>
                    <w:rPr>
                      <w:bCs/>
                      <w:color w:val="0D0D0D" w:themeColor="text1" w:themeTint="F2"/>
                      <w:kern w:val="0"/>
                      <w:szCs w:val="21"/>
                      <w14:textFill>
                        <w14:solidFill>
                          <w14:schemeClr w14:val="tx1">
                            <w14:lumMod w14:val="95000"/>
                            <w14:lumOff w14:val="5000"/>
                          </w14:schemeClr>
                        </w14:solidFill>
                      </w14:textFill>
                    </w:rPr>
                  </w:pPr>
                  <w:r>
                    <w:rPr>
                      <w:rFonts w:hint="eastAsia"/>
                      <w:bCs/>
                      <w:color w:val="0D0D0D" w:themeColor="text1" w:themeTint="F2"/>
                      <w:kern w:val="0"/>
                      <w:szCs w:val="21"/>
                      <w:lang w:val="en-US" w:eastAsia="zh-CN"/>
                      <w14:textFill>
                        <w14:solidFill>
                          <w14:schemeClr w14:val="tx1">
                            <w14:lumMod w14:val="95000"/>
                            <w14:lumOff w14:val="5000"/>
                          </w14:schemeClr>
                        </w14:solidFill>
                      </w14:textFill>
                    </w:rPr>
                    <w:t>0.5</w:t>
                  </w:r>
                  <w:r>
                    <w:rPr>
                      <w:rFonts w:hint="eastAsia"/>
                      <w:bCs/>
                      <w:color w:val="0D0D0D" w:themeColor="text1" w:themeTint="F2"/>
                      <w:kern w:val="0"/>
                      <w:szCs w:val="21"/>
                      <w14:textFill>
                        <w14:solidFill>
                          <w14:schemeClr w14:val="tx1">
                            <w14:lumMod w14:val="95000"/>
                            <w14:lumOff w14:val="5000"/>
                          </w14:schemeClr>
                        </w14:solidFill>
                      </w14:textFill>
                    </w:rPr>
                    <w:t xml:space="preserve"> </w:t>
                  </w:r>
                  <w:r>
                    <w:rPr>
                      <w:bCs/>
                      <w:color w:val="0D0D0D" w:themeColor="text1" w:themeTint="F2"/>
                      <w:kern w:val="0"/>
                      <w:szCs w:val="21"/>
                      <w14:textFill>
                        <w14:solidFill>
                          <w14:schemeClr w14:val="tx1">
                            <w14:lumMod w14:val="95000"/>
                            <w14:lumOff w14:val="5000"/>
                          </w14:schemeClr>
                        </w14:solidFill>
                      </w14:textFill>
                    </w:rPr>
                    <w:t>mg/m</w:t>
                  </w:r>
                  <w:r>
                    <w:rPr>
                      <w:bCs/>
                      <w:color w:val="0D0D0D" w:themeColor="text1" w:themeTint="F2"/>
                      <w:kern w:val="0"/>
                      <w:szCs w:val="21"/>
                      <w:vertAlign w:val="superscript"/>
                      <w14:textFill>
                        <w14:solidFill>
                          <w14:schemeClr w14:val="tx1">
                            <w14:lumMod w14:val="95000"/>
                            <w14:lumOff w14:val="5000"/>
                          </w14:schemeClr>
                        </w14:solidFill>
                      </w14:textFill>
                    </w:rPr>
                    <w:t>3</w:t>
                  </w:r>
                </w:p>
              </w:tc>
              <w:tc>
                <w:tcPr>
                  <w:tcW w:w="1219" w:type="pct"/>
                  <w:vAlign w:val="center"/>
                </w:tcPr>
                <w:p>
                  <w:pPr>
                    <w:widowControl/>
                    <w:snapToGrid w:val="0"/>
                    <w:jc w:val="center"/>
                    <w:rPr>
                      <w:color w:val="0D0D0D" w:themeColor="text1" w:themeTint="F2"/>
                      <w:kern w:val="0"/>
                      <w:szCs w:val="21"/>
                      <w14:textFill>
                        <w14:solidFill>
                          <w14:schemeClr w14:val="tx1">
                            <w14:lumMod w14:val="95000"/>
                            <w14:lumOff w14:val="5000"/>
                          </w14:schemeClr>
                        </w14:solidFill>
                      </w14:textFill>
                    </w:rPr>
                  </w:pPr>
                  <w:r>
                    <w:rPr>
                      <w:rFonts w:hint="eastAsia"/>
                      <w:color w:val="0D0D0D" w:themeColor="text1" w:themeTint="F2"/>
                      <w:kern w:val="0"/>
                      <w:szCs w:val="21"/>
                      <w14:textFill>
                        <w14:solidFill>
                          <w14:schemeClr w14:val="tx1">
                            <w14:lumMod w14:val="95000"/>
                            <w14:lumOff w14:val="5000"/>
                          </w14:schemeClr>
                        </w14:solidFill>
                      </w14:textFill>
                    </w:rPr>
                    <w:t>企业边界</w:t>
                  </w:r>
                </w:p>
              </w:tc>
              <w:tc>
                <w:tcPr>
                  <w:tcW w:w="2264" w:type="pct"/>
                  <w:vAlign w:val="center"/>
                </w:tcPr>
                <w:p>
                  <w:pPr>
                    <w:rPr>
                      <w:color w:val="0D0D0D" w:themeColor="text1" w:themeTint="F2"/>
                      <w:kern w:val="0"/>
                      <w:szCs w:val="21"/>
                      <w14:textFill>
                        <w14:solidFill>
                          <w14:schemeClr w14:val="tx1">
                            <w14:lumMod w14:val="95000"/>
                            <w14:lumOff w14:val="5000"/>
                          </w14:schemeClr>
                        </w14:solidFill>
                      </w14:textFill>
                    </w:rPr>
                  </w:pPr>
                  <w:r>
                    <w:rPr>
                      <w:rFonts w:hint="eastAsia"/>
                      <w:color w:val="000000"/>
                      <w:szCs w:val="21"/>
                    </w:rPr>
                    <w:t>上海市地方标准《大气污染物综合排放标准》（DB31/933-2015）表3无组织排放点监控浓度限值</w:t>
                  </w:r>
                </w:p>
              </w:tc>
            </w:tr>
          </w:tbl>
          <w:p>
            <w:pPr>
              <w:spacing w:line="460" w:lineRule="exact"/>
              <w:ind w:firstLine="482" w:firstLineChars="200"/>
              <w:rPr>
                <w:b/>
                <w:bCs/>
                <w:color w:val="000000"/>
                <w:kern w:val="0"/>
                <w:sz w:val="24"/>
              </w:rPr>
            </w:pPr>
            <w:r>
              <w:rPr>
                <w:b/>
                <w:bCs/>
                <w:color w:val="000000"/>
                <w:kern w:val="0"/>
                <w:sz w:val="24"/>
              </w:rPr>
              <w:t>2、废水</w:t>
            </w:r>
          </w:p>
          <w:p>
            <w:pPr>
              <w:adjustRightInd w:val="0"/>
              <w:spacing w:line="460" w:lineRule="exact"/>
              <w:ind w:firstLine="480" w:firstLineChars="200"/>
              <w:rPr>
                <w:color w:val="000000"/>
                <w:kern w:val="0"/>
                <w:sz w:val="24"/>
              </w:rPr>
            </w:pPr>
            <w:r>
              <w:rPr>
                <w:rFonts w:hint="eastAsia"/>
                <w:color w:val="000000"/>
                <w:kern w:val="0"/>
                <w:sz w:val="24"/>
              </w:rPr>
              <w:t>生产废水经循环沉淀池沉淀后循环使用，不外排</w:t>
            </w:r>
            <w:r>
              <w:rPr>
                <w:rFonts w:hint="eastAsia"/>
                <w:color w:val="000000"/>
                <w:kern w:val="0"/>
                <w:sz w:val="24"/>
                <w:lang w:eastAsia="zh-CN"/>
              </w:rPr>
              <w:t>。</w:t>
            </w:r>
            <w:r>
              <w:rPr>
                <w:rFonts w:hint="default"/>
                <w:bCs/>
                <w:color w:val="000000"/>
                <w:sz w:val="24"/>
                <w:lang w:val="en-US" w:eastAsia="zh-CN"/>
              </w:rPr>
              <w:t>员工为</w:t>
            </w:r>
            <w:r>
              <w:rPr>
                <w:rFonts w:hint="default"/>
                <w:bCs/>
                <w:color w:val="000000"/>
                <w:sz w:val="24"/>
                <w:lang w:eastAsia="zh-CN"/>
              </w:rPr>
              <w:t>芜湖新兴铸管有限责任公司</w:t>
            </w:r>
            <w:r>
              <w:rPr>
                <w:rFonts w:hint="default"/>
                <w:bCs/>
                <w:color w:val="000000"/>
                <w:sz w:val="24"/>
                <w:lang w:val="en-US" w:eastAsia="zh-CN"/>
              </w:rPr>
              <w:t>调配人员，生活用水依托</w:t>
            </w:r>
            <w:r>
              <w:rPr>
                <w:rFonts w:hint="default"/>
                <w:bCs/>
                <w:color w:val="000000"/>
                <w:sz w:val="24"/>
                <w:lang w:eastAsia="zh-CN"/>
              </w:rPr>
              <w:t>芜湖新兴铸管有限责任公司，</w:t>
            </w:r>
            <w:r>
              <w:rPr>
                <w:rFonts w:hint="eastAsia"/>
                <w:color w:val="000000"/>
                <w:kern w:val="0"/>
                <w:sz w:val="24"/>
                <w:lang w:val="en-US" w:eastAsia="zh-CN"/>
              </w:rPr>
              <w:t>生活污水执行《污水综合排放标准》（GB8978-1996）中的三级标准。</w:t>
            </w:r>
          </w:p>
          <w:p>
            <w:pPr>
              <w:spacing w:line="480" w:lineRule="exact"/>
              <w:ind w:firstLine="472" w:firstLineChars="196"/>
              <w:rPr>
                <w:b/>
                <w:bCs/>
                <w:color w:val="000000"/>
                <w:kern w:val="0"/>
                <w:sz w:val="24"/>
              </w:rPr>
            </w:pPr>
            <w:r>
              <w:rPr>
                <w:b/>
                <w:bCs/>
                <w:color w:val="000000"/>
                <w:kern w:val="0"/>
                <w:sz w:val="24"/>
              </w:rPr>
              <w:t>3、噪声</w:t>
            </w:r>
          </w:p>
          <w:p>
            <w:pPr>
              <w:adjustRightInd w:val="0"/>
              <w:spacing w:line="460" w:lineRule="exact"/>
              <w:ind w:firstLine="480" w:firstLineChars="200"/>
              <w:rPr>
                <w:rFonts w:hint="eastAsia"/>
                <w:color w:val="000000"/>
                <w:kern w:val="0"/>
                <w:sz w:val="24"/>
              </w:rPr>
            </w:pPr>
            <w:r>
              <w:rPr>
                <w:rFonts w:hint="eastAsia"/>
                <w:color w:val="000000"/>
                <w:kern w:val="0"/>
                <w:sz w:val="24"/>
              </w:rPr>
              <w:t>项目运营期噪声执行《工业企业厂界环境噪声排放标准》（GB12348-2008） 中的 3 类标准。具体限值详见下表。</w:t>
            </w:r>
          </w:p>
          <w:p>
            <w:pPr>
              <w:spacing w:line="440" w:lineRule="exact"/>
              <w:jc w:val="center"/>
              <w:rPr>
                <w:b/>
                <w:color w:val="000000"/>
                <w:sz w:val="24"/>
              </w:rPr>
            </w:pPr>
            <w:r>
              <w:rPr>
                <w:b/>
                <w:color w:val="000000"/>
                <w:sz w:val="24"/>
              </w:rPr>
              <w:t>表3-</w:t>
            </w:r>
            <w:r>
              <w:rPr>
                <w:rFonts w:hint="eastAsia"/>
                <w:b/>
                <w:color w:val="000000"/>
                <w:sz w:val="24"/>
                <w:lang w:val="en-US" w:eastAsia="zh-CN"/>
              </w:rPr>
              <w:t>6</w:t>
            </w:r>
            <w:r>
              <w:rPr>
                <w:b/>
                <w:color w:val="000000"/>
                <w:sz w:val="24"/>
              </w:rPr>
              <w:t xml:space="preserve">  工业企业厂界环境噪声排放标准   单位：dB（A）</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90"/>
              <w:gridCol w:w="1958"/>
              <w:gridCol w:w="320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2" w:type="pct"/>
                  <w:tcBorders>
                    <w:top w:val="single" w:color="auto" w:sz="4" w:space="0"/>
                    <w:left w:val="nil"/>
                    <w:bottom w:val="single" w:color="auto" w:sz="4" w:space="0"/>
                    <w:right w:val="single" w:color="auto" w:sz="4" w:space="0"/>
                  </w:tcBorders>
                  <w:vAlign w:val="center"/>
                </w:tcPr>
                <w:p>
                  <w:pPr>
                    <w:spacing w:line="320" w:lineRule="exact"/>
                    <w:jc w:val="center"/>
                    <w:rPr>
                      <w:b/>
                      <w:color w:val="000000"/>
                      <w:szCs w:val="21"/>
                    </w:rPr>
                  </w:pPr>
                  <w:r>
                    <w:rPr>
                      <w:b/>
                      <w:color w:val="000000"/>
                      <w:szCs w:val="21"/>
                    </w:rPr>
                    <w:t>声环境功能区类别</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szCs w:val="21"/>
                    </w:rPr>
                  </w:pPr>
                  <w:r>
                    <w:rPr>
                      <w:b/>
                      <w:color w:val="000000"/>
                      <w:szCs w:val="21"/>
                    </w:rPr>
                    <w:t>昼间</w:t>
                  </w:r>
                </w:p>
              </w:tc>
              <w:tc>
                <w:tcPr>
                  <w:tcW w:w="2040" w:type="pct"/>
                  <w:tcBorders>
                    <w:top w:val="single" w:color="auto" w:sz="4" w:space="0"/>
                    <w:left w:val="single" w:color="auto" w:sz="4" w:space="0"/>
                    <w:bottom w:val="single" w:color="auto" w:sz="4" w:space="0"/>
                    <w:right w:val="nil"/>
                  </w:tcBorders>
                  <w:vAlign w:val="center"/>
                </w:tcPr>
                <w:p>
                  <w:pPr>
                    <w:spacing w:line="320" w:lineRule="exact"/>
                    <w:jc w:val="center"/>
                    <w:rPr>
                      <w:b/>
                      <w:color w:val="000000"/>
                      <w:szCs w:val="21"/>
                    </w:rPr>
                  </w:pPr>
                  <w:r>
                    <w:rPr>
                      <w:b/>
                      <w:color w:val="000000"/>
                      <w:szCs w:val="21"/>
                    </w:rPr>
                    <w:t>夜间</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12" w:type="pct"/>
                  <w:tcBorders>
                    <w:top w:val="single" w:color="auto" w:sz="4" w:space="0"/>
                    <w:left w:val="nil"/>
                    <w:bottom w:val="single" w:color="auto" w:sz="4" w:space="0"/>
                    <w:right w:val="single" w:color="auto" w:sz="4" w:space="0"/>
                  </w:tcBorders>
                  <w:vAlign w:val="center"/>
                </w:tcPr>
                <w:p>
                  <w:pPr>
                    <w:spacing w:line="320" w:lineRule="exact"/>
                    <w:jc w:val="center"/>
                    <w:rPr>
                      <w:color w:val="000000"/>
                      <w:szCs w:val="21"/>
                    </w:rPr>
                  </w:pPr>
                  <w:r>
                    <w:rPr>
                      <w:color w:val="000000"/>
                      <w:szCs w:val="21"/>
                    </w:rPr>
                    <w:t>3类</w:t>
                  </w:r>
                </w:p>
              </w:tc>
              <w:tc>
                <w:tcPr>
                  <w:tcW w:w="1246" w:type="pct"/>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szCs w:val="21"/>
                    </w:rPr>
                  </w:pPr>
                  <w:r>
                    <w:rPr>
                      <w:color w:val="000000"/>
                      <w:szCs w:val="21"/>
                    </w:rPr>
                    <w:t xml:space="preserve">65 </w:t>
                  </w:r>
                </w:p>
              </w:tc>
              <w:tc>
                <w:tcPr>
                  <w:tcW w:w="2040" w:type="pct"/>
                  <w:tcBorders>
                    <w:top w:val="single" w:color="auto" w:sz="4" w:space="0"/>
                    <w:left w:val="single" w:color="auto" w:sz="4" w:space="0"/>
                    <w:bottom w:val="single" w:color="auto" w:sz="4" w:space="0"/>
                    <w:right w:val="nil"/>
                  </w:tcBorders>
                  <w:vAlign w:val="center"/>
                </w:tcPr>
                <w:p>
                  <w:pPr>
                    <w:spacing w:line="320" w:lineRule="exact"/>
                    <w:jc w:val="center"/>
                    <w:rPr>
                      <w:color w:val="000000"/>
                      <w:szCs w:val="21"/>
                    </w:rPr>
                  </w:pPr>
                  <w:r>
                    <w:rPr>
                      <w:color w:val="000000"/>
                      <w:szCs w:val="21"/>
                    </w:rPr>
                    <w:t>55</w:t>
                  </w:r>
                </w:p>
              </w:tc>
            </w:tr>
          </w:tbl>
          <w:p>
            <w:pPr>
              <w:spacing w:line="480" w:lineRule="exact"/>
              <w:ind w:firstLine="472" w:firstLineChars="196"/>
              <w:jc w:val="left"/>
              <w:rPr>
                <w:b/>
                <w:bCs/>
                <w:color w:val="000000"/>
                <w:kern w:val="0"/>
                <w:sz w:val="24"/>
              </w:rPr>
            </w:pPr>
            <w:r>
              <w:rPr>
                <w:b/>
                <w:bCs/>
                <w:color w:val="000000"/>
                <w:kern w:val="0"/>
                <w:sz w:val="24"/>
              </w:rPr>
              <w:t>4、固体废物</w:t>
            </w:r>
          </w:p>
          <w:p>
            <w:pPr>
              <w:adjustRightInd w:val="0"/>
              <w:spacing w:line="460" w:lineRule="exact"/>
              <w:ind w:firstLine="480" w:firstLineChars="200"/>
              <w:rPr>
                <w:rFonts w:hint="eastAsia"/>
                <w:color w:val="000000"/>
                <w:kern w:val="0"/>
                <w:sz w:val="24"/>
              </w:rPr>
            </w:pPr>
            <w:r>
              <w:rPr>
                <w:rFonts w:hint="eastAsia"/>
                <w:color w:val="000000"/>
                <w:kern w:val="0"/>
                <w:sz w:val="24"/>
              </w:rPr>
              <w:t>项目生产过程中一般固废的暂存执行《一般工业固体废物贮存和填埋污染控制标准》（GB18599-2020）的要求。危险固废的暂存场所执行《危险废物贮存污染控制标准》（GB18597-2001）（2013 年修订）中有关要求。</w:t>
            </w:r>
          </w:p>
          <w:p>
            <w:pPr>
              <w:adjustRightInd w:val="0"/>
              <w:snapToGrid w:val="0"/>
              <w:jc w:val="center"/>
              <w:rPr>
                <w:rFonts w:cs="宋体"/>
                <w:kern w:val="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992" w:type="dxa"/>
            <w:vAlign w:val="center"/>
          </w:tcPr>
          <w:p>
            <w:pPr>
              <w:adjustRightInd w:val="0"/>
              <w:snapToGrid w:val="0"/>
              <w:jc w:val="center"/>
              <w:rPr>
                <w:rFonts w:cs="宋体"/>
                <w:kern w:val="0"/>
                <w:sz w:val="24"/>
              </w:rPr>
            </w:pPr>
            <w:r>
              <w:rPr>
                <w:rFonts w:hint="eastAsia" w:cs="宋体"/>
                <w:kern w:val="0"/>
                <w:sz w:val="24"/>
              </w:rPr>
              <w:t>总量</w:t>
            </w:r>
          </w:p>
          <w:p>
            <w:pPr>
              <w:adjustRightInd w:val="0"/>
              <w:snapToGrid w:val="0"/>
              <w:jc w:val="center"/>
              <w:rPr>
                <w:rFonts w:cs="宋体"/>
                <w:kern w:val="0"/>
                <w:sz w:val="24"/>
              </w:rPr>
            </w:pPr>
            <w:r>
              <w:rPr>
                <w:rFonts w:hint="eastAsia" w:cs="宋体"/>
                <w:kern w:val="0"/>
                <w:sz w:val="24"/>
              </w:rPr>
              <w:t>控制</w:t>
            </w:r>
          </w:p>
          <w:p>
            <w:pPr>
              <w:adjustRightInd w:val="0"/>
              <w:snapToGrid w:val="0"/>
              <w:jc w:val="center"/>
              <w:rPr>
                <w:rFonts w:cs="宋体"/>
                <w:kern w:val="0"/>
                <w:szCs w:val="21"/>
              </w:rPr>
            </w:pPr>
            <w:r>
              <w:rPr>
                <w:rFonts w:hint="eastAsia" w:cs="宋体"/>
                <w:kern w:val="0"/>
                <w:sz w:val="24"/>
              </w:rPr>
              <w:t>指标</w:t>
            </w:r>
          </w:p>
        </w:tc>
        <w:tc>
          <w:tcPr>
            <w:tcW w:w="8069" w:type="dxa"/>
            <w:vAlign w:val="center"/>
          </w:tcPr>
          <w:p>
            <w:pPr>
              <w:autoSpaceDE w:val="0"/>
              <w:autoSpaceDN w:val="0"/>
              <w:adjustRightInd w:val="0"/>
              <w:spacing w:line="360" w:lineRule="auto"/>
              <w:ind w:firstLine="480" w:firstLineChars="200"/>
              <w:rPr>
                <w:color w:val="000000"/>
                <w:kern w:val="0"/>
                <w:sz w:val="24"/>
              </w:rPr>
            </w:pPr>
            <w:r>
              <w:rPr>
                <w:color w:val="000000"/>
                <w:kern w:val="0"/>
                <w:sz w:val="24"/>
              </w:rPr>
              <w:t>根据《国务院关于印发&lt;“十三五”节能减排综合性工作方案&gt;的通知》（国发[2013]37号），目前国家对化学需氧量COD、氨氮NH</w:t>
            </w:r>
            <w:r>
              <w:rPr>
                <w:color w:val="000000"/>
                <w:kern w:val="0"/>
                <w:sz w:val="24"/>
                <w:vertAlign w:val="subscript"/>
              </w:rPr>
              <w:t>3</w:t>
            </w:r>
            <w:r>
              <w:rPr>
                <w:color w:val="000000"/>
                <w:kern w:val="0"/>
                <w:sz w:val="24"/>
              </w:rPr>
              <w:t>-N、二氧化硫SO</w:t>
            </w:r>
            <w:r>
              <w:rPr>
                <w:color w:val="000000"/>
                <w:kern w:val="0"/>
                <w:sz w:val="24"/>
                <w:vertAlign w:val="subscript"/>
              </w:rPr>
              <w:t>2</w:t>
            </w:r>
            <w:r>
              <w:rPr>
                <w:color w:val="000000"/>
                <w:kern w:val="0"/>
                <w:sz w:val="24"/>
              </w:rPr>
              <w:t>、氮氧化物NOx、烟粉尘、VOCs等六种主要污染物纳入排放总量控制计划管理。</w:t>
            </w:r>
          </w:p>
          <w:p>
            <w:pPr>
              <w:pStyle w:val="6"/>
              <w:rPr>
                <w:rFonts w:hint="eastAsia" w:ascii="Times New Roman" w:hAnsi="Times New Roman" w:eastAsia="宋体" w:cs="Times New Roman"/>
                <w:b w:val="0"/>
                <w:bCs w:val="0"/>
                <w:color w:val="000000"/>
                <w:kern w:val="0"/>
                <w:sz w:val="24"/>
                <w:szCs w:val="24"/>
                <w:lang w:val="en-US" w:eastAsia="zh-CN" w:bidi="ar-SA"/>
              </w:rPr>
            </w:pPr>
            <w:r>
              <w:rPr>
                <w:rFonts w:hint="eastAsia" w:ascii="Times New Roman" w:hAnsi="Times New Roman" w:eastAsia="宋体" w:cs="Times New Roman"/>
                <w:b w:val="0"/>
                <w:bCs w:val="0"/>
                <w:color w:val="000000"/>
                <w:kern w:val="0"/>
                <w:sz w:val="24"/>
                <w:szCs w:val="24"/>
                <w:lang w:val="en-US" w:eastAsia="zh-CN" w:bidi="ar-SA"/>
              </w:rPr>
              <w:t>本项目总量控制因子详见表3-7。</w:t>
            </w:r>
          </w:p>
          <w:p>
            <w:pPr>
              <w:spacing w:line="440" w:lineRule="exact"/>
              <w:jc w:val="center"/>
              <w:rPr>
                <w:rFonts w:hint="eastAsia"/>
                <w:b/>
                <w:color w:val="000000"/>
                <w:sz w:val="24"/>
              </w:rPr>
            </w:pPr>
            <w:r>
              <w:rPr>
                <w:rFonts w:hint="eastAsia"/>
                <w:b/>
                <w:color w:val="000000"/>
                <w:sz w:val="24"/>
              </w:rPr>
              <w:t>表3-</w:t>
            </w:r>
            <w:r>
              <w:rPr>
                <w:rFonts w:hint="eastAsia"/>
                <w:b/>
                <w:color w:val="000000"/>
                <w:sz w:val="24"/>
                <w:lang w:val="en-US" w:eastAsia="zh-CN"/>
              </w:rPr>
              <w:t>7</w:t>
            </w:r>
            <w:r>
              <w:rPr>
                <w:rFonts w:hint="eastAsia"/>
                <w:b/>
                <w:color w:val="000000"/>
                <w:sz w:val="24"/>
              </w:rPr>
              <w:t xml:space="preserve"> 污染物排放总量控制指标表 t/a</w:t>
            </w:r>
          </w:p>
          <w:tbl>
            <w:tblPr>
              <w:tblStyle w:val="27"/>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571"/>
              <w:gridCol w:w="1571"/>
              <w:gridCol w:w="1571"/>
              <w:gridCol w:w="157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75" w:type="dxa"/>
                  <w:vMerge w:val="restart"/>
                  <w:vAlign w:val="center"/>
                </w:tcPr>
                <w:p>
                  <w:pPr>
                    <w:pStyle w:val="6"/>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类别</w:t>
                  </w:r>
                </w:p>
              </w:tc>
              <w:tc>
                <w:tcPr>
                  <w:tcW w:w="1676" w:type="dxa"/>
                  <w:vMerge w:val="restart"/>
                  <w:vAlign w:val="center"/>
                </w:tcPr>
                <w:p>
                  <w:pPr>
                    <w:pStyle w:val="6"/>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污染物名称</w:t>
                  </w:r>
                </w:p>
              </w:tc>
              <w:tc>
                <w:tcPr>
                  <w:tcW w:w="5028" w:type="dxa"/>
                  <w:gridSpan w:val="3"/>
                  <w:vAlign w:val="center"/>
                </w:tcPr>
                <w:p>
                  <w:pPr>
                    <w:pStyle w:val="6"/>
                    <w:jc w:val="center"/>
                    <w:rPr>
                      <w:rFonts w:hint="eastAsia" w:ascii="宋体" w:hAnsi="宋体" w:eastAsia="宋体" w:cs="宋体"/>
                      <w:b/>
                      <w:bCs/>
                      <w:sz w:val="21"/>
                      <w:szCs w:val="21"/>
                      <w:vertAlign w:val="baseline"/>
                    </w:rPr>
                  </w:pPr>
                  <w:r>
                    <w:rPr>
                      <w:rFonts w:hint="eastAsia" w:ascii="宋体" w:hAnsi="宋体" w:eastAsia="宋体" w:cs="宋体"/>
                      <w:b/>
                      <w:bCs/>
                      <w:sz w:val="21"/>
                      <w:szCs w:val="21"/>
                      <w:vertAlign w:val="baseline"/>
                      <w:lang w:val="en-US" w:eastAsia="zh-CN"/>
                    </w:rPr>
                    <w:t>污染物排放量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75" w:type="dxa"/>
                  <w:vMerge w:val="continue"/>
                  <w:vAlign w:val="center"/>
                </w:tcPr>
                <w:p>
                  <w:pPr>
                    <w:pStyle w:val="6"/>
                    <w:jc w:val="center"/>
                    <w:rPr>
                      <w:rFonts w:hint="eastAsia" w:ascii="宋体" w:hAnsi="宋体" w:eastAsia="宋体" w:cs="宋体"/>
                      <w:b/>
                      <w:bCs/>
                      <w:sz w:val="21"/>
                      <w:szCs w:val="21"/>
                      <w:vertAlign w:val="baseline"/>
                    </w:rPr>
                  </w:pPr>
                </w:p>
              </w:tc>
              <w:tc>
                <w:tcPr>
                  <w:tcW w:w="1676" w:type="dxa"/>
                  <w:vMerge w:val="continue"/>
                  <w:vAlign w:val="center"/>
                </w:tcPr>
                <w:p>
                  <w:pPr>
                    <w:pStyle w:val="6"/>
                    <w:jc w:val="center"/>
                    <w:rPr>
                      <w:rFonts w:hint="eastAsia" w:ascii="宋体" w:hAnsi="宋体" w:eastAsia="宋体" w:cs="宋体"/>
                      <w:b/>
                      <w:bCs/>
                      <w:sz w:val="21"/>
                      <w:szCs w:val="21"/>
                      <w:vertAlign w:val="baseline"/>
                    </w:rPr>
                  </w:pPr>
                </w:p>
              </w:tc>
              <w:tc>
                <w:tcPr>
                  <w:tcW w:w="1676" w:type="dxa"/>
                  <w:vAlign w:val="center"/>
                </w:tcPr>
                <w:p>
                  <w:pPr>
                    <w:pStyle w:val="6"/>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现有项目</w:t>
                  </w:r>
                </w:p>
              </w:tc>
              <w:tc>
                <w:tcPr>
                  <w:tcW w:w="1676" w:type="dxa"/>
                  <w:vAlign w:val="center"/>
                </w:tcPr>
                <w:p>
                  <w:pPr>
                    <w:pStyle w:val="6"/>
                    <w:jc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本项目新增</w:t>
                  </w:r>
                </w:p>
              </w:tc>
              <w:tc>
                <w:tcPr>
                  <w:tcW w:w="1676" w:type="dxa"/>
                  <w:vAlign w:val="center"/>
                </w:tcPr>
                <w:p>
                  <w:pPr>
                    <w:pStyle w:val="6"/>
                    <w:jc w:val="center"/>
                    <w:rPr>
                      <w:rFonts w:hint="eastAsia"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改扩建后</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675" w:type="dxa"/>
                  <w:vAlign w:val="center"/>
                </w:tcPr>
                <w:p>
                  <w:pPr>
                    <w:pStyle w:val="6"/>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大气污染物</w:t>
                  </w:r>
                </w:p>
              </w:tc>
              <w:tc>
                <w:tcPr>
                  <w:tcW w:w="1676" w:type="dxa"/>
                  <w:vAlign w:val="center"/>
                </w:tcPr>
                <w:p>
                  <w:pPr>
                    <w:pStyle w:val="6"/>
                    <w:jc w:val="center"/>
                    <w:rPr>
                      <w:rFonts w:hint="eastAsia"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颗粒物</w:t>
                  </w:r>
                </w:p>
              </w:tc>
              <w:tc>
                <w:tcPr>
                  <w:tcW w:w="1676" w:type="dxa"/>
                  <w:vAlign w:val="center"/>
                </w:tcPr>
                <w:p>
                  <w:pPr>
                    <w:pStyle w:val="6"/>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0.126</w:t>
                  </w:r>
                </w:p>
              </w:tc>
              <w:tc>
                <w:tcPr>
                  <w:tcW w:w="1676" w:type="dxa"/>
                  <w:vAlign w:val="center"/>
                </w:tcPr>
                <w:p>
                  <w:pPr>
                    <w:pStyle w:val="6"/>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4.662</w:t>
                  </w:r>
                </w:p>
              </w:tc>
              <w:tc>
                <w:tcPr>
                  <w:tcW w:w="1676" w:type="dxa"/>
                  <w:vAlign w:val="center"/>
                </w:tcPr>
                <w:p>
                  <w:pPr>
                    <w:pStyle w:val="6"/>
                    <w:jc w:val="center"/>
                    <w:rPr>
                      <w:rFonts w:hint="default" w:ascii="宋体" w:hAnsi="宋体" w:eastAsia="宋体" w:cs="宋体"/>
                      <w:b w:val="0"/>
                      <w:bCs w:val="0"/>
                      <w:sz w:val="21"/>
                      <w:szCs w:val="21"/>
                      <w:vertAlign w:val="baseline"/>
                      <w:lang w:val="en-US" w:eastAsia="zh-CN"/>
                    </w:rPr>
                  </w:pPr>
                  <w:r>
                    <w:rPr>
                      <w:rFonts w:hint="eastAsia" w:ascii="宋体" w:hAnsi="宋体" w:eastAsia="宋体" w:cs="宋体"/>
                      <w:b w:val="0"/>
                      <w:bCs w:val="0"/>
                      <w:sz w:val="21"/>
                      <w:szCs w:val="21"/>
                      <w:vertAlign w:val="baseline"/>
                      <w:lang w:val="en-US" w:eastAsia="zh-CN"/>
                    </w:rPr>
                    <w:t>4.788</w:t>
                  </w:r>
                  <w:bookmarkStart w:id="2" w:name="_GoBack"/>
                  <w:bookmarkEnd w:id="2"/>
                </w:p>
              </w:tc>
            </w:tr>
          </w:tbl>
          <w:p>
            <w:pPr>
              <w:adjustRightInd w:val="0"/>
              <w:spacing w:line="360" w:lineRule="auto"/>
              <w:ind w:firstLine="420" w:firstLineChars="200"/>
              <w:rPr>
                <w:rFonts w:cs="宋体"/>
                <w:kern w:val="0"/>
                <w:szCs w:val="21"/>
              </w:rPr>
            </w:pPr>
          </w:p>
        </w:tc>
      </w:tr>
    </w:tbl>
    <w:p>
      <w:pPr>
        <w:pStyle w:val="24"/>
        <w:jc w:val="center"/>
        <w:outlineLvl w:val="0"/>
        <w:rPr>
          <w:rFonts w:ascii="Times New Roman" w:hAnsi="Times New Roman"/>
          <w:snapToGrid w:val="0"/>
          <w:sz w:val="30"/>
          <w:szCs w:val="30"/>
        </w:rPr>
      </w:pPr>
      <w:r>
        <w:rPr>
          <w:rFonts w:ascii="Times New Roman" w:hAnsi="Times New Roman"/>
          <w:snapToGrid w:val="0"/>
          <w:sz w:val="36"/>
          <w:szCs w:val="36"/>
        </w:rPr>
        <w:br w:type="page"/>
      </w:r>
      <w:r>
        <w:rPr>
          <w:rFonts w:hint="eastAsia" w:ascii="Times New Roman" w:hAnsi="Times New Roman"/>
          <w:snapToGrid w:val="0"/>
          <w:sz w:val="30"/>
          <w:szCs w:val="30"/>
        </w:rPr>
        <w:t>四、主要环境影响和保护措施</w:t>
      </w:r>
    </w:p>
    <w:tbl>
      <w:tblPr>
        <w:tblStyle w:val="26"/>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07"/>
        <w:gridCol w:w="807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868" w:hRule="atLeast"/>
          <w:jc w:val="center"/>
        </w:trPr>
        <w:tc>
          <w:tcPr>
            <w:tcW w:w="907" w:type="dxa"/>
            <w:tcMar>
              <w:left w:w="28" w:type="dxa"/>
              <w:right w:w="28" w:type="dxa"/>
            </w:tcMar>
            <w:vAlign w:val="center"/>
          </w:tcPr>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施工</w:t>
            </w:r>
          </w:p>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期环</w:t>
            </w:r>
          </w:p>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境保</w:t>
            </w:r>
          </w:p>
          <w:p>
            <w:pPr>
              <w:pStyle w:val="24"/>
              <w:adjustRightInd w:val="0"/>
              <w:snapToGrid w:val="0"/>
              <w:spacing w:before="0" w:beforeAutospacing="0" w:after="0" w:afterAutospacing="0"/>
              <w:jc w:val="center"/>
              <w:rPr>
                <w:rFonts w:ascii="Times New Roman" w:hAnsi="Times New Roman" w:cs="宋体"/>
                <w:kern w:val="2"/>
                <w:szCs w:val="24"/>
              </w:rPr>
            </w:pPr>
            <w:r>
              <w:rPr>
                <w:rFonts w:hint="eastAsia" w:ascii="Times New Roman" w:hAnsi="Times New Roman" w:cs="宋体"/>
                <w:kern w:val="2"/>
                <w:szCs w:val="24"/>
              </w:rPr>
              <w:t>护措</w:t>
            </w:r>
          </w:p>
          <w:p>
            <w:pPr>
              <w:pStyle w:val="24"/>
              <w:adjustRightInd w:val="0"/>
              <w:snapToGrid w:val="0"/>
              <w:spacing w:before="0" w:beforeAutospacing="0" w:after="0" w:afterAutospacing="0"/>
              <w:jc w:val="center"/>
              <w:rPr>
                <w:rFonts w:ascii="Times New Roman" w:hAnsi="Times New Roman" w:cs="宋体"/>
                <w:bCs/>
                <w:kern w:val="2"/>
                <w:sz w:val="21"/>
                <w:szCs w:val="21"/>
              </w:rPr>
            </w:pPr>
            <w:r>
              <w:rPr>
                <w:rFonts w:hint="eastAsia" w:ascii="Times New Roman" w:hAnsi="Times New Roman" w:cs="宋体"/>
                <w:kern w:val="2"/>
                <w:szCs w:val="24"/>
              </w:rPr>
              <w:t>施</w:t>
            </w:r>
          </w:p>
        </w:tc>
        <w:tc>
          <w:tcPr>
            <w:tcW w:w="8074" w:type="dxa"/>
            <w:vAlign w:val="center"/>
          </w:tcPr>
          <w:p>
            <w:pPr>
              <w:spacing w:line="360" w:lineRule="auto"/>
              <w:ind w:firstLine="480" w:firstLineChars="200"/>
              <w:textAlignment w:val="baseline"/>
              <w:rPr>
                <w:szCs w:val="21"/>
              </w:rPr>
            </w:pPr>
            <w:r>
              <w:rPr>
                <w:rFonts w:hint="eastAsia"/>
                <w:color w:val="000000"/>
                <w:sz w:val="24"/>
                <w:lang w:val="en-US" w:eastAsia="zh-CN"/>
              </w:rPr>
              <w:t>本项目利用自有和租赁的生产用房，没有土建施工，不产生土建施工的 相关环境影响。但在设备安装过程中会产生一些机械噪声，源强峰值可达 85~100 分贝，因此，为控制设备安装期间的噪声污染，施工单位应尽量采用低噪声的器械，避免夜间进行高噪振动操作，从而减轻对厂界周围声环境的影响。另外，设备安装期间产生的生活污水应排入污水管网，生活垃圾应及时收集处理，设备安装期间产生的固废应妥善处理，能回用的尽量回用，不能回用的应根据固废的性质不同交由不同的处理部门处理。设备安装期的影响短暂，随着安装调试的结束，环境影响随即停止</w:t>
            </w:r>
            <w:r>
              <w:rPr>
                <w:rFonts w:hint="eastAsia"/>
                <w:b/>
                <w:bCs/>
                <w:color w:val="000000"/>
                <w:sz w:val="24"/>
                <w:szCs w:val="32"/>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07" w:type="dxa"/>
            <w:tcMar>
              <w:left w:w="28" w:type="dxa"/>
              <w:right w:w="28" w:type="dxa"/>
            </w:tcMar>
            <w:vAlign w:val="center"/>
          </w:tcPr>
          <w:p>
            <w:pPr>
              <w:adjustRightInd w:val="0"/>
              <w:snapToGrid w:val="0"/>
              <w:jc w:val="center"/>
              <w:rPr>
                <w:rFonts w:cs="宋体"/>
                <w:bCs/>
                <w:sz w:val="24"/>
              </w:rPr>
            </w:pPr>
            <w:r>
              <w:rPr>
                <w:rFonts w:hint="eastAsia" w:cs="宋体"/>
                <w:bCs/>
                <w:sz w:val="24"/>
              </w:rPr>
              <w:t>运营</w:t>
            </w:r>
          </w:p>
          <w:p>
            <w:pPr>
              <w:adjustRightInd w:val="0"/>
              <w:snapToGrid w:val="0"/>
              <w:jc w:val="center"/>
              <w:rPr>
                <w:rFonts w:cs="宋体"/>
                <w:bCs/>
                <w:sz w:val="24"/>
              </w:rPr>
            </w:pPr>
            <w:r>
              <w:rPr>
                <w:rFonts w:hint="eastAsia" w:cs="宋体"/>
                <w:bCs/>
                <w:sz w:val="24"/>
              </w:rPr>
              <w:t>期环</w:t>
            </w:r>
          </w:p>
          <w:p>
            <w:pPr>
              <w:adjustRightInd w:val="0"/>
              <w:snapToGrid w:val="0"/>
              <w:jc w:val="center"/>
              <w:rPr>
                <w:rFonts w:cs="宋体"/>
                <w:bCs/>
                <w:sz w:val="24"/>
              </w:rPr>
            </w:pPr>
            <w:r>
              <w:rPr>
                <w:rFonts w:hint="eastAsia" w:cs="宋体"/>
                <w:bCs/>
                <w:sz w:val="24"/>
              </w:rPr>
              <w:t>境影</w:t>
            </w:r>
          </w:p>
          <w:p>
            <w:pPr>
              <w:adjustRightInd w:val="0"/>
              <w:snapToGrid w:val="0"/>
              <w:jc w:val="center"/>
              <w:rPr>
                <w:rFonts w:cs="宋体"/>
                <w:bCs/>
                <w:sz w:val="24"/>
              </w:rPr>
            </w:pPr>
            <w:r>
              <w:rPr>
                <w:rFonts w:hint="eastAsia" w:cs="宋体"/>
                <w:bCs/>
                <w:sz w:val="24"/>
              </w:rPr>
              <w:t>响和</w:t>
            </w:r>
          </w:p>
          <w:p>
            <w:pPr>
              <w:adjustRightInd w:val="0"/>
              <w:snapToGrid w:val="0"/>
              <w:jc w:val="center"/>
              <w:rPr>
                <w:rFonts w:cs="宋体"/>
                <w:bCs/>
                <w:sz w:val="24"/>
              </w:rPr>
            </w:pPr>
            <w:r>
              <w:rPr>
                <w:rFonts w:hint="eastAsia" w:cs="宋体"/>
                <w:bCs/>
                <w:sz w:val="24"/>
              </w:rPr>
              <w:t>保护</w:t>
            </w:r>
          </w:p>
          <w:p>
            <w:pPr>
              <w:adjustRightInd w:val="0"/>
              <w:snapToGrid w:val="0"/>
              <w:jc w:val="center"/>
              <w:rPr>
                <w:rFonts w:cs="宋体"/>
                <w:bCs/>
                <w:szCs w:val="21"/>
              </w:rPr>
            </w:pPr>
            <w:r>
              <w:rPr>
                <w:rFonts w:hint="eastAsia" w:cs="宋体"/>
                <w:bCs/>
                <w:sz w:val="24"/>
              </w:rPr>
              <w:t>措施</w:t>
            </w:r>
          </w:p>
        </w:tc>
        <w:tc>
          <w:tcPr>
            <w:tcW w:w="8074" w:type="dxa"/>
            <w:vAlign w:val="center"/>
          </w:tcPr>
          <w:p>
            <w:pPr>
              <w:pStyle w:val="64"/>
              <w:numPr>
                <w:ilvl w:val="0"/>
                <w:numId w:val="3"/>
              </w:numPr>
              <w:spacing w:line="360" w:lineRule="auto"/>
              <w:ind w:firstLineChars="0"/>
              <w:rPr>
                <w:b/>
                <w:bCs/>
                <w:sz w:val="24"/>
              </w:rPr>
            </w:pPr>
            <w:r>
              <w:rPr>
                <w:b/>
                <w:bCs/>
                <w:sz w:val="24"/>
              </w:rPr>
              <w:t>废气</w:t>
            </w:r>
            <w:r>
              <w:rPr>
                <w:rFonts w:hint="eastAsia"/>
                <w:b/>
                <w:bCs/>
                <w:sz w:val="24"/>
              </w:rPr>
              <w:t>环境影响和保护措施</w:t>
            </w:r>
          </w:p>
          <w:p>
            <w:pPr>
              <w:spacing w:line="360" w:lineRule="auto"/>
              <w:ind w:firstLine="482" w:firstLineChars="200"/>
              <w:rPr>
                <w:b/>
                <w:bCs/>
                <w:sz w:val="24"/>
              </w:rPr>
            </w:pPr>
            <w:r>
              <w:rPr>
                <w:rFonts w:hint="eastAsia"/>
                <w:b/>
                <w:bCs/>
                <w:sz w:val="24"/>
              </w:rPr>
              <w:t>1、废气污染源分析</w:t>
            </w:r>
          </w:p>
          <w:p>
            <w:pPr>
              <w:spacing w:line="360" w:lineRule="auto"/>
              <w:ind w:firstLine="480" w:firstLineChars="200"/>
              <w:textAlignment w:val="baseline"/>
              <w:rPr>
                <w:rFonts w:hint="eastAsia"/>
                <w:color w:val="000000"/>
                <w:sz w:val="24"/>
              </w:rPr>
            </w:pPr>
            <w:r>
              <w:rPr>
                <w:rFonts w:hint="eastAsia"/>
                <w:color w:val="000000"/>
                <w:sz w:val="24"/>
                <w:lang w:val="en-US" w:eastAsia="zh-CN"/>
              </w:rPr>
              <w:t>本工程实施后废气污染源主要为</w:t>
            </w:r>
            <w:r>
              <w:rPr>
                <w:rFonts w:hint="eastAsia"/>
                <w:color w:val="auto"/>
                <w:sz w:val="24"/>
                <w:lang w:val="en-US" w:eastAsia="zh-CN"/>
              </w:rPr>
              <w:t>道路运输扬尘</w:t>
            </w:r>
            <w:r>
              <w:rPr>
                <w:rFonts w:hint="eastAsia"/>
                <w:color w:val="000000"/>
                <w:sz w:val="24"/>
                <w:lang w:val="en-US" w:eastAsia="zh-CN"/>
              </w:rPr>
              <w:t xml:space="preserve">、破碎筛分粉尘、以及原料产品在厂内装卸、堆存与转运过程中产生的扬尘。 </w:t>
            </w:r>
          </w:p>
          <w:p>
            <w:pPr>
              <w:spacing w:line="360" w:lineRule="auto"/>
              <w:ind w:firstLine="480" w:firstLineChars="200"/>
              <w:textAlignment w:val="baseline"/>
              <w:rPr>
                <w:rFonts w:hint="eastAsia"/>
                <w:color w:val="auto"/>
                <w:sz w:val="24"/>
              </w:rPr>
            </w:pPr>
            <w:r>
              <w:rPr>
                <w:rFonts w:hint="eastAsia"/>
                <w:color w:val="auto"/>
                <w:sz w:val="24"/>
                <w:lang w:val="en-US" w:eastAsia="zh-CN"/>
              </w:rPr>
              <w:t>（1）道路运输扬尘</w:t>
            </w:r>
          </w:p>
          <w:p>
            <w:pPr>
              <w:tabs>
                <w:tab w:val="left" w:pos="2520"/>
              </w:tabs>
              <w:adjustRightInd w:val="0"/>
              <w:spacing w:line="360" w:lineRule="auto"/>
              <w:ind w:firstLine="470" w:firstLineChars="196"/>
              <w:rPr>
                <w:sz w:val="24"/>
              </w:rPr>
            </w:pPr>
            <w:r>
              <w:rPr>
                <w:rFonts w:hint="eastAsia"/>
                <w:sz w:val="24"/>
              </w:rPr>
              <w:t>原料运输的主要工具是汽车，汽车在运输过程不可避免地会产生扬尘。根据汽车道路扬尘扩散规律，当风速小于4m/s 时，风速对汽车在道路上行驶时引起的扬尘量影响较小；当风速大于4m/s 时，由于风也能引起扬尘，所以风速对汽车扬尘产生量有明显影响。在大气干燥和地面风速低于4m/s 条件下，汽车行驶时引起的路面扬尘量与汽车速度、汽车质量及道路表面扬尘量均成正比，其汽车扬尘量预测经验公式为：</w:t>
            </w:r>
          </w:p>
          <w:p>
            <w:pPr>
              <w:tabs>
                <w:tab w:val="left" w:pos="2520"/>
              </w:tabs>
              <w:adjustRightInd w:val="0"/>
              <w:spacing w:line="360" w:lineRule="auto"/>
              <w:ind w:firstLine="411" w:firstLineChars="196"/>
              <w:rPr>
                <w:sz w:val="24"/>
              </w:rPr>
            </w:pPr>
            <w:r>
              <w:rPr>
                <w:rFonts w:hint="eastAsia" w:ascii="仿宋" w:hAnsi="仿宋" w:eastAsia="仿宋" w:cs="仿宋"/>
              </w:rPr>
              <w:drawing>
                <wp:inline distT="0" distB="0" distL="0" distR="0">
                  <wp:extent cx="4370070" cy="1749425"/>
                  <wp:effectExtent l="0" t="0" r="1143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370070" cy="1749425"/>
                          </a:xfrm>
                          <a:prstGeom prst="rect">
                            <a:avLst/>
                          </a:prstGeom>
                          <a:noFill/>
                          <a:ln>
                            <a:noFill/>
                          </a:ln>
                        </pic:spPr>
                      </pic:pic>
                    </a:graphicData>
                  </a:graphic>
                </wp:inline>
              </w:drawing>
            </w:r>
          </w:p>
          <w:p>
            <w:pPr>
              <w:pStyle w:val="96"/>
              <w:snapToGrid w:val="0"/>
              <w:ind w:firstLine="480" w:firstLineChars="200"/>
              <w:rPr>
                <w:rFonts w:ascii="Times New Roman" w:hAnsi="Times New Roman"/>
                <w:spacing w:val="0"/>
                <w:kern w:val="2"/>
                <w:szCs w:val="24"/>
              </w:rPr>
            </w:pPr>
            <w:r>
              <w:rPr>
                <w:rFonts w:hint="eastAsia" w:ascii="Times New Roman" w:hAnsi="Times New Roman"/>
                <w:spacing w:val="0"/>
                <w:kern w:val="2"/>
                <w:szCs w:val="24"/>
              </w:rPr>
              <w:t>根据预测，单辆汽车行驶扬尘量为0.0107kg/km。本项目每天运输量约</w:t>
            </w:r>
            <w:r>
              <w:rPr>
                <w:rFonts w:hint="eastAsia" w:ascii="Times New Roman" w:hAnsi="Times New Roman"/>
                <w:spacing w:val="0"/>
                <w:kern w:val="2"/>
                <w:szCs w:val="24"/>
                <w:lang w:val="en-US" w:eastAsia="zh-CN"/>
              </w:rPr>
              <w:t>900</w:t>
            </w:r>
            <w:r>
              <w:rPr>
                <w:rFonts w:hint="eastAsia" w:ascii="Times New Roman" w:hAnsi="Times New Roman"/>
                <w:spacing w:val="0"/>
                <w:kern w:val="2"/>
                <w:szCs w:val="24"/>
              </w:rPr>
              <w:t>t，平均每天共装卸车次约</w:t>
            </w:r>
            <w:r>
              <w:rPr>
                <w:rFonts w:hint="eastAsia" w:ascii="Times New Roman" w:hAnsi="Times New Roman"/>
                <w:spacing w:val="0"/>
                <w:kern w:val="2"/>
                <w:szCs w:val="24"/>
                <w:lang w:val="en-US" w:eastAsia="zh-CN"/>
              </w:rPr>
              <w:t>45</w:t>
            </w:r>
            <w:r>
              <w:rPr>
                <w:rFonts w:hint="eastAsia" w:ascii="Times New Roman" w:hAnsi="Times New Roman"/>
                <w:spacing w:val="0"/>
                <w:kern w:val="2"/>
                <w:szCs w:val="24"/>
              </w:rPr>
              <w:t>次左右。汽车在厂区行驶距离平均为0.1km/辆次，经计算项目在运输过程总产尘量为0.0</w:t>
            </w:r>
            <w:r>
              <w:rPr>
                <w:rFonts w:hint="eastAsia" w:ascii="Times New Roman" w:hAnsi="Times New Roman"/>
                <w:spacing w:val="0"/>
                <w:kern w:val="2"/>
                <w:szCs w:val="24"/>
                <w:lang w:val="en-US" w:eastAsia="zh-CN"/>
              </w:rPr>
              <w:t>482</w:t>
            </w:r>
            <w:r>
              <w:rPr>
                <w:rFonts w:hint="eastAsia" w:ascii="Times New Roman" w:hAnsi="Times New Roman"/>
                <w:spacing w:val="0"/>
                <w:kern w:val="2"/>
                <w:szCs w:val="24"/>
              </w:rPr>
              <w:t>kg/d，即0.01</w:t>
            </w:r>
            <w:r>
              <w:rPr>
                <w:rFonts w:hint="eastAsia" w:ascii="Times New Roman" w:hAnsi="Times New Roman"/>
                <w:spacing w:val="0"/>
                <w:kern w:val="2"/>
                <w:szCs w:val="24"/>
                <w:lang w:val="en-US" w:eastAsia="zh-CN"/>
              </w:rPr>
              <w:t>4</w:t>
            </w:r>
            <w:r>
              <w:rPr>
                <w:rFonts w:hint="eastAsia" w:ascii="Times New Roman" w:hAnsi="Times New Roman"/>
                <w:spacing w:val="0"/>
                <w:kern w:val="2"/>
                <w:szCs w:val="24"/>
              </w:rPr>
              <w:t>4t/a。运输粉尘的产生量与运输汽车覆盖与否、道路表面含尘量大小有关。</w:t>
            </w:r>
          </w:p>
          <w:p>
            <w:pPr>
              <w:spacing w:line="360" w:lineRule="auto"/>
              <w:ind w:firstLine="470" w:firstLineChars="196"/>
              <w:rPr>
                <w:sz w:val="24"/>
              </w:rPr>
            </w:pPr>
            <w:r>
              <w:rPr>
                <w:rFonts w:hint="eastAsia"/>
                <w:sz w:val="24"/>
              </w:rPr>
              <w:t>本评价要求运输车辆必须对车体进行覆盖，道路定期人工清扫，场区配有一辆专用洒水车，在晴天对路面进行清扫和洒水，在除雨天均进行6 次以上洒水降尘。预计防尘效率可达80%，即采取防护措施后运输粉尘</w:t>
            </w:r>
            <w:r>
              <w:rPr>
                <w:rFonts w:hint="eastAsia"/>
                <w:sz w:val="24"/>
                <w:lang w:val="en-US" w:eastAsia="zh-CN"/>
              </w:rPr>
              <w:t>外排</w:t>
            </w:r>
            <w:r>
              <w:rPr>
                <w:rFonts w:hint="eastAsia"/>
                <w:sz w:val="24"/>
              </w:rPr>
              <w:t>量为0.0</w:t>
            </w:r>
            <w:r>
              <w:rPr>
                <w:rFonts w:hint="eastAsia"/>
                <w:sz w:val="24"/>
                <w:lang w:val="en-US" w:eastAsia="zh-CN"/>
              </w:rPr>
              <w:t>096</w:t>
            </w:r>
            <w:r>
              <w:rPr>
                <w:rFonts w:hint="eastAsia"/>
                <w:sz w:val="24"/>
              </w:rPr>
              <w:t>kg/d，即0.00</w:t>
            </w:r>
            <w:r>
              <w:rPr>
                <w:rFonts w:hint="eastAsia"/>
                <w:sz w:val="24"/>
                <w:lang w:val="en-US" w:eastAsia="zh-CN"/>
              </w:rPr>
              <w:t>28</w:t>
            </w:r>
            <w:r>
              <w:rPr>
                <w:rFonts w:hint="eastAsia"/>
                <w:sz w:val="24"/>
              </w:rPr>
              <w:t>t/a。</w:t>
            </w:r>
          </w:p>
          <w:p>
            <w:pPr>
              <w:numPr>
                <w:ilvl w:val="0"/>
                <w:numId w:val="4"/>
              </w:numPr>
              <w:spacing w:line="360" w:lineRule="auto"/>
              <w:ind w:firstLine="480" w:firstLineChars="200"/>
              <w:textAlignment w:val="baseline"/>
              <w:rPr>
                <w:rFonts w:hint="eastAsia"/>
                <w:color w:val="000000"/>
                <w:sz w:val="24"/>
                <w:lang w:val="en-US" w:eastAsia="zh-CN"/>
              </w:rPr>
            </w:pPr>
            <w:r>
              <w:rPr>
                <w:rFonts w:hint="eastAsia"/>
                <w:color w:val="000000"/>
                <w:sz w:val="24"/>
                <w:lang w:val="en-US" w:eastAsia="zh-CN"/>
              </w:rPr>
              <w:t xml:space="preserve">破碎粉尘 </w:t>
            </w:r>
          </w:p>
          <w:p>
            <w:pPr>
              <w:numPr>
                <w:ilvl w:val="0"/>
                <w:numId w:val="0"/>
              </w:numPr>
              <w:spacing w:line="360" w:lineRule="auto"/>
              <w:ind w:firstLine="480" w:firstLineChars="200"/>
              <w:textAlignment w:val="baseline"/>
              <w:rPr>
                <w:rFonts w:hint="eastAsia"/>
                <w:color w:val="000000"/>
                <w:sz w:val="24"/>
                <w:lang w:val="en-US" w:eastAsia="zh-CN"/>
              </w:rPr>
            </w:pPr>
            <w:r>
              <w:rPr>
                <w:rFonts w:hint="eastAsia"/>
                <w:color w:val="000000"/>
                <w:sz w:val="24"/>
                <w:lang w:val="en-US" w:eastAsia="zh-CN"/>
              </w:rPr>
              <w:t>石料在破碎和筛分过程中会产生粉尘，产污系数参考《排放源统计调查产排污核算方法和系数手册》“1101 石灰石、石膏开采行业”：破碎工艺颗粒物产污系数按 0.307kg/t-产品，本项目机制砂破碎加工量约14万t/a，则破碎粉尘产生量为42.98t/a。本项目原料破碎采取湿式破碎措施，通过增加石料含水率可有效降低粉尘产生量，降尘效率按照90%计算，</w:t>
            </w:r>
            <w:r>
              <w:rPr>
                <w:rFonts w:hint="default" w:ascii="Times New Roman" w:hAnsi="Times New Roman" w:cs="Times New Roman"/>
                <w:color w:val="000000"/>
                <w:sz w:val="24"/>
                <w:lang w:val="en-US" w:eastAsia="zh-CN"/>
              </w:rPr>
              <w:t>本项目车间为全封闭车间</w:t>
            </w:r>
            <w:r>
              <w:rPr>
                <w:rFonts w:hint="eastAsia" w:ascii="Times New Roman" w:hAnsi="Times New Roman" w:cs="Times New Roman"/>
                <w:color w:val="000000"/>
                <w:sz w:val="24"/>
                <w:lang w:val="en-US" w:eastAsia="zh-CN"/>
              </w:rPr>
              <w:t>，全车间设置喷雾除尘，</w:t>
            </w:r>
            <w:r>
              <w:rPr>
                <w:rFonts w:hint="eastAsia"/>
                <w:color w:val="000000"/>
                <w:sz w:val="24"/>
                <w:lang w:val="en-US" w:eastAsia="zh-CN"/>
              </w:rPr>
              <w:t>降尘效率按照60%计算，则破碎工序粉尘外排量为1.7192t/a。</w:t>
            </w:r>
          </w:p>
          <w:p>
            <w:pPr>
              <w:numPr>
                <w:ilvl w:val="0"/>
                <w:numId w:val="4"/>
              </w:numPr>
              <w:spacing w:line="360" w:lineRule="auto"/>
              <w:ind w:left="0" w:leftChars="0" w:firstLine="480" w:firstLineChars="200"/>
              <w:textAlignment w:val="baseline"/>
              <w:rPr>
                <w:rFonts w:hint="eastAsia"/>
                <w:color w:val="000000"/>
                <w:sz w:val="24"/>
                <w:lang w:val="en-US" w:eastAsia="zh-CN"/>
              </w:rPr>
            </w:pPr>
            <w:r>
              <w:rPr>
                <w:rFonts w:hint="eastAsia"/>
                <w:color w:val="000000"/>
                <w:sz w:val="24"/>
                <w:lang w:val="en-US" w:eastAsia="zh-CN"/>
              </w:rPr>
              <w:t>筛分粉尘</w:t>
            </w:r>
          </w:p>
          <w:p>
            <w:pPr>
              <w:numPr>
                <w:ilvl w:val="0"/>
                <w:numId w:val="0"/>
              </w:numPr>
              <w:spacing w:line="360" w:lineRule="auto"/>
              <w:ind w:firstLine="480" w:firstLineChars="200"/>
              <w:textAlignment w:val="baseline"/>
              <w:rPr>
                <w:rFonts w:hint="default"/>
                <w:color w:val="000000"/>
                <w:sz w:val="24"/>
                <w:lang w:val="en-US" w:eastAsia="zh-CN"/>
              </w:rPr>
            </w:pPr>
            <w:r>
              <w:rPr>
                <w:rFonts w:hint="eastAsia"/>
                <w:color w:val="000000"/>
                <w:sz w:val="24"/>
                <w:lang w:val="en-US" w:eastAsia="zh-CN"/>
              </w:rPr>
              <w:t>参考《排放源统计调查产排污核算方法和系数手册》“1101 石灰石、石膏开采行业”：筛分工艺颗粒物产污系数按 0.400 kg/t-产品，本项目机制砂破碎加工量约14万t/a，则筛分产生量为56t/a，本项目筛分采取湿式筛分措施，通过增加石料含水率可有效降低粉尘产生量，降尘效率按照90%计算，</w:t>
            </w:r>
            <w:r>
              <w:rPr>
                <w:rFonts w:hint="default" w:ascii="Times New Roman" w:hAnsi="Times New Roman" w:cs="Times New Roman"/>
                <w:color w:val="000000"/>
                <w:sz w:val="24"/>
                <w:lang w:val="en-US" w:eastAsia="zh-CN"/>
              </w:rPr>
              <w:t>本项目车间为全封闭车间</w:t>
            </w:r>
            <w:r>
              <w:rPr>
                <w:rFonts w:hint="eastAsia" w:ascii="Times New Roman" w:hAnsi="Times New Roman" w:cs="Times New Roman"/>
                <w:color w:val="000000"/>
                <w:sz w:val="24"/>
                <w:lang w:val="en-US" w:eastAsia="zh-CN"/>
              </w:rPr>
              <w:t>，全车间设置喷雾除尘，</w:t>
            </w:r>
            <w:r>
              <w:rPr>
                <w:rFonts w:hint="eastAsia"/>
                <w:color w:val="000000"/>
                <w:sz w:val="24"/>
                <w:lang w:val="en-US" w:eastAsia="zh-CN"/>
              </w:rPr>
              <w:t>降尘效率按照60%计算，则筛分工序粉尘外排量为2.24t/a。</w:t>
            </w:r>
          </w:p>
          <w:p>
            <w:pPr>
              <w:spacing w:line="360" w:lineRule="auto"/>
              <w:ind w:firstLine="480" w:firstLineChars="200"/>
              <w:textAlignment w:val="baseline"/>
              <w:rPr>
                <w:rFonts w:hint="default"/>
                <w:color w:val="000000"/>
                <w:sz w:val="24"/>
                <w:lang w:val="en-US" w:eastAsia="zh-CN"/>
              </w:rPr>
            </w:pPr>
            <w:r>
              <w:rPr>
                <w:rFonts w:hint="eastAsia"/>
                <w:color w:val="000000"/>
                <w:sz w:val="24"/>
                <w:lang w:val="en-US" w:eastAsia="zh-CN"/>
              </w:rPr>
              <w:t>（4）原料装卸粉尘</w:t>
            </w:r>
          </w:p>
          <w:p>
            <w:pPr>
              <w:spacing w:line="360" w:lineRule="auto"/>
              <w:ind w:firstLine="480" w:firstLineChars="200"/>
              <w:textAlignment w:val="baseline"/>
              <w:rPr>
                <w:rFonts w:hint="eastAsia"/>
                <w:color w:val="000000"/>
                <w:sz w:val="24"/>
              </w:rPr>
            </w:pPr>
            <w:r>
              <w:rPr>
                <w:rFonts w:hint="eastAsia"/>
                <w:color w:val="000000"/>
                <w:sz w:val="24"/>
              </w:rPr>
              <w:t>项目原料装卸工序产生粉尘。参照《逸散性工业粉尘控制技术》(中国环境科学出版社)“第十八章粒径加工厂”中给出的装料逸散尘产污系数0</w:t>
            </w:r>
            <w:r>
              <w:rPr>
                <w:rFonts w:hint="eastAsia"/>
                <w:color w:val="000000"/>
                <w:sz w:val="24"/>
                <w:lang w:val="en-US" w:eastAsia="zh-CN"/>
              </w:rPr>
              <w:t>.</w:t>
            </w:r>
            <w:r>
              <w:rPr>
                <w:rFonts w:hint="eastAsia"/>
                <w:color w:val="000000"/>
                <w:sz w:val="24"/>
              </w:rPr>
              <w:t>01kg/t</w:t>
            </w:r>
            <w:r>
              <w:rPr>
                <w:rFonts w:hint="eastAsia"/>
                <w:color w:val="000000"/>
                <w:sz w:val="24"/>
                <w:lang w:val="en-US" w:eastAsia="zh-CN"/>
              </w:rPr>
              <w:t>/</w:t>
            </w:r>
            <w:r>
              <w:rPr>
                <w:rFonts w:hint="eastAsia"/>
                <w:color w:val="000000"/>
                <w:sz w:val="24"/>
              </w:rPr>
              <w:t>卸料，则装料粉尘产生量为</w:t>
            </w:r>
            <w:r>
              <w:rPr>
                <w:rFonts w:hint="eastAsia"/>
                <w:color w:val="000000"/>
                <w:sz w:val="24"/>
                <w:lang w:val="en-US" w:eastAsia="zh-CN"/>
              </w:rPr>
              <w:t>1.4</w:t>
            </w:r>
            <w:r>
              <w:rPr>
                <w:rFonts w:hint="eastAsia"/>
                <w:color w:val="000000"/>
                <w:sz w:val="24"/>
              </w:rPr>
              <w:t>t/a。根据《逸散性工业粉尘控制技术》(中国环境科学出版社)“第十八章粒径加工厂”中的控制方法，原料装卸采用水喷雾方式进行控制尘源逸散，控制效率为50%。项目通过在进料口设置喷雾洒水装置，进行洒水抑尘，除尘效率为50%，则排放粉尘量约为0.</w:t>
            </w:r>
            <w:r>
              <w:rPr>
                <w:rFonts w:hint="eastAsia"/>
                <w:color w:val="000000"/>
                <w:sz w:val="24"/>
                <w:lang w:val="en-US" w:eastAsia="zh-CN"/>
              </w:rPr>
              <w:t>7</w:t>
            </w:r>
            <w:r>
              <w:rPr>
                <w:rFonts w:hint="eastAsia"/>
                <w:color w:val="000000"/>
                <w:sz w:val="24"/>
              </w:rPr>
              <w:t>t/a。</w:t>
            </w:r>
          </w:p>
          <w:p>
            <w:pPr>
              <w:spacing w:line="360" w:lineRule="auto"/>
              <w:ind w:firstLine="480" w:firstLineChars="200"/>
              <w:textAlignment w:val="baseline"/>
              <w:rPr>
                <w:rFonts w:hint="eastAsia"/>
                <w:color w:val="000000"/>
                <w:sz w:val="24"/>
              </w:rPr>
            </w:pPr>
            <w:r>
              <w:rPr>
                <w:rFonts w:hint="eastAsia"/>
                <w:color w:val="000000"/>
                <w:sz w:val="24"/>
                <w:lang w:val="en-US" w:eastAsia="zh-CN"/>
              </w:rPr>
              <w:t xml:space="preserve">（5）厂内堆存、转运环节粉尘 </w:t>
            </w:r>
          </w:p>
          <w:p>
            <w:pPr>
              <w:spacing w:line="360" w:lineRule="auto"/>
              <w:ind w:firstLine="480" w:firstLineChars="200"/>
              <w:textAlignment w:val="baseline"/>
            </w:pPr>
            <w:r>
              <w:rPr>
                <w:rFonts w:hint="eastAsia"/>
                <w:color w:val="000000"/>
                <w:sz w:val="24"/>
                <w:lang w:val="en-US" w:eastAsia="zh-CN"/>
              </w:rPr>
              <w:t>本项目原料、产品在厂内贮存，设置的成品砂区以及原料区，位于全封闭式生产车间内，基本不起扬尘。原料及产品转运通过皮带输送，对输送带</w:t>
            </w:r>
            <w:r>
              <w:rPr>
                <w:rFonts w:hint="default" w:ascii="Times New Roman" w:hAnsi="Times New Roman" w:eastAsia="宋体" w:cs="Times New Roman"/>
                <w:sz w:val="24"/>
                <w:szCs w:val="24"/>
              </w:rPr>
              <w:t>采用半密闭式廊道</w:t>
            </w:r>
            <w:r>
              <w:rPr>
                <w:rFonts w:hint="eastAsia"/>
                <w:color w:val="000000"/>
                <w:sz w:val="24"/>
                <w:lang w:val="en-US" w:eastAsia="zh-CN"/>
              </w:rPr>
              <w:t>处理，同时在各转运环节的卸料口、给料口安装喷淋装置洒水降尘，可有效减少粉尘的产生，因此在堆存、转运环节产生粉尘量不再考虑。</w:t>
            </w:r>
          </w:p>
          <w:p>
            <w:pPr>
              <w:pStyle w:val="64"/>
              <w:numPr>
                <w:ilvl w:val="0"/>
                <w:numId w:val="3"/>
              </w:numPr>
              <w:spacing w:line="360" w:lineRule="auto"/>
              <w:ind w:firstLineChars="0"/>
              <w:rPr>
                <w:b/>
                <w:bCs/>
                <w:sz w:val="24"/>
              </w:rPr>
            </w:pPr>
            <w:r>
              <w:rPr>
                <w:b/>
                <w:bCs/>
                <w:sz w:val="24"/>
              </w:rPr>
              <w:t>废</w:t>
            </w:r>
            <w:r>
              <w:rPr>
                <w:rFonts w:hint="eastAsia"/>
                <w:b/>
                <w:bCs/>
                <w:sz w:val="24"/>
                <w:lang w:val="en-US" w:eastAsia="zh-CN"/>
              </w:rPr>
              <w:t>水</w:t>
            </w:r>
            <w:r>
              <w:rPr>
                <w:rFonts w:hint="eastAsia"/>
                <w:b/>
                <w:bCs/>
                <w:sz w:val="24"/>
              </w:rPr>
              <w:t>环境影响和保护措施</w:t>
            </w:r>
          </w:p>
          <w:p>
            <w:pPr>
              <w:numPr>
                <w:ilvl w:val="0"/>
                <w:numId w:val="5"/>
              </w:numPr>
              <w:spacing w:line="360" w:lineRule="auto"/>
              <w:ind w:firstLine="480" w:firstLineChars="200"/>
              <w:rPr>
                <w:rFonts w:hint="eastAsia"/>
                <w:sz w:val="24"/>
                <w:lang w:val="en-US" w:eastAsia="zh-CN"/>
              </w:rPr>
            </w:pPr>
            <w:r>
              <w:rPr>
                <w:rFonts w:hint="eastAsia"/>
                <w:sz w:val="24"/>
                <w:lang w:val="en-US" w:eastAsia="zh-CN"/>
              </w:rPr>
              <w:t>生活用水</w:t>
            </w:r>
          </w:p>
          <w:p>
            <w:pPr>
              <w:spacing w:line="360" w:lineRule="auto"/>
              <w:ind w:firstLine="480" w:firstLineChars="200"/>
              <w:rPr>
                <w:rFonts w:hint="eastAsia"/>
                <w:lang w:val="en-US" w:eastAsia="zh-CN"/>
              </w:rPr>
            </w:pPr>
            <w:r>
              <w:rPr>
                <w:rFonts w:hint="default" w:ascii="Times New Roman" w:hAnsi="Times New Roman" w:cs="Times New Roman"/>
                <w:color w:val="auto"/>
                <w:spacing w:val="0"/>
                <w:position w:val="0"/>
                <w:sz w:val="24"/>
                <w:szCs w:val="24"/>
                <w:highlight w:val="none"/>
                <w:lang w:val="en-US" w:eastAsia="zh-CN"/>
              </w:rPr>
              <w:t>本项目不新增工作人员，不新增生活用水，生活废水化粪池处理后排入市政污水管网。</w:t>
            </w:r>
          </w:p>
          <w:p>
            <w:pPr>
              <w:pStyle w:val="6"/>
              <w:numPr>
                <w:ilvl w:val="0"/>
                <w:numId w:val="0"/>
              </w:numPr>
              <w:ind w:firstLine="480" w:firstLineChars="200"/>
              <w:rPr>
                <w:rFonts w:hint="default"/>
                <w:lang w:val="en-US" w:eastAsia="zh-CN"/>
              </w:rPr>
            </w:pPr>
            <w:r>
              <w:rPr>
                <w:rFonts w:hint="eastAsia" w:ascii="Times New Roman" w:hAnsi="Times New Roman" w:eastAsia="宋体" w:cs="Times New Roman"/>
                <w:b w:val="0"/>
                <w:bCs w:val="0"/>
                <w:kern w:val="2"/>
                <w:sz w:val="24"/>
                <w:szCs w:val="24"/>
                <w:lang w:val="en-US" w:eastAsia="zh-CN" w:bidi="ar-SA"/>
              </w:rPr>
              <w:t>2、生产用水</w:t>
            </w:r>
          </w:p>
          <w:p>
            <w:pPr>
              <w:spacing w:line="360" w:lineRule="auto"/>
              <w:ind w:firstLine="480" w:firstLineChars="200"/>
              <w:rPr>
                <w:rFonts w:ascii="Times New Roman" w:hAnsi="Times New Roman"/>
                <w:sz w:val="24"/>
              </w:rPr>
            </w:pPr>
            <w:r>
              <w:rPr>
                <w:rFonts w:ascii="Times New Roman" w:hAnsi="Times New Roman"/>
                <w:sz w:val="24"/>
              </w:rPr>
              <w:t>给水：项目用水主要来自</w:t>
            </w:r>
            <w:r>
              <w:rPr>
                <w:rFonts w:hint="eastAsia"/>
                <w:sz w:val="24"/>
                <w:lang w:val="en-US" w:eastAsia="zh-CN"/>
              </w:rPr>
              <w:t>车间喷雾</w:t>
            </w:r>
            <w:r>
              <w:rPr>
                <w:rFonts w:ascii="Times New Roman" w:hAnsi="Times New Roman"/>
                <w:sz w:val="24"/>
              </w:rPr>
              <w:t>抑尘用水、</w:t>
            </w:r>
            <w:r>
              <w:rPr>
                <w:rFonts w:hint="eastAsia" w:ascii="Times New Roman" w:hAnsi="Times New Roman"/>
                <w:color w:val="auto"/>
                <w:sz w:val="24"/>
                <w:szCs w:val="22"/>
              </w:rPr>
              <w:t>原料打湿用水</w:t>
            </w:r>
            <w:r>
              <w:rPr>
                <w:rFonts w:ascii="Times New Roman" w:hAnsi="Times New Roman"/>
                <w:sz w:val="24"/>
              </w:rPr>
              <w:t>、洗砂用水等，本项目生产设备无需清洗。具体用水量分析见下表。</w:t>
            </w:r>
          </w:p>
          <w:p>
            <w:pPr>
              <w:numPr>
                <w:ilvl w:val="0"/>
                <w:numId w:val="6"/>
              </w:numPr>
              <w:spacing w:line="360" w:lineRule="auto"/>
              <w:ind w:firstLine="480" w:firstLineChars="200"/>
              <w:rPr>
                <w:rFonts w:ascii="Times New Roman" w:hAnsi="Times New Roman"/>
                <w:color w:val="000000"/>
                <w:sz w:val="24"/>
                <w:szCs w:val="22"/>
              </w:rPr>
            </w:pPr>
            <w:r>
              <w:rPr>
                <w:rFonts w:hint="eastAsia"/>
                <w:color w:val="000000"/>
                <w:sz w:val="24"/>
                <w:szCs w:val="22"/>
                <w:lang w:val="en-US" w:eastAsia="zh-CN"/>
              </w:rPr>
              <w:t>车间喷雾</w:t>
            </w:r>
            <w:r>
              <w:rPr>
                <w:rFonts w:ascii="Times New Roman" w:hAnsi="Times New Roman"/>
                <w:color w:val="000000"/>
                <w:sz w:val="24"/>
                <w:szCs w:val="22"/>
              </w:rPr>
              <w:t>抑尘用水</w:t>
            </w:r>
          </w:p>
          <w:p>
            <w:pPr>
              <w:spacing w:line="360" w:lineRule="auto"/>
              <w:ind w:firstLine="480" w:firstLineChars="200"/>
              <w:rPr>
                <w:rFonts w:ascii="Times New Roman" w:hAnsi="Times New Roman"/>
                <w:sz w:val="24"/>
                <w:szCs w:val="24"/>
              </w:rPr>
            </w:pPr>
            <w:r>
              <w:rPr>
                <w:rFonts w:hint="eastAsia" w:ascii="Times New Roman" w:hAnsi="Times New Roman"/>
                <w:sz w:val="24"/>
                <w:szCs w:val="24"/>
                <w:lang w:val="en-US" w:eastAsia="zh-CN"/>
              </w:rPr>
              <w:t>根据估算，</w:t>
            </w:r>
            <w:r>
              <w:rPr>
                <w:rFonts w:hint="eastAsia"/>
                <w:sz w:val="24"/>
                <w:szCs w:val="24"/>
                <w:lang w:val="en-US" w:eastAsia="zh-CN"/>
              </w:rPr>
              <w:t>本</w:t>
            </w:r>
            <w:r>
              <w:rPr>
                <w:rFonts w:ascii="Times New Roman" w:hAnsi="Times New Roman"/>
                <w:sz w:val="24"/>
                <w:szCs w:val="24"/>
              </w:rPr>
              <w:t>项目</w:t>
            </w:r>
            <w:r>
              <w:rPr>
                <w:rFonts w:hint="eastAsia"/>
                <w:sz w:val="24"/>
                <w:szCs w:val="24"/>
                <w:lang w:val="en-US" w:eastAsia="zh-CN"/>
              </w:rPr>
              <w:t>车间抑尘</w:t>
            </w:r>
            <w:r>
              <w:rPr>
                <w:rFonts w:ascii="Times New Roman" w:hAnsi="Times New Roman"/>
                <w:sz w:val="24"/>
                <w:szCs w:val="24"/>
              </w:rPr>
              <w:t>面积</w:t>
            </w:r>
            <w:r>
              <w:rPr>
                <w:rFonts w:hint="eastAsia"/>
                <w:sz w:val="24"/>
                <w:szCs w:val="24"/>
                <w:lang w:val="en-US" w:eastAsia="zh-CN"/>
              </w:rPr>
              <w:t>约</w:t>
            </w:r>
            <w:r>
              <w:rPr>
                <w:rFonts w:ascii="Times New Roman" w:hAnsi="Times New Roman"/>
                <w:sz w:val="24"/>
                <w:szCs w:val="24"/>
              </w:rPr>
              <w:t>为</w:t>
            </w:r>
            <w:r>
              <w:rPr>
                <w:rFonts w:hint="eastAsia"/>
                <w:sz w:val="24"/>
                <w:szCs w:val="24"/>
                <w:lang w:val="en-US" w:eastAsia="zh-CN"/>
              </w:rPr>
              <w:t>3000</w:t>
            </w:r>
            <w:r>
              <w:rPr>
                <w:rFonts w:ascii="Times New Roman" w:hAnsi="Times New Roman"/>
                <w:sz w:val="24"/>
                <w:szCs w:val="24"/>
              </w:rPr>
              <w:t>m</w:t>
            </w:r>
            <w:r>
              <w:rPr>
                <w:rFonts w:ascii="Times New Roman" w:hAnsi="Times New Roman"/>
                <w:sz w:val="24"/>
                <w:szCs w:val="24"/>
                <w:vertAlign w:val="superscript"/>
              </w:rPr>
              <w:t>2</w:t>
            </w:r>
            <w:r>
              <w:rPr>
                <w:rFonts w:ascii="Times New Roman" w:hAnsi="Times New Roman"/>
                <w:sz w:val="24"/>
                <w:szCs w:val="24"/>
              </w:rPr>
              <w:t>，</w:t>
            </w:r>
            <w:r>
              <w:rPr>
                <w:rFonts w:ascii="Times New Roman" w:hAnsi="Times New Roman"/>
                <w:bCs/>
                <w:sz w:val="24"/>
                <w:szCs w:val="24"/>
              </w:rPr>
              <w:t>降尘用水量按0.</w:t>
            </w:r>
            <w:r>
              <w:rPr>
                <w:rFonts w:hint="eastAsia" w:ascii="Times New Roman" w:hAnsi="Times New Roman"/>
                <w:bCs/>
                <w:sz w:val="24"/>
                <w:szCs w:val="24"/>
                <w:lang w:val="en-US" w:eastAsia="zh-CN"/>
              </w:rPr>
              <w:t>2</w:t>
            </w:r>
            <w:r>
              <w:rPr>
                <w:rFonts w:ascii="Times New Roman" w:hAnsi="Times New Roman"/>
                <w:bCs/>
                <w:sz w:val="24"/>
                <w:szCs w:val="24"/>
              </w:rPr>
              <w:t>m</w:t>
            </w:r>
            <w:r>
              <w:rPr>
                <w:rFonts w:ascii="Times New Roman" w:hAnsi="Times New Roman"/>
                <w:bCs/>
                <w:sz w:val="24"/>
                <w:szCs w:val="24"/>
                <w:vertAlign w:val="superscript"/>
              </w:rPr>
              <w:t>3</w:t>
            </w:r>
            <w:r>
              <w:rPr>
                <w:rFonts w:ascii="Times New Roman" w:hAnsi="Times New Roman"/>
                <w:bCs/>
                <w:sz w:val="24"/>
                <w:szCs w:val="24"/>
              </w:rPr>
              <w:t>/</w:t>
            </w:r>
            <w:r>
              <w:rPr>
                <w:rFonts w:hint="eastAsia" w:ascii="Times New Roman" w:hAnsi="Times New Roman"/>
                <w:bCs/>
                <w:sz w:val="24"/>
                <w:szCs w:val="24"/>
                <w:lang w:val="en-US" w:eastAsia="zh-CN"/>
              </w:rPr>
              <w:t>1</w:t>
            </w:r>
            <w:r>
              <w:rPr>
                <w:rFonts w:ascii="Times New Roman" w:hAnsi="Times New Roman"/>
                <w:bCs/>
                <w:sz w:val="24"/>
                <w:szCs w:val="24"/>
              </w:rPr>
              <w:t>00m</w:t>
            </w:r>
            <w:r>
              <w:rPr>
                <w:rFonts w:ascii="Times New Roman" w:hAnsi="Times New Roman"/>
                <w:bCs/>
                <w:sz w:val="24"/>
                <w:szCs w:val="24"/>
                <w:vertAlign w:val="superscript"/>
              </w:rPr>
              <w:t>2</w:t>
            </w:r>
            <w:r>
              <w:rPr>
                <w:rFonts w:ascii="Times New Roman" w:hAnsi="Times New Roman"/>
                <w:bCs/>
                <w:sz w:val="24"/>
                <w:szCs w:val="24"/>
              </w:rPr>
              <w:t>·d计，则</w:t>
            </w:r>
            <w:r>
              <w:rPr>
                <w:rFonts w:ascii="Times New Roman" w:hAnsi="Times New Roman"/>
                <w:sz w:val="24"/>
                <w:szCs w:val="24"/>
              </w:rPr>
              <w:t>降尘洒水用水量为</w:t>
            </w:r>
            <w:r>
              <w:rPr>
                <w:rFonts w:hint="eastAsia"/>
                <w:sz w:val="24"/>
                <w:szCs w:val="24"/>
                <w:lang w:val="en-US" w:eastAsia="zh-CN"/>
              </w:rPr>
              <w:t>6</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/d，</w:t>
            </w:r>
            <w:r>
              <w:rPr>
                <w:rFonts w:hint="eastAsia"/>
                <w:sz w:val="24"/>
                <w:szCs w:val="24"/>
                <w:lang w:val="en-US" w:eastAsia="zh-CN"/>
              </w:rPr>
              <w:t>180</w:t>
            </w:r>
            <w:r>
              <w:rPr>
                <w:rFonts w:hint="eastAsia" w:ascii="Times New Roman" w:hAnsi="Times New Roman"/>
                <w:sz w:val="24"/>
                <w:szCs w:val="24"/>
                <w:lang w:val="en-US" w:eastAsia="zh-CN"/>
              </w:rPr>
              <w:t>0</w:t>
            </w:r>
            <w:r>
              <w:rPr>
                <w:rFonts w:ascii="Times New Roman" w:hAnsi="Times New Roman"/>
                <w:sz w:val="24"/>
                <w:szCs w:val="24"/>
              </w:rPr>
              <w:t>m</w:t>
            </w:r>
            <w:r>
              <w:rPr>
                <w:rFonts w:ascii="Times New Roman" w:hAnsi="Times New Roman"/>
                <w:sz w:val="24"/>
                <w:szCs w:val="24"/>
                <w:vertAlign w:val="superscript"/>
              </w:rPr>
              <w:t>3</w:t>
            </w:r>
            <w:r>
              <w:rPr>
                <w:rFonts w:ascii="Times New Roman" w:hAnsi="Times New Roman"/>
                <w:sz w:val="24"/>
                <w:szCs w:val="24"/>
              </w:rPr>
              <w:t>/a。此部分水蒸发或渗入土壤。</w:t>
            </w:r>
          </w:p>
          <w:p>
            <w:pPr>
              <w:spacing w:line="360" w:lineRule="auto"/>
              <w:ind w:firstLine="480" w:firstLineChars="200"/>
              <w:rPr>
                <w:rFonts w:ascii="Times New Roman" w:hAnsi="Times New Roman"/>
                <w:color w:val="auto"/>
                <w:sz w:val="24"/>
                <w:szCs w:val="22"/>
              </w:rPr>
            </w:pPr>
            <w:r>
              <w:rPr>
                <w:rFonts w:hint="eastAsia" w:ascii="Times New Roman" w:hAnsi="Times New Roman"/>
                <w:color w:val="auto"/>
                <w:sz w:val="24"/>
                <w:szCs w:val="22"/>
              </w:rPr>
              <w:t>（</w:t>
            </w:r>
            <w:r>
              <w:rPr>
                <w:rFonts w:hint="eastAsia" w:ascii="Times New Roman" w:hAnsi="Times New Roman"/>
                <w:color w:val="auto"/>
                <w:sz w:val="24"/>
                <w:szCs w:val="22"/>
                <w:lang w:val="en-US" w:eastAsia="zh-CN"/>
              </w:rPr>
              <w:t>2</w:t>
            </w:r>
            <w:r>
              <w:rPr>
                <w:rFonts w:hint="eastAsia" w:ascii="Times New Roman" w:hAnsi="Times New Roman"/>
                <w:color w:val="auto"/>
                <w:sz w:val="24"/>
                <w:szCs w:val="22"/>
              </w:rPr>
              <w:t>）原料打湿用水</w:t>
            </w:r>
          </w:p>
          <w:p>
            <w:pPr>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rPr>
              <w:t>本项目破碎以及筛分采用湿法工艺进行，</w:t>
            </w:r>
            <w:r>
              <w:rPr>
                <w:rFonts w:hint="eastAsia"/>
                <w:color w:val="000000"/>
                <w:sz w:val="24"/>
                <w:szCs w:val="22"/>
                <w:lang w:val="en-US" w:eastAsia="zh-CN"/>
              </w:rPr>
              <w:t>在投料口</w:t>
            </w:r>
            <w:r>
              <w:rPr>
                <w:rFonts w:hint="eastAsia" w:ascii="Times New Roman" w:hAnsi="Times New Roman"/>
                <w:color w:val="000000"/>
                <w:sz w:val="24"/>
                <w:szCs w:val="22"/>
              </w:rPr>
              <w:t>上方设置喷</w:t>
            </w:r>
            <w:r>
              <w:rPr>
                <w:rFonts w:hint="eastAsia"/>
                <w:color w:val="000000"/>
                <w:sz w:val="24"/>
                <w:szCs w:val="22"/>
                <w:lang w:val="en-US" w:eastAsia="zh-CN"/>
              </w:rPr>
              <w:t>淋</w:t>
            </w:r>
            <w:r>
              <w:rPr>
                <w:rFonts w:hint="eastAsia" w:ascii="Times New Roman" w:hAnsi="Times New Roman"/>
                <w:color w:val="000000"/>
                <w:sz w:val="24"/>
                <w:szCs w:val="22"/>
              </w:rPr>
              <w:t>装置</w:t>
            </w:r>
            <w:r>
              <w:rPr>
                <w:rFonts w:hint="eastAsia"/>
                <w:color w:val="000000"/>
                <w:sz w:val="24"/>
                <w:szCs w:val="22"/>
                <w:lang w:val="en-US" w:eastAsia="zh-CN"/>
              </w:rPr>
              <w:t>将原料打湿</w:t>
            </w:r>
            <w:r>
              <w:rPr>
                <w:rFonts w:hint="eastAsia" w:ascii="Times New Roman" w:hAnsi="Times New Roman"/>
                <w:color w:val="000000"/>
                <w:sz w:val="24"/>
                <w:szCs w:val="22"/>
              </w:rPr>
              <w:t>使得原材料含水率在</w:t>
            </w:r>
            <w:r>
              <w:rPr>
                <w:rFonts w:hint="eastAsia"/>
                <w:color w:val="000000"/>
                <w:sz w:val="24"/>
                <w:szCs w:val="22"/>
                <w:lang w:val="en-US" w:eastAsia="zh-CN"/>
              </w:rPr>
              <w:t>2</w:t>
            </w:r>
            <w:r>
              <w:rPr>
                <w:rFonts w:hint="eastAsia" w:ascii="Times New Roman" w:hAnsi="Times New Roman"/>
                <w:color w:val="000000"/>
                <w:sz w:val="24"/>
                <w:szCs w:val="22"/>
              </w:rPr>
              <w:t>0%左右，</w:t>
            </w:r>
            <w:r>
              <w:rPr>
                <w:rFonts w:hint="eastAsia"/>
                <w:color w:val="000000"/>
                <w:sz w:val="24"/>
                <w:szCs w:val="22"/>
                <w:lang w:val="en-US" w:eastAsia="zh-CN"/>
              </w:rPr>
              <w:t>来</w:t>
            </w:r>
            <w:r>
              <w:rPr>
                <w:rFonts w:hint="eastAsia" w:ascii="Times New Roman" w:hAnsi="Times New Roman"/>
                <w:color w:val="000000"/>
                <w:sz w:val="24"/>
                <w:szCs w:val="22"/>
              </w:rPr>
              <w:t>控制破碎工序粉尘</w:t>
            </w:r>
            <w:r>
              <w:rPr>
                <w:rFonts w:hint="eastAsia"/>
                <w:color w:val="000000"/>
                <w:sz w:val="24"/>
                <w:szCs w:val="22"/>
                <w:lang w:val="en-US" w:eastAsia="zh-CN"/>
              </w:rPr>
              <w:t>排放</w:t>
            </w:r>
            <w:r>
              <w:rPr>
                <w:rFonts w:hint="eastAsia" w:ascii="Times New Roman" w:hAnsi="Times New Roman"/>
                <w:color w:val="000000"/>
                <w:sz w:val="24"/>
                <w:szCs w:val="22"/>
              </w:rPr>
              <w:t>。本项目各种原材料总用量为</w:t>
            </w:r>
            <w:r>
              <w:rPr>
                <w:rFonts w:hint="eastAsia" w:ascii="Times New Roman" w:hAnsi="Times New Roman"/>
                <w:color w:val="000000"/>
                <w:sz w:val="24"/>
                <w:szCs w:val="22"/>
                <w:lang w:val="en-US" w:eastAsia="zh-CN"/>
              </w:rPr>
              <w:t>14</w:t>
            </w:r>
            <w:r>
              <w:rPr>
                <w:rFonts w:hint="eastAsia" w:ascii="Times New Roman" w:hAnsi="Times New Roman"/>
                <w:color w:val="000000"/>
                <w:sz w:val="24"/>
                <w:szCs w:val="22"/>
              </w:rPr>
              <w:t>万t/a，则原料打湿用水共需</w:t>
            </w:r>
            <w:r>
              <w:rPr>
                <w:rFonts w:hint="eastAsia"/>
                <w:color w:val="000000"/>
                <w:sz w:val="24"/>
                <w:szCs w:val="22"/>
                <w:lang w:val="en-US" w:eastAsia="zh-CN"/>
              </w:rPr>
              <w:t>35000</w:t>
            </w:r>
            <w:r>
              <w:rPr>
                <w:rFonts w:hint="eastAsia" w:ascii="Times New Roman" w:hAnsi="Times New Roman"/>
                <w:color w:val="000000"/>
                <w:sz w:val="24"/>
                <w:szCs w:val="22"/>
              </w:rPr>
              <w:t>t/a，此部分用水</w:t>
            </w:r>
            <w:r>
              <w:rPr>
                <w:rFonts w:hint="eastAsia" w:ascii="Times New Roman" w:hAnsi="Times New Roman"/>
                <w:color w:val="000000"/>
                <w:sz w:val="24"/>
                <w:szCs w:val="22"/>
                <w:lang w:val="en-US" w:eastAsia="zh-CN"/>
              </w:rPr>
              <w:t>损耗水量约占总用水量的2</w:t>
            </w:r>
            <w:r>
              <w:rPr>
                <w:rFonts w:hint="eastAsia"/>
                <w:color w:val="000000"/>
                <w:sz w:val="24"/>
                <w:szCs w:val="22"/>
                <w:lang w:val="en-US" w:eastAsia="zh-CN"/>
              </w:rPr>
              <w:t>0</w:t>
            </w:r>
            <w:r>
              <w:rPr>
                <w:rFonts w:hint="eastAsia" w:ascii="Times New Roman" w:hAnsi="Times New Roman"/>
                <w:color w:val="000000"/>
                <w:sz w:val="24"/>
                <w:szCs w:val="22"/>
                <w:lang w:val="en-US" w:eastAsia="zh-CN"/>
              </w:rPr>
              <w:t>%，损耗水量</w:t>
            </w:r>
            <w:r>
              <w:rPr>
                <w:rFonts w:hint="eastAsia"/>
                <w:color w:val="000000"/>
                <w:sz w:val="24"/>
                <w:szCs w:val="22"/>
                <w:lang w:val="en-US" w:eastAsia="zh-CN"/>
              </w:rPr>
              <w:t>为7000</w:t>
            </w:r>
            <w:r>
              <w:rPr>
                <w:rFonts w:hint="eastAsia" w:ascii="Times New Roman" w:hAnsi="Times New Roman"/>
                <w:color w:val="000000"/>
                <w:sz w:val="24"/>
                <w:szCs w:val="22"/>
                <w:lang w:val="en-US" w:eastAsia="zh-CN"/>
              </w:rPr>
              <w:t>t/a，剩余的</w:t>
            </w:r>
            <w:r>
              <w:rPr>
                <w:rFonts w:hint="eastAsia" w:ascii="Times New Roman" w:hAnsi="Times New Roman"/>
                <w:color w:val="000000"/>
                <w:sz w:val="24"/>
                <w:szCs w:val="22"/>
              </w:rPr>
              <w:t>全部随物料进入水洗工序，物料经水洗之后，废水进入污水处理工序处置，净化后的上清液一部分用水</w:t>
            </w:r>
            <w:r>
              <w:rPr>
                <w:rFonts w:hint="eastAsia"/>
                <w:color w:val="000000"/>
                <w:sz w:val="24"/>
                <w:szCs w:val="22"/>
                <w:lang w:val="en-US" w:eastAsia="zh-CN"/>
              </w:rPr>
              <w:t>用于</w:t>
            </w:r>
            <w:r>
              <w:rPr>
                <w:rFonts w:hint="eastAsia" w:ascii="Times New Roman" w:hAnsi="Times New Roman"/>
                <w:color w:val="000000"/>
                <w:sz w:val="24"/>
                <w:szCs w:val="22"/>
              </w:rPr>
              <w:t>原料打湿，另一部分用于物料水洗，循环利用。</w:t>
            </w:r>
          </w:p>
          <w:p>
            <w:pPr>
              <w:spacing w:line="360" w:lineRule="auto"/>
              <w:ind w:left="420" w:leftChars="200"/>
              <w:rPr>
                <w:rFonts w:ascii="Times New Roman" w:hAnsi="Times New Roman"/>
                <w:color w:val="000000"/>
                <w:sz w:val="24"/>
                <w:szCs w:val="22"/>
              </w:rPr>
            </w:pPr>
            <w:r>
              <w:rPr>
                <w:rFonts w:hint="eastAsia" w:ascii="Times New Roman" w:hAnsi="Times New Roman"/>
                <w:color w:val="000000"/>
                <w:sz w:val="24"/>
                <w:szCs w:val="22"/>
              </w:rPr>
              <w:t>（</w:t>
            </w:r>
            <w:r>
              <w:rPr>
                <w:rFonts w:hint="eastAsia" w:ascii="Times New Roman" w:hAnsi="Times New Roman"/>
                <w:color w:val="000000"/>
                <w:sz w:val="24"/>
                <w:szCs w:val="22"/>
                <w:lang w:val="en-US" w:eastAsia="zh-CN"/>
              </w:rPr>
              <w:t>3</w:t>
            </w:r>
            <w:r>
              <w:rPr>
                <w:rFonts w:hint="eastAsia" w:ascii="Times New Roman" w:hAnsi="Times New Roman"/>
                <w:color w:val="000000"/>
                <w:sz w:val="24"/>
                <w:szCs w:val="22"/>
              </w:rPr>
              <w:t>）</w:t>
            </w:r>
            <w:r>
              <w:rPr>
                <w:rFonts w:ascii="Times New Roman" w:hAnsi="Times New Roman"/>
                <w:color w:val="000000"/>
                <w:sz w:val="24"/>
                <w:szCs w:val="22"/>
              </w:rPr>
              <w:t>洗砂</w:t>
            </w:r>
            <w:r>
              <w:rPr>
                <w:rFonts w:hint="eastAsia"/>
                <w:color w:val="000000"/>
                <w:sz w:val="24"/>
                <w:szCs w:val="22"/>
                <w:lang w:val="en-US" w:eastAsia="zh-CN"/>
              </w:rPr>
              <w:t>用</w:t>
            </w:r>
            <w:r>
              <w:rPr>
                <w:rFonts w:ascii="Times New Roman" w:hAnsi="Times New Roman"/>
                <w:color w:val="000000"/>
                <w:sz w:val="24"/>
                <w:szCs w:val="22"/>
              </w:rPr>
              <w:t>水</w:t>
            </w:r>
          </w:p>
          <w:p>
            <w:pPr>
              <w:spacing w:line="360" w:lineRule="auto"/>
              <w:ind w:firstLine="480" w:firstLineChars="200"/>
              <w:rPr>
                <w:rFonts w:hint="eastAsia"/>
                <w:color w:val="auto"/>
                <w:sz w:val="24"/>
                <w:szCs w:val="22"/>
                <w:lang w:val="en-US" w:eastAsia="zh-CN"/>
              </w:rPr>
            </w:pPr>
            <w:r>
              <w:rPr>
                <w:rFonts w:hint="eastAsia"/>
                <w:color w:val="000000"/>
                <w:sz w:val="24"/>
                <w:szCs w:val="22"/>
                <w:lang w:val="en-US" w:eastAsia="zh-CN"/>
              </w:rPr>
              <w:t>根据企业提供资料，洗砂用水量按水砂比1：1，</w:t>
            </w:r>
            <w:r>
              <w:rPr>
                <w:rFonts w:hint="eastAsia" w:ascii="Times New Roman" w:hAnsi="Times New Roman"/>
                <w:color w:val="000000"/>
                <w:sz w:val="24"/>
                <w:szCs w:val="22"/>
              </w:rPr>
              <w:t>本项目所使用的原材料</w:t>
            </w:r>
            <w:r>
              <w:rPr>
                <w:rFonts w:hint="eastAsia" w:ascii="Times New Roman" w:hAnsi="Times New Roman"/>
                <w:color w:val="000000"/>
                <w:sz w:val="24"/>
                <w:szCs w:val="22"/>
                <w:lang w:val="en-US" w:eastAsia="zh-CN"/>
              </w:rPr>
              <w:t>青石、鹅卵石</w:t>
            </w:r>
            <w:r>
              <w:rPr>
                <w:rFonts w:hint="eastAsia"/>
                <w:color w:val="000000"/>
                <w:sz w:val="24"/>
                <w:szCs w:val="22"/>
                <w:lang w:val="en-US" w:eastAsia="zh-CN"/>
              </w:rPr>
              <w:t>量为</w:t>
            </w:r>
            <w:r>
              <w:rPr>
                <w:rFonts w:hint="eastAsia" w:ascii="Times New Roman" w:hAnsi="Times New Roman"/>
                <w:color w:val="000000"/>
                <w:sz w:val="24"/>
                <w:szCs w:val="22"/>
                <w:lang w:val="en-US" w:eastAsia="zh-CN"/>
              </w:rPr>
              <w:t>约</w:t>
            </w:r>
            <w:r>
              <w:rPr>
                <w:rFonts w:hint="eastAsia"/>
                <w:color w:val="000000"/>
                <w:sz w:val="24"/>
                <w:szCs w:val="22"/>
                <w:lang w:val="en-US" w:eastAsia="zh-CN"/>
              </w:rPr>
              <w:t>140000</w:t>
            </w:r>
            <w:r>
              <w:rPr>
                <w:rFonts w:hint="default" w:ascii="Times New Roman" w:hAnsi="Times New Roman"/>
                <w:color w:val="000000"/>
                <w:sz w:val="24"/>
                <w:szCs w:val="22"/>
                <w:lang w:val="en-US" w:eastAsia="zh-CN"/>
              </w:rPr>
              <w:t>t/a</w:t>
            </w:r>
            <w:r>
              <w:rPr>
                <w:rFonts w:hint="eastAsia" w:ascii="Times New Roman" w:hAnsi="Times New Roman"/>
                <w:color w:val="000000"/>
                <w:sz w:val="24"/>
                <w:szCs w:val="22"/>
                <w:lang w:val="en-US" w:eastAsia="zh-CN"/>
              </w:rPr>
              <w:t>，则洗砂</w:t>
            </w:r>
            <w:r>
              <w:rPr>
                <w:rFonts w:hint="eastAsia"/>
                <w:color w:val="000000"/>
                <w:sz w:val="24"/>
                <w:szCs w:val="22"/>
                <w:lang w:val="en-US" w:eastAsia="zh-CN"/>
              </w:rPr>
              <w:t>用</w:t>
            </w:r>
            <w:r>
              <w:rPr>
                <w:rFonts w:hint="eastAsia" w:ascii="Times New Roman" w:hAnsi="Times New Roman"/>
                <w:color w:val="000000"/>
                <w:sz w:val="24"/>
                <w:szCs w:val="22"/>
                <w:lang w:val="en-US" w:eastAsia="zh-CN"/>
              </w:rPr>
              <w:t>水量为</w:t>
            </w:r>
            <w:r>
              <w:rPr>
                <w:rFonts w:hint="eastAsia"/>
                <w:color w:val="000000"/>
                <w:sz w:val="24"/>
                <w:szCs w:val="22"/>
                <w:lang w:val="en-US" w:eastAsia="zh-CN"/>
              </w:rPr>
              <w:t>140000</w:t>
            </w:r>
            <w:r>
              <w:rPr>
                <w:rFonts w:hint="eastAsia" w:ascii="Times New Roman" w:hAnsi="Times New Roman"/>
                <w:color w:val="000000"/>
                <w:sz w:val="24"/>
                <w:szCs w:val="22"/>
                <w:lang w:val="en-US" w:eastAsia="zh-CN"/>
              </w:rPr>
              <w:t>t/a</w:t>
            </w:r>
            <w:r>
              <w:rPr>
                <w:rFonts w:hint="eastAsia"/>
                <w:color w:val="auto"/>
                <w:sz w:val="24"/>
                <w:szCs w:val="22"/>
                <w:lang w:val="en-US" w:eastAsia="zh-CN"/>
              </w:rPr>
              <w:t>；</w:t>
            </w:r>
            <w:r>
              <w:rPr>
                <w:rFonts w:hint="eastAsia" w:ascii="Times New Roman" w:hAnsi="Times New Roman"/>
                <w:color w:val="000000"/>
                <w:sz w:val="24"/>
                <w:szCs w:val="22"/>
                <w:lang w:val="en-US" w:eastAsia="zh-CN"/>
              </w:rPr>
              <w:t>在洗砂过程中损耗水量约占总用水量的2</w:t>
            </w:r>
            <w:r>
              <w:rPr>
                <w:rFonts w:hint="eastAsia"/>
                <w:color w:val="000000"/>
                <w:sz w:val="24"/>
                <w:szCs w:val="22"/>
                <w:lang w:val="en-US" w:eastAsia="zh-CN"/>
              </w:rPr>
              <w:t>0</w:t>
            </w:r>
            <w:r>
              <w:rPr>
                <w:rFonts w:hint="eastAsia" w:ascii="Times New Roman" w:hAnsi="Times New Roman"/>
                <w:color w:val="000000"/>
                <w:sz w:val="24"/>
                <w:szCs w:val="22"/>
                <w:lang w:val="en-US" w:eastAsia="zh-CN"/>
              </w:rPr>
              <w:t>%</w:t>
            </w:r>
            <w:r>
              <w:rPr>
                <w:rFonts w:hint="eastAsia"/>
                <w:color w:val="000000"/>
                <w:sz w:val="24"/>
                <w:szCs w:val="22"/>
                <w:lang w:val="en-US" w:eastAsia="zh-CN"/>
              </w:rPr>
              <w:t>，</w:t>
            </w:r>
            <w:r>
              <w:rPr>
                <w:rFonts w:hint="eastAsia" w:ascii="Times New Roman" w:hAnsi="Times New Roman"/>
                <w:color w:val="000000"/>
                <w:sz w:val="24"/>
                <w:szCs w:val="22"/>
                <w:lang w:val="en-US" w:eastAsia="zh-CN"/>
              </w:rPr>
              <w:t>洗砂过程中损耗水量</w:t>
            </w:r>
            <w:r>
              <w:rPr>
                <w:rFonts w:hint="eastAsia"/>
                <w:color w:val="000000"/>
                <w:sz w:val="24"/>
                <w:szCs w:val="22"/>
                <w:lang w:val="en-US" w:eastAsia="zh-CN"/>
              </w:rPr>
              <w:t>为28000</w:t>
            </w:r>
            <w:r>
              <w:rPr>
                <w:rFonts w:hint="eastAsia" w:ascii="Times New Roman" w:hAnsi="Times New Roman"/>
                <w:color w:val="000000"/>
                <w:sz w:val="24"/>
                <w:szCs w:val="22"/>
                <w:lang w:val="en-US" w:eastAsia="zh-CN"/>
              </w:rPr>
              <w:t>t/a</w:t>
            </w:r>
            <w:r>
              <w:rPr>
                <w:rFonts w:hint="eastAsia"/>
                <w:color w:val="000000"/>
                <w:sz w:val="24"/>
                <w:szCs w:val="22"/>
                <w:lang w:val="en-US" w:eastAsia="zh-CN"/>
              </w:rPr>
              <w:t>。</w:t>
            </w:r>
          </w:p>
          <w:p>
            <w:pPr>
              <w:spacing w:line="360" w:lineRule="auto"/>
              <w:ind w:firstLine="480" w:firstLineChars="200"/>
              <w:rPr>
                <w:rFonts w:hint="default" w:ascii="Times New Roman" w:hAnsi="Times New Roman"/>
                <w:color w:val="000000"/>
                <w:sz w:val="24"/>
                <w:szCs w:val="22"/>
                <w:lang w:val="en-US"/>
              </w:rPr>
            </w:pPr>
            <w:r>
              <w:rPr>
                <w:rFonts w:hint="eastAsia" w:ascii="Times New Roman" w:hAnsi="Times New Roman"/>
                <w:color w:val="000000"/>
                <w:sz w:val="24"/>
                <w:szCs w:val="22"/>
                <w:lang w:val="en-US" w:eastAsia="zh-CN"/>
              </w:rPr>
              <w:t>洗砂后成品砂含水率约为7%，则成品砂带走的水分约为9</w:t>
            </w:r>
            <w:r>
              <w:rPr>
                <w:rFonts w:hint="eastAsia"/>
                <w:color w:val="000000"/>
                <w:sz w:val="24"/>
                <w:szCs w:val="22"/>
                <w:lang w:val="en-US" w:eastAsia="zh-CN"/>
              </w:rPr>
              <w:t>784.95</w:t>
            </w:r>
            <w:r>
              <w:rPr>
                <w:rFonts w:hint="eastAsia" w:ascii="Times New Roman" w:hAnsi="Times New Roman"/>
                <w:color w:val="000000"/>
                <w:sz w:val="24"/>
                <w:szCs w:val="22"/>
                <w:lang w:val="en-US" w:eastAsia="zh-CN"/>
              </w:rPr>
              <w:t>t/a</w:t>
            </w:r>
            <w:r>
              <w:rPr>
                <w:rFonts w:hint="eastAsia"/>
                <w:color w:val="000000"/>
                <w:sz w:val="24"/>
                <w:szCs w:val="22"/>
                <w:lang w:val="en-US" w:eastAsia="zh-CN"/>
              </w:rPr>
              <w:t>；</w:t>
            </w:r>
            <w:r>
              <w:rPr>
                <w:rFonts w:hint="eastAsia" w:ascii="Times New Roman" w:hAnsi="Times New Roman"/>
                <w:color w:val="000000"/>
                <w:sz w:val="24"/>
                <w:szCs w:val="22"/>
              </w:rPr>
              <w:t>洗砂废水排入至</w:t>
            </w:r>
            <w:r>
              <w:rPr>
                <w:rFonts w:hint="eastAsia" w:ascii="Times New Roman" w:hAnsi="Times New Roman"/>
                <w:color w:val="000000"/>
                <w:sz w:val="24"/>
                <w:szCs w:val="22"/>
                <w:lang w:val="en-US" w:eastAsia="zh-CN"/>
              </w:rPr>
              <w:t>循环沉淀池</w:t>
            </w:r>
            <w:r>
              <w:rPr>
                <w:rFonts w:hint="eastAsia" w:ascii="Times New Roman" w:hAnsi="Times New Roman"/>
                <w:color w:val="000000"/>
                <w:sz w:val="24"/>
                <w:szCs w:val="22"/>
              </w:rPr>
              <w:t>，加入絮凝剂，本项目使用的絮凝剂为聚丙烯酰胺，处理过后的上清液返回至</w:t>
            </w:r>
            <w:r>
              <w:rPr>
                <w:rFonts w:hint="eastAsia" w:ascii="Times New Roman" w:hAnsi="Times New Roman"/>
                <w:color w:val="000000"/>
                <w:sz w:val="24"/>
                <w:szCs w:val="22"/>
                <w:lang w:val="en-US" w:eastAsia="zh-CN"/>
              </w:rPr>
              <w:t>洗砂和</w:t>
            </w:r>
            <w:r>
              <w:rPr>
                <w:rFonts w:hint="eastAsia"/>
                <w:color w:val="000000"/>
                <w:sz w:val="24"/>
                <w:szCs w:val="22"/>
                <w:lang w:val="en-US" w:eastAsia="zh-CN"/>
              </w:rPr>
              <w:t>物料打湿</w:t>
            </w:r>
            <w:r>
              <w:rPr>
                <w:rFonts w:hint="eastAsia" w:ascii="Times New Roman" w:hAnsi="Times New Roman"/>
                <w:color w:val="000000"/>
                <w:sz w:val="24"/>
                <w:szCs w:val="22"/>
                <w:lang w:val="en-US" w:eastAsia="zh-CN"/>
              </w:rPr>
              <w:t>循环使用</w:t>
            </w:r>
            <w:r>
              <w:rPr>
                <w:rFonts w:hint="eastAsia" w:ascii="Times New Roman" w:hAnsi="Times New Roman"/>
                <w:color w:val="000000"/>
                <w:sz w:val="24"/>
                <w:szCs w:val="22"/>
              </w:rPr>
              <w:t>，</w:t>
            </w:r>
            <w:r>
              <w:rPr>
                <w:rFonts w:hint="eastAsia" w:ascii="Times New Roman" w:hAnsi="Times New Roman"/>
                <w:color w:val="000000"/>
                <w:sz w:val="24"/>
                <w:szCs w:val="22"/>
                <w:lang w:val="en-US" w:eastAsia="zh-CN"/>
              </w:rPr>
              <w:t>沉淀渣</w:t>
            </w:r>
            <w:r>
              <w:rPr>
                <w:rFonts w:hint="eastAsia" w:ascii="Times New Roman" w:hAnsi="Times New Roman"/>
                <w:color w:val="000000"/>
                <w:sz w:val="24"/>
                <w:szCs w:val="22"/>
              </w:rPr>
              <w:t>由泵送入至压滤机，据建设单位提供的资料，</w:t>
            </w:r>
            <w:r>
              <w:rPr>
                <w:rFonts w:hint="eastAsia" w:ascii="Times New Roman" w:hAnsi="Times New Roman"/>
                <w:color w:val="000000"/>
                <w:sz w:val="24"/>
                <w:szCs w:val="22"/>
                <w:lang w:val="en-US" w:eastAsia="zh-CN"/>
              </w:rPr>
              <w:t>沉淀渣</w:t>
            </w:r>
            <w:r>
              <w:rPr>
                <w:rFonts w:hint="eastAsia" w:ascii="Times New Roman" w:hAnsi="Times New Roman"/>
                <w:color w:val="000000"/>
                <w:sz w:val="24"/>
                <w:szCs w:val="22"/>
              </w:rPr>
              <w:t>中的含水率为</w:t>
            </w:r>
            <w:r>
              <w:rPr>
                <w:rFonts w:hint="eastAsia"/>
                <w:color w:val="000000"/>
                <w:sz w:val="24"/>
                <w:szCs w:val="22"/>
                <w:lang w:val="en-US" w:eastAsia="zh-CN"/>
              </w:rPr>
              <w:t>30</w:t>
            </w:r>
            <w:r>
              <w:rPr>
                <w:rFonts w:hint="eastAsia" w:ascii="Times New Roman" w:hAnsi="Times New Roman"/>
                <w:color w:val="000000"/>
                <w:sz w:val="24"/>
                <w:szCs w:val="22"/>
              </w:rPr>
              <w:t>%</w:t>
            </w:r>
            <w:r>
              <w:rPr>
                <w:rFonts w:hint="eastAsia" w:ascii="Times New Roman" w:hAnsi="Times New Roman"/>
                <w:color w:val="auto"/>
                <w:sz w:val="24"/>
                <w:szCs w:val="22"/>
                <w:lang w:eastAsia="zh-CN"/>
              </w:rPr>
              <w:t>，</w:t>
            </w:r>
            <w:r>
              <w:rPr>
                <w:rFonts w:hint="eastAsia" w:ascii="Times New Roman" w:hAnsi="Times New Roman"/>
                <w:color w:val="auto"/>
                <w:sz w:val="24"/>
                <w:szCs w:val="22"/>
                <w:lang w:val="en-US" w:eastAsia="zh-CN"/>
              </w:rPr>
              <w:t>沉淀渣</w:t>
            </w:r>
            <w:r>
              <w:rPr>
                <w:rFonts w:hint="eastAsia"/>
                <w:color w:val="auto"/>
                <w:sz w:val="24"/>
                <w:szCs w:val="22"/>
                <w:lang w:val="en-US" w:eastAsia="zh-CN"/>
              </w:rPr>
              <w:t>干重</w:t>
            </w:r>
            <w:r>
              <w:rPr>
                <w:rFonts w:hint="eastAsia" w:ascii="Times New Roman" w:hAnsi="Times New Roman"/>
                <w:color w:val="auto"/>
                <w:sz w:val="24"/>
                <w:szCs w:val="22"/>
              </w:rPr>
              <w:t>产生量为</w:t>
            </w:r>
            <w:r>
              <w:rPr>
                <w:rFonts w:hint="eastAsia"/>
                <w:color w:val="auto"/>
                <w:sz w:val="24"/>
                <w:szCs w:val="22"/>
                <w:lang w:val="en-US" w:eastAsia="zh-CN"/>
              </w:rPr>
              <w:t>9899.62t</w:t>
            </w:r>
            <w:r>
              <w:rPr>
                <w:rFonts w:hint="eastAsia" w:ascii="Times New Roman" w:hAnsi="Times New Roman"/>
                <w:color w:val="auto"/>
                <w:sz w:val="24"/>
                <w:szCs w:val="22"/>
              </w:rPr>
              <w:t>/</w:t>
            </w:r>
            <w:r>
              <w:rPr>
                <w:rFonts w:hint="eastAsia" w:ascii="Times New Roman" w:hAnsi="Times New Roman"/>
                <w:color w:val="000000"/>
                <w:sz w:val="24"/>
                <w:szCs w:val="22"/>
              </w:rPr>
              <w:t>a。</w:t>
            </w:r>
            <w:r>
              <w:rPr>
                <w:rFonts w:hint="eastAsia" w:ascii="Times New Roman" w:hAnsi="Times New Roman"/>
                <w:color w:val="000000"/>
                <w:sz w:val="24"/>
                <w:szCs w:val="22"/>
                <w:lang w:val="en-US" w:eastAsia="zh-CN"/>
              </w:rPr>
              <w:t>沉淀渣带走水量为</w:t>
            </w:r>
            <w:r>
              <w:rPr>
                <w:rFonts w:hint="eastAsia"/>
                <w:color w:val="000000"/>
                <w:sz w:val="24"/>
                <w:szCs w:val="22"/>
                <w:lang w:val="en-US" w:eastAsia="zh-CN"/>
              </w:rPr>
              <w:t>4242.69</w:t>
            </w:r>
            <w:r>
              <w:rPr>
                <w:rFonts w:hint="eastAsia" w:ascii="Times New Roman" w:hAnsi="Times New Roman"/>
                <w:color w:val="000000"/>
                <w:sz w:val="24"/>
                <w:szCs w:val="22"/>
                <w:lang w:val="en-US" w:eastAsia="zh-CN"/>
              </w:rPr>
              <w:t>t/a</w:t>
            </w:r>
            <w:r>
              <w:rPr>
                <w:rFonts w:hint="eastAsia"/>
                <w:color w:val="000000"/>
                <w:sz w:val="24"/>
                <w:szCs w:val="22"/>
                <w:lang w:val="en-US" w:eastAsia="zh-CN"/>
              </w:rPr>
              <w:t>。</w:t>
            </w:r>
          </w:p>
          <w:p>
            <w:pPr>
              <w:spacing w:line="360" w:lineRule="auto"/>
              <w:ind w:firstLine="480" w:firstLineChars="200"/>
              <w:rPr>
                <w:rFonts w:hint="default" w:ascii="Times New Roman" w:hAnsi="Times New Roman"/>
                <w:color w:val="000000"/>
                <w:sz w:val="24"/>
                <w:szCs w:val="22"/>
                <w:lang w:val="en-US" w:eastAsia="zh-CN"/>
              </w:rPr>
            </w:pPr>
            <w:r>
              <w:rPr>
                <w:rFonts w:hint="eastAsia" w:ascii="Times New Roman" w:hAnsi="Times New Roman"/>
                <w:color w:val="000000"/>
                <w:sz w:val="24"/>
                <w:szCs w:val="22"/>
                <w:lang w:val="en-US" w:eastAsia="zh-CN"/>
              </w:rPr>
              <w:t>因此，洗砂工段所需循环水量为</w:t>
            </w:r>
            <w:r>
              <w:rPr>
                <w:rFonts w:hint="eastAsia"/>
                <w:color w:val="auto"/>
                <w:sz w:val="24"/>
                <w:szCs w:val="22"/>
                <w:lang w:val="en-US" w:eastAsia="zh-CN"/>
              </w:rPr>
              <w:t>97972.36</w:t>
            </w:r>
            <w:r>
              <w:rPr>
                <w:rFonts w:hint="eastAsia" w:ascii="Times New Roman" w:hAnsi="Times New Roman"/>
                <w:color w:val="auto"/>
                <w:sz w:val="24"/>
                <w:szCs w:val="22"/>
                <w:lang w:val="en-US" w:eastAsia="zh-CN"/>
              </w:rPr>
              <w:t>t/a(</w:t>
            </w:r>
            <w:r>
              <w:rPr>
                <w:rFonts w:hint="eastAsia"/>
                <w:color w:val="auto"/>
                <w:sz w:val="24"/>
                <w:szCs w:val="22"/>
                <w:lang w:val="en-US" w:eastAsia="zh-CN"/>
              </w:rPr>
              <w:t>326.5745</w:t>
            </w:r>
            <w:r>
              <w:rPr>
                <w:rFonts w:hint="eastAsia" w:ascii="Times New Roman" w:hAnsi="Times New Roman"/>
                <w:color w:val="auto"/>
                <w:sz w:val="24"/>
                <w:szCs w:val="22"/>
                <w:lang w:val="en-US" w:eastAsia="zh-CN"/>
              </w:rPr>
              <w:t>m³/d)。洗砂工段需补充新鲜水量为</w:t>
            </w:r>
            <w:r>
              <w:rPr>
                <w:rFonts w:hint="eastAsia"/>
                <w:color w:val="auto"/>
                <w:sz w:val="24"/>
                <w:szCs w:val="22"/>
                <w:lang w:val="en-US" w:eastAsia="zh-CN"/>
              </w:rPr>
              <w:t>49027.64</w:t>
            </w:r>
            <w:r>
              <w:rPr>
                <w:rFonts w:hint="eastAsia" w:ascii="Times New Roman" w:hAnsi="Times New Roman"/>
                <w:color w:val="auto"/>
                <w:sz w:val="24"/>
                <w:szCs w:val="22"/>
                <w:lang w:val="en-US" w:eastAsia="zh-CN"/>
              </w:rPr>
              <w:t>t/a(</w:t>
            </w:r>
            <w:r>
              <w:rPr>
                <w:rFonts w:hint="eastAsia"/>
                <w:color w:val="auto"/>
                <w:sz w:val="24"/>
                <w:szCs w:val="22"/>
                <w:lang w:val="en-US" w:eastAsia="zh-CN"/>
              </w:rPr>
              <w:t>163.4255</w:t>
            </w:r>
            <w:r>
              <w:rPr>
                <w:rFonts w:hint="eastAsia" w:ascii="Times New Roman" w:hAnsi="Times New Roman"/>
                <w:color w:val="auto"/>
                <w:sz w:val="24"/>
                <w:szCs w:val="22"/>
                <w:lang w:val="en-US" w:eastAsia="zh-CN"/>
              </w:rPr>
              <w:t>m³/d)</w:t>
            </w:r>
            <w:r>
              <w:rPr>
                <w:rFonts w:hint="eastAsia"/>
                <w:color w:val="auto"/>
                <w:sz w:val="24"/>
                <w:szCs w:val="22"/>
                <w:lang w:val="en-US" w:eastAsia="zh-CN"/>
              </w:rPr>
              <w:t>，</w:t>
            </w:r>
            <w:r>
              <w:rPr>
                <w:rFonts w:hint="eastAsia" w:ascii="Times New Roman" w:hAnsi="Times New Roman"/>
                <w:color w:val="000000"/>
                <w:sz w:val="24"/>
                <w:szCs w:val="22"/>
                <w:lang w:val="en-US" w:eastAsia="zh-CN"/>
              </w:rPr>
              <w:t>洗砂废水引入废水处理系统进行絮凝沉淀处理后回用于生产。</w:t>
            </w:r>
          </w:p>
          <w:p>
            <w:pPr>
              <w:spacing w:line="360" w:lineRule="auto"/>
              <w:ind w:firstLine="480" w:firstLineChars="200"/>
              <w:rPr>
                <w:rFonts w:ascii="Times New Roman" w:hAnsi="Times New Roman"/>
                <w:sz w:val="24"/>
              </w:rPr>
            </w:pPr>
            <w:r>
              <w:rPr>
                <w:rFonts w:ascii="Times New Roman" w:hAnsi="Times New Roman"/>
                <w:color w:val="000000"/>
                <w:sz w:val="24"/>
                <w:szCs w:val="22"/>
              </w:rPr>
              <w:t>建设项目</w:t>
            </w:r>
            <w:r>
              <w:rPr>
                <w:rFonts w:hint="eastAsia"/>
                <w:color w:val="000000"/>
                <w:sz w:val="24"/>
                <w:szCs w:val="22"/>
                <w:lang w:val="en-US" w:eastAsia="zh-CN"/>
              </w:rPr>
              <w:t>车间喷雾抑尘</w:t>
            </w:r>
            <w:r>
              <w:rPr>
                <w:rFonts w:ascii="Times New Roman" w:hAnsi="Times New Roman"/>
                <w:color w:val="000000"/>
                <w:sz w:val="24"/>
                <w:szCs w:val="22"/>
              </w:rPr>
              <w:t>用水全部蒸发损耗，不外排；洗砂废水排放至</w:t>
            </w:r>
            <w:r>
              <w:rPr>
                <w:rFonts w:hint="eastAsia"/>
                <w:color w:val="000000"/>
                <w:sz w:val="24"/>
                <w:szCs w:val="22"/>
                <w:lang w:val="en-US" w:eastAsia="zh-CN"/>
              </w:rPr>
              <w:t>混合水池</w:t>
            </w:r>
            <w:r>
              <w:rPr>
                <w:rFonts w:ascii="Times New Roman" w:hAnsi="Times New Roman"/>
                <w:color w:val="000000"/>
                <w:sz w:val="24"/>
                <w:szCs w:val="22"/>
              </w:rPr>
              <w:t>内，经絮凝剂压滤后的上清液返回清水池内，压滤的</w:t>
            </w:r>
            <w:r>
              <w:rPr>
                <w:rFonts w:hint="eastAsia"/>
                <w:color w:val="000000"/>
                <w:sz w:val="24"/>
                <w:szCs w:val="22"/>
                <w:lang w:val="en-US" w:eastAsia="zh-CN"/>
              </w:rPr>
              <w:t>沉渣</w:t>
            </w:r>
            <w:r>
              <w:rPr>
                <w:rFonts w:ascii="Times New Roman" w:hAnsi="Times New Roman"/>
                <w:color w:val="000000"/>
                <w:sz w:val="24"/>
                <w:szCs w:val="22"/>
              </w:rPr>
              <w:t>外售，定期补充损耗用水，洗砂废水不外排</w:t>
            </w:r>
            <w:r>
              <w:rPr>
                <w:rFonts w:ascii="Times New Roman" w:hAnsi="Times New Roman"/>
                <w:sz w:val="24"/>
              </w:rPr>
              <w:t>。具体见水平衡图。</w:t>
            </w:r>
          </w:p>
          <w:p>
            <w:pPr>
              <w:spacing w:line="360" w:lineRule="auto"/>
              <w:ind w:firstLine="420" w:firstLineChars="200"/>
              <w:rPr>
                <w:rFonts w:ascii="Times New Roman" w:hAnsi="Times New Roman"/>
                <w:sz w:val="24"/>
              </w:rPr>
            </w:pPr>
            <w:r>
              <w:drawing>
                <wp:inline distT="0" distB="0" distL="114300" distR="114300">
                  <wp:extent cx="4983480" cy="3188970"/>
                  <wp:effectExtent l="0" t="0" r="7620" b="1143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1"/>
                          <a:stretch>
                            <a:fillRect/>
                          </a:stretch>
                        </pic:blipFill>
                        <pic:spPr>
                          <a:xfrm>
                            <a:off x="0" y="0"/>
                            <a:ext cx="4983480" cy="3188970"/>
                          </a:xfrm>
                          <a:prstGeom prst="rect">
                            <a:avLst/>
                          </a:prstGeom>
                          <a:noFill/>
                          <a:ln>
                            <a:noFill/>
                          </a:ln>
                        </pic:spPr>
                      </pic:pic>
                    </a:graphicData>
                  </a:graphic>
                </wp:inline>
              </w:drawing>
            </w:r>
          </w:p>
          <w:p>
            <w:pPr>
              <w:pStyle w:val="10"/>
              <w:spacing w:after="0" w:line="360" w:lineRule="auto"/>
              <w:ind w:firstLine="480" w:firstLineChars="200"/>
              <w:jc w:val="center"/>
              <w:rPr>
                <w:rFonts w:hint="default"/>
                <w:bCs/>
                <w:color w:val="000000"/>
                <w:sz w:val="24"/>
                <w:szCs w:val="22"/>
                <w:lang w:val="en-US" w:eastAsia="zh-CN"/>
              </w:rPr>
            </w:pPr>
            <w:r>
              <w:rPr>
                <w:rFonts w:hint="eastAsia"/>
                <w:bCs/>
                <w:color w:val="000000"/>
                <w:sz w:val="24"/>
                <w:szCs w:val="22"/>
                <w:lang w:val="en-US" w:eastAsia="zh-CN"/>
              </w:rPr>
              <w:t xml:space="preserve">图4-1 </w:t>
            </w:r>
            <w:r>
              <w:rPr>
                <w:rFonts w:hint="eastAsia" w:ascii="Times New Roman" w:hAnsi="Times New Roman"/>
                <w:bCs/>
                <w:color w:val="000000"/>
                <w:sz w:val="24"/>
                <w:szCs w:val="22"/>
                <w:lang w:val="en-US" w:eastAsia="zh-CN"/>
              </w:rPr>
              <w:t>项目水平衡图</w:t>
            </w:r>
            <w:r>
              <w:rPr>
                <w:rFonts w:hint="eastAsia"/>
                <w:b/>
                <w:bCs/>
                <w:color w:val="auto"/>
                <w:spacing w:val="5"/>
                <w:sz w:val="24"/>
              </w:rPr>
              <w:t>（单位t/</w:t>
            </w:r>
            <w:r>
              <w:rPr>
                <w:rFonts w:hint="eastAsia"/>
                <w:b/>
                <w:bCs/>
                <w:color w:val="auto"/>
                <w:spacing w:val="5"/>
                <w:sz w:val="24"/>
                <w:lang w:val="en-US" w:eastAsia="zh-CN"/>
              </w:rPr>
              <w:t>a</w:t>
            </w:r>
            <w:r>
              <w:rPr>
                <w:rFonts w:hint="eastAsia"/>
                <w:b/>
                <w:bCs/>
                <w:color w:val="auto"/>
                <w:spacing w:val="5"/>
                <w:sz w:val="24"/>
              </w:rPr>
              <w:t>）</w:t>
            </w:r>
          </w:p>
          <w:p>
            <w:pPr>
              <w:pStyle w:val="10"/>
              <w:spacing w:after="0" w:line="360" w:lineRule="auto"/>
              <w:ind w:firstLine="480" w:firstLineChars="200"/>
              <w:rPr>
                <w:rFonts w:ascii="Times New Roman" w:hAnsi="Times New Roman"/>
                <w:bCs/>
                <w:color w:val="000000"/>
                <w:sz w:val="24"/>
                <w:szCs w:val="22"/>
              </w:rPr>
            </w:pPr>
            <w:r>
              <w:rPr>
                <w:rFonts w:hint="eastAsia"/>
                <w:bCs/>
                <w:color w:val="000000"/>
                <w:sz w:val="24"/>
                <w:szCs w:val="22"/>
                <w:lang w:val="en-US" w:eastAsia="zh-CN"/>
              </w:rPr>
              <w:t>3、</w:t>
            </w:r>
            <w:r>
              <w:rPr>
                <w:rFonts w:ascii="Times New Roman" w:hAnsi="Times New Roman"/>
                <w:bCs/>
                <w:color w:val="000000"/>
                <w:sz w:val="24"/>
                <w:szCs w:val="22"/>
              </w:rPr>
              <w:t>洗砂废水处理措施可行性分析</w:t>
            </w:r>
          </w:p>
          <w:p>
            <w:pPr>
              <w:spacing w:line="360" w:lineRule="auto"/>
              <w:ind w:firstLine="420" w:firstLineChars="200"/>
              <w:rPr>
                <w:rFonts w:hint="eastAsia" w:ascii="Times New Roman" w:hAnsi="Times New Roman" w:eastAsia="宋体"/>
                <w:color w:val="FF0000"/>
                <w:sz w:val="24"/>
                <w:szCs w:val="22"/>
                <w:lang w:eastAsia="zh-CN"/>
              </w:rPr>
            </w:pPr>
            <w:r>
              <w:drawing>
                <wp:inline distT="0" distB="0" distL="114300" distR="114300">
                  <wp:extent cx="4836160" cy="2098040"/>
                  <wp:effectExtent l="0" t="0" r="2540" b="1651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2"/>
                          <a:stretch>
                            <a:fillRect/>
                          </a:stretch>
                        </pic:blipFill>
                        <pic:spPr>
                          <a:xfrm>
                            <a:off x="0" y="0"/>
                            <a:ext cx="4836160" cy="2098040"/>
                          </a:xfrm>
                          <a:prstGeom prst="rect">
                            <a:avLst/>
                          </a:prstGeom>
                          <a:noFill/>
                          <a:ln>
                            <a:noFill/>
                          </a:ln>
                        </pic:spPr>
                      </pic:pic>
                    </a:graphicData>
                  </a:graphic>
                </wp:inline>
              </w:drawing>
            </w:r>
          </w:p>
          <w:p>
            <w:pPr>
              <w:pStyle w:val="2"/>
              <w:jc w:val="center"/>
              <w:rPr>
                <w:rFonts w:hint="eastAsia" w:ascii="Times New Roman" w:hAnsi="Times New Roman" w:eastAsia="宋体"/>
                <w:color w:val="FF0000"/>
                <w:sz w:val="24"/>
                <w:szCs w:val="22"/>
                <w:lang w:eastAsia="zh-CN"/>
              </w:rPr>
            </w:pPr>
            <w:r>
              <w:rPr>
                <w:rFonts w:hint="eastAsia"/>
                <w:bCs/>
                <w:color w:val="000000"/>
                <w:sz w:val="24"/>
                <w:szCs w:val="22"/>
                <w:lang w:val="en-US" w:eastAsia="zh-CN"/>
              </w:rPr>
              <w:t xml:space="preserve">图4-2 </w:t>
            </w:r>
            <w:r>
              <w:rPr>
                <w:rFonts w:hint="eastAsia" w:ascii="Times New Roman" w:hAnsi="Times New Roman" w:eastAsia="宋体" w:cs="Times New Roman"/>
                <w:bCs/>
                <w:color w:val="000000"/>
                <w:spacing w:val="0"/>
                <w:kern w:val="0"/>
                <w:sz w:val="24"/>
                <w:szCs w:val="22"/>
                <w:lang w:val="en-US" w:eastAsia="zh-CN" w:bidi="ar-SA"/>
              </w:rPr>
              <w:t>废水处理工艺图</w:t>
            </w:r>
          </w:p>
          <w:p>
            <w:pPr>
              <w:pStyle w:val="10"/>
              <w:numPr>
                <w:ilvl w:val="0"/>
                <w:numId w:val="0"/>
              </w:numPr>
              <w:spacing w:after="0" w:line="360" w:lineRule="auto"/>
              <w:ind w:left="420" w:leftChars="0" w:right="113" w:rightChars="0"/>
              <w:rPr>
                <w:rFonts w:ascii="Times New Roman" w:hAnsi="Times New Roman"/>
                <w:bCs/>
                <w:color w:val="000000"/>
                <w:sz w:val="24"/>
                <w:szCs w:val="22"/>
              </w:rPr>
            </w:pPr>
            <w:r>
              <w:rPr>
                <w:rFonts w:hint="eastAsia"/>
                <w:bCs/>
                <w:color w:val="000000"/>
                <w:sz w:val="24"/>
                <w:szCs w:val="22"/>
                <w:lang w:eastAsia="zh-CN"/>
              </w:rPr>
              <w:t>（</w:t>
            </w:r>
            <w:r>
              <w:rPr>
                <w:rFonts w:hint="eastAsia"/>
                <w:bCs/>
                <w:color w:val="000000"/>
                <w:sz w:val="24"/>
                <w:szCs w:val="22"/>
                <w:lang w:val="en-US" w:eastAsia="zh-CN"/>
              </w:rPr>
              <w:t>1</w:t>
            </w:r>
            <w:r>
              <w:rPr>
                <w:rFonts w:hint="eastAsia"/>
                <w:bCs/>
                <w:color w:val="000000"/>
                <w:sz w:val="24"/>
                <w:szCs w:val="22"/>
                <w:lang w:eastAsia="zh-CN"/>
              </w:rPr>
              <w:t>）</w:t>
            </w:r>
            <w:r>
              <w:rPr>
                <w:rFonts w:ascii="Times New Roman" w:hAnsi="Times New Roman"/>
                <w:bCs/>
                <w:color w:val="000000"/>
                <w:sz w:val="24"/>
                <w:szCs w:val="22"/>
              </w:rPr>
              <w:t>处理工艺</w:t>
            </w:r>
          </w:p>
          <w:p>
            <w:pPr>
              <w:pStyle w:val="10"/>
              <w:spacing w:after="0" w:line="360" w:lineRule="auto"/>
              <w:ind w:firstLine="480" w:firstLineChars="200"/>
              <w:rPr>
                <w:rFonts w:ascii="Times New Roman" w:hAnsi="Times New Roman"/>
                <w:bCs/>
                <w:color w:val="000000"/>
                <w:sz w:val="24"/>
                <w:szCs w:val="22"/>
              </w:rPr>
            </w:pPr>
            <w:r>
              <w:rPr>
                <w:rFonts w:ascii="Times New Roman" w:hAnsi="Times New Roman"/>
                <w:bCs/>
                <w:color w:val="000000"/>
                <w:sz w:val="24"/>
                <w:szCs w:val="22"/>
              </w:rPr>
              <w:t>本项目洗砂废水首先排放至厂区设置的</w:t>
            </w:r>
            <w:r>
              <w:rPr>
                <w:rFonts w:hint="eastAsia"/>
                <w:bCs/>
                <w:color w:val="000000"/>
                <w:sz w:val="24"/>
                <w:szCs w:val="22"/>
                <w:lang w:val="en-US" w:eastAsia="zh-CN"/>
              </w:rPr>
              <w:t>混合水池</w:t>
            </w:r>
            <w:r>
              <w:rPr>
                <w:rFonts w:ascii="Times New Roman" w:hAnsi="Times New Roman"/>
                <w:bCs/>
                <w:color w:val="000000"/>
                <w:sz w:val="24"/>
                <w:szCs w:val="22"/>
              </w:rPr>
              <w:t>内。</w:t>
            </w:r>
            <w:r>
              <w:rPr>
                <w:rFonts w:hint="eastAsia"/>
                <w:bCs/>
                <w:color w:val="000000"/>
                <w:sz w:val="24"/>
                <w:szCs w:val="22"/>
                <w:lang w:val="en-US" w:eastAsia="zh-CN"/>
              </w:rPr>
              <w:t>混合水</w:t>
            </w:r>
            <w:r>
              <w:rPr>
                <w:rFonts w:ascii="Times New Roman" w:hAnsi="Times New Roman"/>
                <w:bCs/>
                <w:color w:val="000000"/>
                <w:sz w:val="24"/>
                <w:szCs w:val="22"/>
              </w:rPr>
              <w:t>池</w:t>
            </w:r>
            <w:r>
              <w:rPr>
                <w:rFonts w:hint="eastAsia"/>
                <w:bCs/>
                <w:color w:val="000000"/>
                <w:sz w:val="24"/>
                <w:szCs w:val="22"/>
                <w:lang w:eastAsia="zh-CN"/>
              </w:rPr>
              <w:t>：</w:t>
            </w:r>
            <w:r>
              <w:rPr>
                <w:rFonts w:hint="eastAsia"/>
                <w:bCs/>
                <w:color w:val="000000"/>
                <w:sz w:val="24"/>
                <w:szCs w:val="22"/>
                <w:lang w:val="en-US" w:eastAsia="zh-CN"/>
              </w:rPr>
              <w:t>长10m，宽8m，深2.5m，混合水池</w:t>
            </w:r>
            <w:r>
              <w:rPr>
                <w:rFonts w:ascii="Times New Roman" w:hAnsi="Times New Roman"/>
                <w:bCs/>
                <w:color w:val="000000"/>
                <w:sz w:val="24"/>
                <w:szCs w:val="22"/>
              </w:rPr>
              <w:t>起中转作用，污水流入池内的同时，另一端由泵送至</w:t>
            </w:r>
            <w:r>
              <w:rPr>
                <w:rFonts w:hint="eastAsia"/>
                <w:bCs/>
                <w:color w:val="000000"/>
                <w:sz w:val="24"/>
                <w:szCs w:val="22"/>
                <w:lang w:val="en-US" w:eastAsia="zh-CN"/>
              </w:rPr>
              <w:t>浓缩</w:t>
            </w:r>
            <w:r>
              <w:rPr>
                <w:rFonts w:ascii="Times New Roman" w:hAnsi="Times New Roman"/>
                <w:bCs/>
                <w:color w:val="000000"/>
                <w:sz w:val="24"/>
                <w:szCs w:val="22"/>
              </w:rPr>
              <w:t>罐，并保证污水流入</w:t>
            </w:r>
            <w:r>
              <w:rPr>
                <w:rFonts w:hint="eastAsia"/>
                <w:bCs/>
                <w:color w:val="000000"/>
                <w:sz w:val="24"/>
                <w:szCs w:val="22"/>
                <w:lang w:val="en-US" w:eastAsia="zh-CN"/>
              </w:rPr>
              <w:t>混合水</w:t>
            </w:r>
            <w:r>
              <w:rPr>
                <w:rFonts w:ascii="Times New Roman" w:hAnsi="Times New Roman"/>
                <w:bCs/>
                <w:color w:val="000000"/>
                <w:sz w:val="24"/>
                <w:szCs w:val="22"/>
              </w:rPr>
              <w:t>池的速度小于泵送入</w:t>
            </w:r>
            <w:r>
              <w:rPr>
                <w:rFonts w:hint="eastAsia"/>
                <w:bCs/>
                <w:color w:val="000000"/>
                <w:sz w:val="24"/>
                <w:szCs w:val="22"/>
                <w:lang w:val="en-US" w:eastAsia="zh-CN"/>
              </w:rPr>
              <w:t>浓缩</w:t>
            </w:r>
            <w:r>
              <w:rPr>
                <w:rFonts w:ascii="Times New Roman" w:hAnsi="Times New Roman"/>
                <w:bCs/>
                <w:color w:val="000000"/>
                <w:sz w:val="24"/>
                <w:szCs w:val="22"/>
              </w:rPr>
              <w:t>罐的流速，以确保污水收集池内的污水不会溢出。且污水收集池四壁需采取抗震混凝土加固，池底做防渗处置。</w:t>
            </w:r>
          </w:p>
          <w:p>
            <w:pPr>
              <w:pStyle w:val="10"/>
              <w:spacing w:after="0" w:line="360" w:lineRule="auto"/>
              <w:ind w:firstLine="480" w:firstLineChars="200"/>
              <w:rPr>
                <w:rFonts w:ascii="Times New Roman" w:hAnsi="Times New Roman"/>
                <w:bCs/>
                <w:color w:val="000000"/>
                <w:sz w:val="24"/>
                <w:szCs w:val="22"/>
              </w:rPr>
            </w:pPr>
            <w:r>
              <w:rPr>
                <w:rFonts w:ascii="Times New Roman" w:hAnsi="Times New Roman"/>
                <w:bCs/>
                <w:color w:val="000000"/>
                <w:sz w:val="24"/>
                <w:szCs w:val="22"/>
              </w:rPr>
              <w:t>污水泵入至</w:t>
            </w:r>
            <w:r>
              <w:rPr>
                <w:rFonts w:hint="eastAsia"/>
                <w:bCs/>
                <w:color w:val="000000"/>
                <w:sz w:val="24"/>
                <w:szCs w:val="22"/>
                <w:lang w:val="en-US" w:eastAsia="zh-CN"/>
              </w:rPr>
              <w:t>浓缩</w:t>
            </w:r>
            <w:r>
              <w:rPr>
                <w:rFonts w:ascii="Times New Roman" w:hAnsi="Times New Roman"/>
                <w:bCs/>
                <w:color w:val="000000"/>
                <w:sz w:val="24"/>
                <w:szCs w:val="22"/>
              </w:rPr>
              <w:t>罐后，需加入絮凝剂以起到泥水分离的作用，分离后的上清液排放至清水池，泥浆由泥浆泵送至压滤机内处置。本项目使用的絮凝剂为聚丙烯酰胺，聚丙烯酰胺( PAM) 是水溶性高分子中应用最广泛的品种之一。由于聚丙烯酰胺结构单元中含有酰胺基、易形成氢键、使其具有良好的水溶性和很高的化学活性，易通过接枝或交联得到支链或网状结构的多种改性物，在石油开采、水处理、纺织、造纸、选矿、医药、农业等行业中具有广泛的应用。</w:t>
            </w:r>
          </w:p>
          <w:p>
            <w:pPr>
              <w:pStyle w:val="10"/>
              <w:spacing w:after="0" w:line="360" w:lineRule="auto"/>
              <w:rPr>
                <w:rFonts w:ascii="Times New Roman" w:hAnsi="Times New Roman"/>
                <w:bCs/>
                <w:color w:val="000000"/>
                <w:sz w:val="24"/>
                <w:szCs w:val="22"/>
              </w:rPr>
            </w:pPr>
            <w:r>
              <w:rPr>
                <w:rFonts w:ascii="Times New Roman" w:hAnsi="Times New Roman"/>
                <w:bCs/>
                <w:color w:val="000000"/>
                <w:sz w:val="24"/>
                <w:szCs w:val="22"/>
              </w:rPr>
              <w:t xml:space="preserve">   泥浆流入压滤机后，污泥均匀分布到重力脱水区上，并在泥耙的双向疏导和重力作用下，污泥随着脱水滤带的移动，迅速脱去污泥的游离水。</w:t>
            </w:r>
            <w:r>
              <w:rPr>
                <w:rFonts w:hint="eastAsia"/>
                <w:bCs/>
                <w:color w:val="000000"/>
                <w:sz w:val="24"/>
                <w:szCs w:val="22"/>
                <w:lang w:val="en-US" w:eastAsia="zh-CN"/>
              </w:rPr>
              <w:t>脱水后进入沙土库</w:t>
            </w:r>
            <w:r>
              <w:rPr>
                <w:rFonts w:ascii="Times New Roman" w:hAnsi="Times New Roman"/>
                <w:bCs/>
                <w:color w:val="000000"/>
                <w:sz w:val="24"/>
                <w:szCs w:val="22"/>
              </w:rPr>
              <w:t>。</w:t>
            </w:r>
          </w:p>
          <w:p>
            <w:pPr>
              <w:pStyle w:val="10"/>
              <w:numPr>
                <w:ilvl w:val="0"/>
                <w:numId w:val="0"/>
              </w:numPr>
              <w:spacing w:after="0" w:line="360" w:lineRule="auto"/>
              <w:ind w:left="420" w:leftChars="0" w:right="113" w:rightChars="0"/>
              <w:rPr>
                <w:rFonts w:ascii="Times New Roman" w:hAnsi="Times New Roman"/>
                <w:bCs/>
                <w:color w:val="000000"/>
                <w:sz w:val="24"/>
                <w:szCs w:val="22"/>
              </w:rPr>
            </w:pPr>
            <w:r>
              <w:rPr>
                <w:rFonts w:hint="eastAsia"/>
                <w:bCs/>
                <w:color w:val="000000"/>
                <w:sz w:val="24"/>
                <w:szCs w:val="22"/>
                <w:lang w:eastAsia="zh-CN"/>
              </w:rPr>
              <w:t>（</w:t>
            </w:r>
            <w:r>
              <w:rPr>
                <w:rFonts w:hint="eastAsia"/>
                <w:bCs/>
                <w:color w:val="000000"/>
                <w:sz w:val="24"/>
                <w:szCs w:val="22"/>
                <w:lang w:val="en-US" w:eastAsia="zh-CN"/>
              </w:rPr>
              <w:t>2</w:t>
            </w:r>
            <w:r>
              <w:rPr>
                <w:rFonts w:hint="eastAsia"/>
                <w:bCs/>
                <w:color w:val="000000"/>
                <w:sz w:val="24"/>
                <w:szCs w:val="22"/>
                <w:lang w:eastAsia="zh-CN"/>
              </w:rPr>
              <w:t>）</w:t>
            </w:r>
            <w:r>
              <w:rPr>
                <w:rFonts w:ascii="Times New Roman" w:hAnsi="Times New Roman"/>
                <w:bCs/>
                <w:color w:val="000000"/>
                <w:sz w:val="24"/>
                <w:szCs w:val="22"/>
              </w:rPr>
              <w:t>各处理单元处理能力合理性分析</w:t>
            </w:r>
          </w:p>
          <w:p>
            <w:pPr>
              <w:pStyle w:val="10"/>
              <w:spacing w:after="0" w:line="360" w:lineRule="auto"/>
              <w:ind w:firstLine="480" w:firstLineChars="200"/>
              <w:rPr>
                <w:rFonts w:hint="default" w:ascii="Times New Roman" w:hAnsi="Times New Roman" w:eastAsia="宋体"/>
                <w:bCs/>
                <w:color w:val="000000"/>
                <w:sz w:val="24"/>
                <w:szCs w:val="22"/>
                <w:lang w:val="en-US" w:eastAsia="zh-CN"/>
              </w:rPr>
            </w:pPr>
            <w:r>
              <w:rPr>
                <w:rFonts w:ascii="Times New Roman" w:hAnsi="Times New Roman"/>
                <w:bCs/>
                <w:color w:val="000000"/>
                <w:sz w:val="24"/>
                <w:szCs w:val="22"/>
              </w:rPr>
              <w:t>从年需要处理污水能力角度分析，根据上文计算结果，本项目年</w:t>
            </w:r>
            <w:r>
              <w:rPr>
                <w:rFonts w:hint="eastAsia"/>
                <w:bCs/>
                <w:color w:val="000000"/>
                <w:sz w:val="24"/>
                <w:szCs w:val="22"/>
                <w:lang w:val="en-US" w:eastAsia="zh-CN"/>
              </w:rPr>
              <w:t>循环水量为97972.36t，原有项目年循环水量为57600</w:t>
            </w:r>
            <w:r>
              <w:rPr>
                <w:rFonts w:ascii="Times New Roman" w:hAnsi="Times New Roman"/>
                <w:bCs/>
                <w:color w:val="000000"/>
                <w:sz w:val="24"/>
                <w:szCs w:val="22"/>
              </w:rPr>
              <w:t>t</w:t>
            </w:r>
            <w:r>
              <w:rPr>
                <w:rFonts w:hint="eastAsia"/>
                <w:bCs/>
                <w:color w:val="000000"/>
                <w:sz w:val="24"/>
                <w:szCs w:val="22"/>
                <w:lang w:eastAsia="zh-CN"/>
              </w:rPr>
              <w:t>，</w:t>
            </w:r>
            <w:r>
              <w:rPr>
                <w:rFonts w:hint="default" w:ascii="Times New Roman" w:hAnsi="Times New Roman" w:eastAsia="宋体" w:cs="Times New Roman"/>
                <w:bCs/>
                <w:color w:val="auto"/>
                <w:spacing w:val="0"/>
                <w:w w:val="100"/>
                <w:position w:val="0"/>
                <w:sz w:val="24"/>
                <w:szCs w:val="24"/>
                <w:lang w:val="en-US" w:eastAsia="zh-CN"/>
              </w:rPr>
              <w:t>循环水池：总长27m，宽8m，深2.5m</w:t>
            </w:r>
            <w:r>
              <w:rPr>
                <w:rFonts w:hint="eastAsia" w:cs="Times New Roman"/>
                <w:bCs/>
                <w:color w:val="auto"/>
                <w:spacing w:val="0"/>
                <w:w w:val="100"/>
                <w:position w:val="0"/>
                <w:sz w:val="24"/>
                <w:szCs w:val="24"/>
                <w:lang w:val="en-US" w:eastAsia="zh-CN"/>
              </w:rPr>
              <w:t>，</w:t>
            </w:r>
            <w:r>
              <w:rPr>
                <w:rFonts w:ascii="Times New Roman" w:hAnsi="Times New Roman"/>
                <w:bCs/>
                <w:color w:val="000000"/>
                <w:sz w:val="24"/>
                <w:szCs w:val="22"/>
              </w:rPr>
              <w:t>每天工作时间为</w:t>
            </w:r>
            <w:r>
              <w:rPr>
                <w:rFonts w:hint="eastAsia" w:ascii="Times New Roman" w:hAnsi="Times New Roman"/>
                <w:bCs/>
                <w:color w:val="000000"/>
                <w:sz w:val="24"/>
                <w:szCs w:val="22"/>
                <w:lang w:val="en-US" w:eastAsia="zh-CN"/>
              </w:rPr>
              <w:t>1</w:t>
            </w:r>
            <w:r>
              <w:rPr>
                <w:rFonts w:hint="eastAsia"/>
                <w:bCs/>
                <w:color w:val="000000"/>
                <w:sz w:val="24"/>
                <w:szCs w:val="22"/>
                <w:lang w:val="en-US" w:eastAsia="zh-CN"/>
              </w:rPr>
              <w:t>2</w:t>
            </w:r>
            <w:r>
              <w:rPr>
                <w:rFonts w:ascii="Times New Roman" w:hAnsi="Times New Roman"/>
                <w:bCs/>
                <w:color w:val="000000"/>
                <w:sz w:val="24"/>
                <w:szCs w:val="22"/>
              </w:rPr>
              <w:t>h</w:t>
            </w:r>
            <w:r>
              <w:rPr>
                <w:rFonts w:hint="eastAsia"/>
                <w:bCs/>
                <w:color w:val="000000"/>
                <w:sz w:val="24"/>
                <w:szCs w:val="22"/>
                <w:lang w:eastAsia="zh-CN"/>
              </w:rPr>
              <w:t>，</w:t>
            </w:r>
            <w:r>
              <w:rPr>
                <w:rFonts w:hint="eastAsia"/>
                <w:bCs/>
                <w:color w:val="000000"/>
                <w:sz w:val="24"/>
                <w:szCs w:val="22"/>
                <w:lang w:val="en-US" w:eastAsia="zh-CN"/>
              </w:rPr>
              <w:t>每天需要循环518t水,</w:t>
            </w:r>
            <w:r>
              <w:rPr>
                <w:rFonts w:hint="default" w:ascii="Times New Roman" w:hAnsi="Times New Roman" w:eastAsia="宋体" w:cs="Times New Roman"/>
                <w:bCs/>
                <w:color w:val="auto"/>
                <w:spacing w:val="0"/>
                <w:w w:val="100"/>
                <w:position w:val="0"/>
                <w:sz w:val="24"/>
                <w:szCs w:val="24"/>
                <w:lang w:val="en-US" w:eastAsia="zh-CN"/>
              </w:rPr>
              <w:t>项目循环水池可以满足要求。</w:t>
            </w:r>
          </w:p>
          <w:p>
            <w:pPr>
              <w:pStyle w:val="10"/>
              <w:spacing w:after="0" w:line="360" w:lineRule="auto"/>
              <w:ind w:firstLine="480" w:firstLineChars="200"/>
              <w:rPr>
                <w:rFonts w:hint="eastAsia" w:ascii="Times New Roman" w:hAnsi="Times New Roman"/>
                <w:color w:val="FF0000"/>
                <w:sz w:val="24"/>
                <w:szCs w:val="22"/>
              </w:rPr>
            </w:pPr>
            <w:r>
              <w:rPr>
                <w:rFonts w:ascii="Times New Roman" w:hAnsi="Times New Roman"/>
                <w:bCs/>
                <w:color w:val="000000"/>
                <w:sz w:val="24"/>
                <w:szCs w:val="22"/>
              </w:rPr>
              <w:t>本项目年需处理泥水量</w:t>
            </w:r>
            <w:r>
              <w:rPr>
                <w:rFonts w:hint="eastAsia"/>
                <w:bCs/>
                <w:color w:val="000000"/>
                <w:sz w:val="24"/>
                <w:szCs w:val="22"/>
                <w:lang w:val="en-US" w:eastAsia="zh-CN"/>
              </w:rPr>
              <w:t>112114.67</w:t>
            </w:r>
            <w:r>
              <w:rPr>
                <w:rFonts w:ascii="Times New Roman" w:hAnsi="Times New Roman"/>
                <w:bCs/>
                <w:color w:val="000000"/>
                <w:sz w:val="24"/>
                <w:szCs w:val="22"/>
              </w:rPr>
              <w:t>t，</w:t>
            </w:r>
            <w:r>
              <w:rPr>
                <w:rFonts w:hint="eastAsia" w:ascii="Times New Roman" w:hAnsi="Times New Roman"/>
                <w:bCs/>
                <w:color w:val="000000"/>
                <w:sz w:val="24"/>
                <w:szCs w:val="22"/>
                <w:lang w:val="en-US" w:eastAsia="zh-CN"/>
              </w:rPr>
              <w:t>原有项目年需处理泥水量约为67478</w:t>
            </w:r>
            <w:r>
              <w:rPr>
                <w:rFonts w:ascii="Times New Roman" w:hAnsi="Times New Roman"/>
                <w:bCs/>
                <w:color w:val="000000"/>
                <w:sz w:val="24"/>
                <w:szCs w:val="22"/>
              </w:rPr>
              <w:t>t</w:t>
            </w:r>
            <w:r>
              <w:rPr>
                <w:rFonts w:hint="eastAsia"/>
                <w:bCs/>
                <w:color w:val="000000"/>
                <w:sz w:val="24"/>
                <w:szCs w:val="22"/>
                <w:lang w:eastAsia="zh-CN"/>
              </w:rPr>
              <w:t>，</w:t>
            </w:r>
            <w:r>
              <w:rPr>
                <w:rFonts w:ascii="Times New Roman" w:hAnsi="Times New Roman"/>
                <w:bCs/>
                <w:color w:val="000000"/>
                <w:sz w:val="24"/>
                <w:szCs w:val="22"/>
              </w:rPr>
              <w:t>每天需要处理</w:t>
            </w:r>
            <w:r>
              <w:rPr>
                <w:rFonts w:hint="eastAsia"/>
                <w:bCs/>
                <w:color w:val="000000"/>
                <w:sz w:val="24"/>
                <w:szCs w:val="22"/>
                <w:lang w:val="en-US" w:eastAsia="zh-CN"/>
              </w:rPr>
              <w:t>598</w:t>
            </w:r>
            <w:r>
              <w:rPr>
                <w:rFonts w:hint="eastAsia" w:ascii="Times New Roman" w:hAnsi="Times New Roman"/>
                <w:bCs/>
                <w:color w:val="000000"/>
                <w:sz w:val="24"/>
                <w:szCs w:val="22"/>
                <w:lang w:val="en-US" w:eastAsia="zh-CN"/>
              </w:rPr>
              <w:t>.</w:t>
            </w:r>
            <w:r>
              <w:rPr>
                <w:rFonts w:hint="eastAsia"/>
                <w:bCs/>
                <w:color w:val="000000"/>
                <w:sz w:val="24"/>
                <w:szCs w:val="22"/>
                <w:lang w:val="en-US" w:eastAsia="zh-CN"/>
              </w:rPr>
              <w:t>64</w:t>
            </w:r>
            <w:r>
              <w:rPr>
                <w:rFonts w:ascii="Times New Roman" w:hAnsi="Times New Roman"/>
                <w:bCs/>
                <w:color w:val="000000"/>
                <w:sz w:val="24"/>
                <w:szCs w:val="22"/>
              </w:rPr>
              <w:t>t泥水，每天工作时间为</w:t>
            </w:r>
            <w:r>
              <w:rPr>
                <w:rFonts w:hint="eastAsia" w:ascii="Times New Roman" w:hAnsi="Times New Roman"/>
                <w:bCs/>
                <w:color w:val="000000"/>
                <w:sz w:val="24"/>
                <w:szCs w:val="22"/>
                <w:lang w:val="en-US" w:eastAsia="zh-CN"/>
              </w:rPr>
              <w:t>1</w:t>
            </w:r>
            <w:r>
              <w:rPr>
                <w:rFonts w:hint="eastAsia"/>
                <w:bCs/>
                <w:color w:val="000000"/>
                <w:sz w:val="24"/>
                <w:szCs w:val="22"/>
                <w:lang w:val="en-US" w:eastAsia="zh-CN"/>
              </w:rPr>
              <w:t>2</w:t>
            </w:r>
            <w:r>
              <w:rPr>
                <w:rFonts w:ascii="Times New Roman" w:hAnsi="Times New Roman"/>
                <w:bCs/>
                <w:color w:val="000000"/>
                <w:sz w:val="24"/>
                <w:szCs w:val="22"/>
              </w:rPr>
              <w:t>h，</w:t>
            </w:r>
            <w:r>
              <w:rPr>
                <w:rFonts w:hint="eastAsia" w:ascii="Times New Roman" w:hAnsi="Times New Roman"/>
                <w:bCs/>
                <w:color w:val="000000"/>
                <w:sz w:val="24"/>
                <w:szCs w:val="22"/>
                <w:lang w:val="en-US" w:eastAsia="zh-CN"/>
              </w:rPr>
              <w:t>浓缩</w:t>
            </w:r>
            <w:r>
              <w:rPr>
                <w:rFonts w:ascii="Times New Roman" w:hAnsi="Times New Roman"/>
                <w:bCs/>
                <w:color w:val="000000"/>
                <w:sz w:val="24"/>
                <w:szCs w:val="22"/>
              </w:rPr>
              <w:t>罐处理能力为1</w:t>
            </w:r>
            <w:r>
              <w:rPr>
                <w:rFonts w:hint="eastAsia" w:ascii="Times New Roman" w:hAnsi="Times New Roman"/>
                <w:bCs/>
                <w:color w:val="000000"/>
                <w:sz w:val="24"/>
                <w:szCs w:val="22"/>
                <w:lang w:val="en-US" w:eastAsia="zh-CN"/>
              </w:rPr>
              <w:t>5</w:t>
            </w:r>
            <w:r>
              <w:rPr>
                <w:rFonts w:ascii="Times New Roman" w:hAnsi="Times New Roman"/>
                <w:bCs/>
                <w:color w:val="000000"/>
                <w:sz w:val="24"/>
                <w:szCs w:val="22"/>
              </w:rPr>
              <w:t>0t</w:t>
            </w:r>
            <w:r>
              <w:rPr>
                <w:rFonts w:hint="eastAsia" w:ascii="Times New Roman" w:hAnsi="Times New Roman"/>
                <w:bCs/>
                <w:color w:val="000000"/>
                <w:sz w:val="24"/>
                <w:szCs w:val="22"/>
                <w:lang w:val="en-US" w:eastAsia="zh-CN"/>
              </w:rPr>
              <w:t>/h</w:t>
            </w:r>
            <w:r>
              <w:rPr>
                <w:rFonts w:ascii="Times New Roman" w:hAnsi="Times New Roman"/>
                <w:bCs/>
                <w:color w:val="000000"/>
                <w:sz w:val="24"/>
                <w:szCs w:val="22"/>
              </w:rPr>
              <w:t>，压滤机处理</w:t>
            </w:r>
            <w:r>
              <w:rPr>
                <w:rFonts w:hint="eastAsia" w:ascii="Times New Roman" w:hAnsi="Times New Roman"/>
                <w:bCs/>
                <w:color w:val="000000"/>
                <w:sz w:val="24"/>
                <w:szCs w:val="22"/>
                <w:lang w:val="en-US" w:eastAsia="zh-CN"/>
              </w:rPr>
              <w:t>能力</w:t>
            </w:r>
            <w:r>
              <w:rPr>
                <w:rFonts w:ascii="Times New Roman" w:hAnsi="Times New Roman"/>
                <w:bCs/>
                <w:color w:val="000000"/>
                <w:sz w:val="24"/>
                <w:szCs w:val="22"/>
              </w:rPr>
              <w:t>为</w:t>
            </w:r>
            <w:r>
              <w:rPr>
                <w:rFonts w:hint="eastAsia"/>
                <w:bCs/>
                <w:color w:val="000000"/>
                <w:sz w:val="24"/>
                <w:szCs w:val="22"/>
                <w:lang w:val="en-US" w:eastAsia="zh-CN"/>
              </w:rPr>
              <w:t>2</w:t>
            </w:r>
            <w:r>
              <w:rPr>
                <w:rFonts w:ascii="Times New Roman" w:hAnsi="Times New Roman"/>
                <w:bCs/>
                <w:color w:val="000000"/>
                <w:sz w:val="24"/>
                <w:szCs w:val="22"/>
              </w:rPr>
              <w:t>0t</w:t>
            </w:r>
            <w:r>
              <w:rPr>
                <w:rFonts w:hint="eastAsia" w:ascii="Times New Roman" w:hAnsi="Times New Roman"/>
                <w:bCs/>
                <w:color w:val="000000"/>
                <w:sz w:val="24"/>
                <w:szCs w:val="22"/>
                <w:lang w:val="en-US" w:eastAsia="zh-CN"/>
              </w:rPr>
              <w:t>/h</w:t>
            </w:r>
            <w:r>
              <w:rPr>
                <w:rFonts w:ascii="Times New Roman" w:hAnsi="Times New Roman"/>
                <w:bCs/>
                <w:color w:val="000000"/>
                <w:sz w:val="24"/>
                <w:szCs w:val="22"/>
              </w:rPr>
              <w:t>，则每天最大可处理</w:t>
            </w:r>
            <w:r>
              <w:rPr>
                <w:rFonts w:hint="eastAsia"/>
                <w:bCs/>
                <w:color w:val="000000"/>
                <w:sz w:val="24"/>
                <w:szCs w:val="22"/>
                <w:lang w:val="en-US" w:eastAsia="zh-CN"/>
              </w:rPr>
              <w:t>泥</w:t>
            </w:r>
            <w:r>
              <w:rPr>
                <w:rFonts w:ascii="Times New Roman" w:hAnsi="Times New Roman"/>
                <w:bCs/>
                <w:color w:val="000000"/>
                <w:sz w:val="24"/>
                <w:szCs w:val="22"/>
              </w:rPr>
              <w:t>水量为</w:t>
            </w:r>
            <w:r>
              <w:rPr>
                <w:rFonts w:hint="eastAsia" w:ascii="Times New Roman" w:hAnsi="Times New Roman"/>
                <w:bCs/>
                <w:color w:val="000000"/>
                <w:sz w:val="24"/>
                <w:szCs w:val="22"/>
                <w:lang w:val="en-US" w:eastAsia="zh-CN"/>
              </w:rPr>
              <w:t>1500</w:t>
            </w:r>
            <w:r>
              <w:rPr>
                <w:rFonts w:ascii="Times New Roman" w:hAnsi="Times New Roman"/>
                <w:bCs/>
                <w:color w:val="000000"/>
                <w:sz w:val="24"/>
                <w:szCs w:val="22"/>
              </w:rPr>
              <w:t>t，远大于需要处理的泥水量，因此，从年工需处理的泥水量</w:t>
            </w:r>
            <w:r>
              <w:rPr>
                <w:rFonts w:hint="eastAsia" w:ascii="Times New Roman" w:hAnsi="Times New Roman"/>
                <w:bCs/>
                <w:color w:val="000000"/>
                <w:sz w:val="24"/>
                <w:szCs w:val="22"/>
                <w:lang w:val="en-US" w:eastAsia="zh-CN"/>
              </w:rPr>
              <w:t>和年需处理的循环水</w:t>
            </w:r>
            <w:r>
              <w:rPr>
                <w:rFonts w:ascii="Times New Roman" w:hAnsi="Times New Roman"/>
                <w:bCs/>
                <w:color w:val="000000"/>
                <w:sz w:val="24"/>
                <w:szCs w:val="22"/>
              </w:rPr>
              <w:t>角度分析，各处理单元的处理能力是满足生产需要的。</w:t>
            </w:r>
          </w:p>
          <w:p>
            <w:pPr>
              <w:adjustRightInd w:val="0"/>
              <w:snapToGrid w:val="0"/>
              <w:spacing w:line="360" w:lineRule="auto"/>
              <w:ind w:firstLine="442" w:firstLineChars="200"/>
              <w:rPr>
                <w:rFonts w:cs="宋体"/>
                <w:b/>
                <w:spacing w:val="-10"/>
                <w:szCs w:val="21"/>
              </w:rPr>
            </w:pPr>
            <w:r>
              <w:rPr>
                <w:rFonts w:hint="eastAsia" w:cs="宋体"/>
                <w:b/>
                <w:spacing w:val="-10"/>
                <w:sz w:val="24"/>
              </w:rPr>
              <w:t>三、噪声环境影响和保护措施</w:t>
            </w:r>
          </w:p>
          <w:p>
            <w:pPr>
              <w:adjustRightInd w:val="0"/>
              <w:snapToGrid w:val="0"/>
              <w:spacing w:line="360" w:lineRule="auto"/>
              <w:ind w:firstLine="442" w:firstLineChars="200"/>
              <w:rPr>
                <w:rFonts w:cs="宋体"/>
                <w:b/>
                <w:spacing w:val="-10"/>
                <w:sz w:val="24"/>
              </w:rPr>
            </w:pPr>
            <w:r>
              <w:rPr>
                <w:rFonts w:hint="eastAsia" w:cs="宋体"/>
                <w:b/>
                <w:spacing w:val="-10"/>
                <w:sz w:val="24"/>
              </w:rPr>
              <w:t>1、噪声源强</w:t>
            </w:r>
          </w:p>
          <w:p>
            <w:pPr>
              <w:spacing w:line="460" w:lineRule="exact"/>
              <w:ind w:firstLine="480" w:firstLineChars="200"/>
              <w:rPr>
                <w:bCs/>
                <w:color w:val="000000"/>
                <w:sz w:val="24"/>
              </w:rPr>
            </w:pPr>
            <w:r>
              <w:rPr>
                <w:color w:val="000000"/>
                <w:sz w:val="24"/>
              </w:rPr>
              <w:t>本项目噪声源</w:t>
            </w:r>
            <w:r>
              <w:rPr>
                <w:rFonts w:hint="eastAsia"/>
                <w:color w:val="000000"/>
                <w:sz w:val="24"/>
                <w:lang w:val="en-US" w:eastAsia="zh-CN"/>
              </w:rPr>
              <w:t>为头破机、圆锥机、制砂机、振动筛</w:t>
            </w:r>
            <w:r>
              <w:rPr>
                <w:color w:val="000000"/>
                <w:sz w:val="24"/>
              </w:rPr>
              <w:t>主要是车间内的各种生产设备及风机等，各设备噪声值在7</w:t>
            </w:r>
            <w:r>
              <w:rPr>
                <w:rFonts w:hint="eastAsia"/>
                <w:color w:val="000000"/>
                <w:sz w:val="24"/>
                <w:lang w:val="en-US" w:eastAsia="zh-CN"/>
              </w:rPr>
              <w:t>0</w:t>
            </w:r>
            <w:r>
              <w:rPr>
                <w:color w:val="000000"/>
                <w:sz w:val="24"/>
              </w:rPr>
              <w:t>~</w:t>
            </w:r>
            <w:r>
              <w:rPr>
                <w:rFonts w:hint="eastAsia"/>
                <w:color w:val="000000"/>
                <w:sz w:val="24"/>
                <w:lang w:val="en-US" w:eastAsia="zh-CN"/>
              </w:rPr>
              <w:t>85</w:t>
            </w:r>
            <w:r>
              <w:rPr>
                <w:color w:val="000000"/>
                <w:sz w:val="24"/>
              </w:rPr>
              <w:t>dB（A）间，噪声源强见</w:t>
            </w:r>
            <w:r>
              <w:rPr>
                <w:rFonts w:hint="eastAsia"/>
                <w:color w:val="000000"/>
                <w:sz w:val="24"/>
              </w:rPr>
              <w:t>下表</w:t>
            </w:r>
            <w:r>
              <w:rPr>
                <w:bCs/>
                <w:color w:val="000000"/>
                <w:sz w:val="24"/>
              </w:rPr>
              <w:t>。</w:t>
            </w:r>
          </w:p>
          <w:p>
            <w:pPr>
              <w:spacing w:line="460" w:lineRule="exact"/>
              <w:jc w:val="center"/>
              <w:rPr>
                <w:b/>
                <w:color w:val="auto"/>
                <w:sz w:val="24"/>
              </w:rPr>
            </w:pPr>
            <w:r>
              <w:rPr>
                <w:b/>
                <w:bCs/>
                <w:color w:val="auto"/>
                <w:sz w:val="24"/>
              </w:rPr>
              <w:t>表4-</w:t>
            </w:r>
            <w:r>
              <w:rPr>
                <w:rFonts w:hint="eastAsia"/>
                <w:b/>
                <w:bCs/>
                <w:color w:val="auto"/>
                <w:sz w:val="24"/>
              </w:rPr>
              <w:t>1</w:t>
            </w:r>
            <w:r>
              <w:rPr>
                <w:b/>
                <w:bCs/>
                <w:color w:val="auto"/>
                <w:sz w:val="24"/>
              </w:rPr>
              <w:t xml:space="preserve"> 主要</w:t>
            </w:r>
            <w:r>
              <w:rPr>
                <w:b/>
                <w:color w:val="auto"/>
                <w:sz w:val="24"/>
              </w:rPr>
              <w:t xml:space="preserve">噪声源强一览表 </w:t>
            </w:r>
          </w:p>
          <w:tbl>
            <w:tblPr>
              <w:tblStyle w:val="26"/>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59"/>
              <w:gridCol w:w="901"/>
              <w:gridCol w:w="1194"/>
              <w:gridCol w:w="1063"/>
              <w:gridCol w:w="1061"/>
              <w:gridCol w:w="1066"/>
              <w:gridCol w:w="11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exact"/>
              </w:trPr>
              <w:tc>
                <w:tcPr>
                  <w:tcW w:w="928"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设备名称</w:t>
                  </w:r>
                </w:p>
              </w:tc>
              <w:tc>
                <w:tcPr>
                  <w:tcW w:w="573"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设备</w:t>
                  </w:r>
                </w:p>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数量</w:t>
                  </w:r>
                </w:p>
              </w:tc>
              <w:tc>
                <w:tcPr>
                  <w:tcW w:w="2788" w:type="pct"/>
                  <w:gridSpan w:val="4"/>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距各向厂界距离m</w:t>
                  </w:r>
                </w:p>
              </w:tc>
              <w:tc>
                <w:tcPr>
                  <w:tcW w:w="709" w:type="pct"/>
                  <w:vMerge w:val="restar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rFonts w:hint="eastAsia"/>
                      <w:b/>
                      <w:color w:val="0D0D0D" w:themeColor="text1" w:themeTint="F2"/>
                      <w:szCs w:val="21"/>
                      <w14:textFill>
                        <w14:solidFill>
                          <w14:schemeClr w14:val="tx1">
                            <w14:lumMod w14:val="95000"/>
                            <w14:lumOff w14:val="5000"/>
                          </w14:schemeClr>
                        </w14:solidFill>
                      </w14:textFill>
                    </w:rPr>
                    <w:t>A声功率</w:t>
                  </w:r>
                  <w:r>
                    <w:rPr>
                      <w:b/>
                      <w:color w:val="0D0D0D" w:themeColor="text1" w:themeTint="F2"/>
                      <w:szCs w:val="21"/>
                      <w14:textFill>
                        <w14:solidFill>
                          <w14:schemeClr w14:val="tx1">
                            <w14:lumMod w14:val="95000"/>
                            <w14:lumOff w14:val="5000"/>
                          </w14:schemeClr>
                        </w14:solidFill>
                      </w14:textFill>
                    </w:rPr>
                    <w:t>级</w:t>
                  </w:r>
                </w:p>
                <w:p>
                  <w:pPr>
                    <w:spacing w:line="300" w:lineRule="exact"/>
                    <w:jc w:val="center"/>
                    <w:rPr>
                      <w:rFonts w:eastAsia="黑体"/>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573" w:type="pct"/>
                  <w:vMerge w:val="continue"/>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p>
              </w:tc>
              <w:tc>
                <w:tcPr>
                  <w:tcW w:w="759"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东</w:t>
                  </w:r>
                </w:p>
              </w:tc>
              <w:tc>
                <w:tcPr>
                  <w:tcW w:w="676"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南</w:t>
                  </w:r>
                </w:p>
              </w:tc>
              <w:tc>
                <w:tcPr>
                  <w:tcW w:w="675"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西</w:t>
                  </w:r>
                </w:p>
              </w:tc>
              <w:tc>
                <w:tcPr>
                  <w:tcW w:w="678" w:type="pct"/>
                  <w:vAlign w:val="center"/>
                </w:tcPr>
                <w:p>
                  <w:pPr>
                    <w:spacing w:line="300" w:lineRule="exact"/>
                    <w:jc w:val="center"/>
                    <w:rPr>
                      <w:b/>
                      <w:color w:val="0D0D0D" w:themeColor="text1" w:themeTint="F2"/>
                      <w:szCs w:val="21"/>
                      <w14:textFill>
                        <w14:solidFill>
                          <w14:schemeClr w14:val="tx1">
                            <w14:lumMod w14:val="95000"/>
                            <w14:lumOff w14:val="5000"/>
                          </w14:schemeClr>
                        </w14:solidFill>
                      </w14:textFill>
                    </w:rPr>
                  </w:pPr>
                  <w:r>
                    <w:rPr>
                      <w:b/>
                      <w:color w:val="0D0D0D" w:themeColor="text1" w:themeTint="F2"/>
                      <w:szCs w:val="21"/>
                      <w14:textFill>
                        <w14:solidFill>
                          <w14:schemeClr w14:val="tx1">
                            <w14:lumMod w14:val="95000"/>
                            <w14:lumOff w14:val="5000"/>
                          </w14:schemeClr>
                        </w14:solidFill>
                      </w14:textFill>
                    </w:rPr>
                    <w:t>北</w:t>
                  </w:r>
                </w:p>
              </w:tc>
              <w:tc>
                <w:tcPr>
                  <w:tcW w:w="709" w:type="pct"/>
                  <w:vMerge w:val="continue"/>
                  <w:vAlign w:val="center"/>
                </w:tcPr>
                <w:p>
                  <w:pPr>
                    <w:spacing w:line="300" w:lineRule="exact"/>
                    <w:jc w:val="center"/>
                    <w:rPr>
                      <w:color w:val="0D0D0D" w:themeColor="text1" w:themeTint="F2"/>
                      <w:szCs w:val="21"/>
                      <w14:textFill>
                        <w14:solidFill>
                          <w14:schemeClr w14:val="tx1">
                            <w14:lumMod w14:val="95000"/>
                            <w14:lumOff w14:val="5000"/>
                          </w14:schemeClr>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头破</w:t>
                  </w:r>
                  <w:r>
                    <w:rPr>
                      <w:rFonts w:hint="eastAsia" w:ascii="Times New Roman" w:hAnsi="Times New Roman"/>
                      <w:color w:val="auto"/>
                      <w:szCs w:val="21"/>
                    </w:rPr>
                    <w:t>机</w:t>
                  </w:r>
                </w:p>
              </w:tc>
              <w:tc>
                <w:tcPr>
                  <w:tcW w:w="573" w:type="pct"/>
                  <w:vAlign w:val="center"/>
                </w:tcPr>
                <w:p>
                  <w:pPr>
                    <w:adjustRightInd w:val="0"/>
                    <w:snapToGrid w:val="0"/>
                    <w:jc w:val="center"/>
                    <w:rPr>
                      <w:szCs w:val="21"/>
                    </w:rPr>
                  </w:pPr>
                  <w:r>
                    <w:rPr>
                      <w:rFonts w:hint="eastAsia"/>
                      <w:szCs w:val="21"/>
                    </w:rPr>
                    <w:t>1</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5</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37</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89</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圆锥破</w:t>
                  </w:r>
                </w:p>
              </w:tc>
              <w:tc>
                <w:tcPr>
                  <w:tcW w:w="573" w:type="pct"/>
                  <w:vAlign w:val="center"/>
                </w:tcPr>
                <w:p>
                  <w:pPr>
                    <w:adjustRightInd w:val="0"/>
                    <w:snapToGrid w:val="0"/>
                    <w:jc w:val="center"/>
                    <w:rPr>
                      <w:szCs w:val="21"/>
                    </w:rPr>
                  </w:pPr>
                  <w:r>
                    <w:rPr>
                      <w:rFonts w:hint="eastAsia"/>
                      <w:szCs w:val="21"/>
                    </w:rPr>
                    <w:t>1</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39</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86</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hint="default"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制砂机</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1</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11</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39</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84</w:t>
                  </w:r>
                </w:p>
              </w:tc>
              <w:tc>
                <w:tcPr>
                  <w:tcW w:w="709" w:type="pct"/>
                  <w:vAlign w:val="center"/>
                </w:tcPr>
                <w:p>
                  <w:pPr>
                    <w:spacing w:line="300" w:lineRule="exact"/>
                    <w:jc w:val="center"/>
                    <w:rPr>
                      <w:bCs/>
                      <w:color w:val="0D0D0D" w:themeColor="text1" w:themeTint="F2"/>
                      <w:szCs w:val="21"/>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8</w:t>
                  </w:r>
                  <w:r>
                    <w:rPr>
                      <w:rFonts w:hint="eastAsia"/>
                      <w:bCs/>
                      <w:color w:val="0D0D0D" w:themeColor="text1" w:themeTint="F2"/>
                      <w:szCs w:val="21"/>
                      <w14:textFill>
                        <w14:solidFill>
                          <w14:schemeClr w14:val="tx1">
                            <w14:lumMod w14:val="95000"/>
                            <w14:lumOff w14:val="5000"/>
                          </w14:schemeClr>
                        </w14:solidFill>
                      </w14:textFill>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振动筛</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2</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13</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43</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81.3</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脱水机</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2</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10.5</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14</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43</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80</w:t>
                  </w:r>
                </w:p>
              </w:tc>
              <w:tc>
                <w:tcPr>
                  <w:tcW w:w="709" w:type="pct"/>
                  <w:vAlign w:val="center"/>
                </w:tcPr>
                <w:p>
                  <w:pPr>
                    <w:spacing w:line="300" w:lineRule="exact"/>
                    <w:jc w:val="center"/>
                    <w:rPr>
                      <w:rFonts w:hint="eastAsia" w:eastAsia="宋体"/>
                      <w:bCs/>
                      <w:color w:val="0D0D0D" w:themeColor="text1" w:themeTint="F2"/>
                      <w:szCs w:val="21"/>
                      <w:lang w:eastAsia="zh-CN"/>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9" w:hRule="exact"/>
              </w:trPr>
              <w:tc>
                <w:tcPr>
                  <w:tcW w:w="928" w:type="pct"/>
                  <w:vAlign w:val="center"/>
                </w:tcPr>
                <w:p>
                  <w:pPr>
                    <w:spacing w:line="240" w:lineRule="atLeast"/>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洗砂机</w:t>
                  </w:r>
                </w:p>
              </w:tc>
              <w:tc>
                <w:tcPr>
                  <w:tcW w:w="573" w:type="pct"/>
                  <w:vAlign w:val="center"/>
                </w:tcPr>
                <w:p>
                  <w:pPr>
                    <w:adjustRightInd w:val="0"/>
                    <w:snapToGrid w:val="0"/>
                    <w:jc w:val="center"/>
                    <w:rPr>
                      <w:rFonts w:hint="eastAsia" w:eastAsia="宋体"/>
                      <w:szCs w:val="21"/>
                      <w:lang w:val="en-US" w:eastAsia="zh-CN"/>
                    </w:rPr>
                  </w:pPr>
                  <w:r>
                    <w:rPr>
                      <w:rFonts w:hint="eastAsia"/>
                      <w:szCs w:val="21"/>
                      <w:lang w:val="en-US" w:eastAsia="zh-CN"/>
                    </w:rPr>
                    <w:t>4</w:t>
                  </w:r>
                </w:p>
              </w:tc>
              <w:tc>
                <w:tcPr>
                  <w:tcW w:w="759"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9.3</w:t>
                  </w:r>
                </w:p>
              </w:tc>
              <w:tc>
                <w:tcPr>
                  <w:tcW w:w="676"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14</w:t>
                  </w:r>
                </w:p>
              </w:tc>
              <w:tc>
                <w:tcPr>
                  <w:tcW w:w="675"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41</w:t>
                  </w:r>
                </w:p>
              </w:tc>
              <w:tc>
                <w:tcPr>
                  <w:tcW w:w="678" w:type="pct"/>
                  <w:vAlign w:val="center"/>
                </w:tcPr>
                <w:p>
                  <w:pPr>
                    <w:spacing w:line="300" w:lineRule="exact"/>
                    <w:jc w:val="center"/>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color w:val="0D0D0D" w:themeColor="text1" w:themeTint="F2"/>
                      <w:szCs w:val="21"/>
                      <w:lang w:val="en-US" w:eastAsia="zh-CN"/>
                      <w14:textFill>
                        <w14:solidFill>
                          <w14:schemeClr w14:val="tx1">
                            <w14:lumMod w14:val="95000"/>
                            <w14:lumOff w14:val="5000"/>
                          </w14:schemeClr>
                        </w14:solidFill>
                      </w14:textFill>
                    </w:rPr>
                    <w:t>80</w:t>
                  </w:r>
                </w:p>
              </w:tc>
              <w:tc>
                <w:tcPr>
                  <w:tcW w:w="709" w:type="pct"/>
                  <w:vAlign w:val="center"/>
                </w:tcPr>
                <w:p>
                  <w:pPr>
                    <w:spacing w:line="300" w:lineRule="exact"/>
                    <w:jc w:val="center"/>
                    <w:rPr>
                      <w:rFonts w:hint="default" w:eastAsia="宋体"/>
                      <w:bCs/>
                      <w:color w:val="0D0D0D" w:themeColor="text1" w:themeTint="F2"/>
                      <w:szCs w:val="21"/>
                      <w:lang w:val="en-US" w:eastAsia="zh-CN"/>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75</w:t>
                  </w:r>
                </w:p>
              </w:tc>
            </w:tr>
          </w:tbl>
          <w:p>
            <w:pPr>
              <w:spacing w:line="460" w:lineRule="exact"/>
              <w:jc w:val="both"/>
              <w:rPr>
                <w:b/>
                <w:bCs/>
                <w:color w:val="000000"/>
                <w:sz w:val="24"/>
              </w:rPr>
            </w:pPr>
          </w:p>
          <w:p>
            <w:pPr>
              <w:spacing w:before="120" w:beforeLines="50" w:line="360" w:lineRule="auto"/>
              <w:ind w:firstLine="482" w:firstLineChars="200"/>
              <w:rPr>
                <w:b/>
                <w:color w:val="000000"/>
                <w:sz w:val="24"/>
              </w:rPr>
            </w:pPr>
            <w:r>
              <w:rPr>
                <w:rFonts w:hint="eastAsia"/>
                <w:b/>
                <w:color w:val="000000"/>
                <w:sz w:val="24"/>
              </w:rPr>
              <w:t>2、预测模式</w:t>
            </w:r>
          </w:p>
          <w:p>
            <w:pPr>
              <w:spacing w:line="360" w:lineRule="auto"/>
              <w:ind w:firstLine="480" w:firstLineChars="200"/>
              <w:jc w:val="left"/>
              <w:rPr>
                <w:sz w:val="24"/>
              </w:rPr>
            </w:pPr>
            <w:r>
              <w:rPr>
                <w:rFonts w:hint="eastAsia"/>
                <w:sz w:val="24"/>
              </w:rPr>
              <w:t>根据项目设备声源特征和声学环境的特点，视设备声源为点源，声场为半自由声场，依据《环境影响评价技术导则</w:t>
            </w:r>
            <w:r>
              <w:rPr>
                <w:sz w:val="24"/>
              </w:rPr>
              <w:t>—</w:t>
            </w:r>
            <w:r>
              <w:rPr>
                <w:rFonts w:hint="eastAsia"/>
                <w:sz w:val="24"/>
              </w:rPr>
              <w:t>声环境》（</w:t>
            </w:r>
            <w:r>
              <w:rPr>
                <w:sz w:val="24"/>
              </w:rPr>
              <w:t>HJ2.4-2009</w:t>
            </w:r>
            <w:r>
              <w:rPr>
                <w:rFonts w:hint="eastAsia"/>
                <w:sz w:val="24"/>
              </w:rPr>
              <w:t>），选用无指向性声源几何发散衰减预测模式预测车间外噪声。</w:t>
            </w:r>
          </w:p>
          <w:p>
            <w:pPr>
              <w:spacing w:line="360" w:lineRule="auto"/>
              <w:ind w:firstLine="480" w:firstLineChars="200"/>
              <w:jc w:val="left"/>
              <w:rPr>
                <w:sz w:val="24"/>
              </w:rPr>
            </w:pPr>
            <w:r>
              <w:rPr>
                <w:rFonts w:hint="eastAsia"/>
                <w:sz w:val="24"/>
              </w:rPr>
              <w:t>（1）点声源预测模式</w:t>
            </w:r>
            <w:r>
              <w:rPr>
                <w:sz w:val="24"/>
              </w:rPr>
              <w:t>:</w:t>
            </w:r>
          </w:p>
          <w:p>
            <w:pPr>
              <w:spacing w:line="360" w:lineRule="auto"/>
              <w:ind w:firstLine="480" w:firstLineChars="200"/>
              <w:jc w:val="center"/>
              <w:rPr>
                <w:sz w:val="24"/>
              </w:rPr>
            </w:pPr>
            <w:r>
              <w:rPr>
                <w:sz w:val="24"/>
              </w:rPr>
              <w:t>LA</w:t>
            </w:r>
            <w:r>
              <w:rPr>
                <w:rFonts w:hint="eastAsia"/>
                <w:sz w:val="24"/>
              </w:rPr>
              <w:t>（</w:t>
            </w:r>
            <w:r>
              <w:rPr>
                <w:sz w:val="24"/>
              </w:rPr>
              <w:t>r</w:t>
            </w:r>
            <w:r>
              <w:rPr>
                <w:rFonts w:hint="eastAsia"/>
                <w:sz w:val="24"/>
              </w:rPr>
              <w:t>）</w:t>
            </w:r>
            <w:r>
              <w:rPr>
                <w:sz w:val="24"/>
              </w:rPr>
              <w:t>=  LWA - 20lg</w:t>
            </w:r>
            <w:r>
              <w:rPr>
                <w:rFonts w:hint="eastAsia"/>
                <w:sz w:val="24"/>
              </w:rPr>
              <w:t>（</w:t>
            </w:r>
            <w:r>
              <w:rPr>
                <w:sz w:val="24"/>
              </w:rPr>
              <w:t>r</w:t>
            </w:r>
            <w:r>
              <w:rPr>
                <w:rFonts w:hint="eastAsia"/>
                <w:sz w:val="24"/>
              </w:rPr>
              <w:t>）</w:t>
            </w:r>
            <w:r>
              <w:rPr>
                <w:sz w:val="24"/>
              </w:rPr>
              <w:t>-8</w:t>
            </w:r>
          </w:p>
          <w:p>
            <w:pPr>
              <w:spacing w:line="360" w:lineRule="auto"/>
              <w:ind w:firstLine="480" w:firstLineChars="200"/>
              <w:jc w:val="left"/>
              <w:rPr>
                <w:sz w:val="24"/>
              </w:rPr>
            </w:pPr>
            <w:r>
              <w:rPr>
                <w:rFonts w:hint="eastAsia"/>
                <w:sz w:val="24"/>
              </w:rPr>
              <w:t>式中：</w:t>
            </w:r>
            <w:r>
              <w:rPr>
                <w:sz w:val="24"/>
              </w:rPr>
              <w:t>A(r)——</w:t>
            </w:r>
            <w:r>
              <w:rPr>
                <w:rFonts w:hint="eastAsia"/>
                <w:sz w:val="24"/>
              </w:rPr>
              <w:t>距噪声源</w:t>
            </w:r>
            <w:r>
              <w:rPr>
                <w:sz w:val="24"/>
              </w:rPr>
              <w:t>r m</w:t>
            </w:r>
            <w:r>
              <w:rPr>
                <w:rFonts w:hint="eastAsia"/>
                <w:sz w:val="24"/>
              </w:rPr>
              <w:t>处预测点的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LWA ——</w:t>
            </w:r>
            <w:r>
              <w:rPr>
                <w:rFonts w:hint="eastAsia"/>
                <w:sz w:val="24"/>
              </w:rPr>
              <w:t>点声源的</w:t>
            </w:r>
            <w:r>
              <w:rPr>
                <w:sz w:val="24"/>
              </w:rPr>
              <w:t>A</w:t>
            </w:r>
            <w:r>
              <w:rPr>
                <w:rFonts w:hint="eastAsia"/>
                <w:sz w:val="24"/>
              </w:rPr>
              <w:t>声级（</w:t>
            </w:r>
            <w:r>
              <w:rPr>
                <w:sz w:val="24"/>
              </w:rPr>
              <w:t>dB(A)</w:t>
            </w:r>
            <w:r>
              <w:rPr>
                <w:rFonts w:hint="eastAsia"/>
                <w:sz w:val="24"/>
              </w:rPr>
              <w:t>）；</w:t>
            </w:r>
          </w:p>
          <w:p>
            <w:pPr>
              <w:spacing w:line="360" w:lineRule="auto"/>
              <w:ind w:firstLine="480" w:firstLineChars="200"/>
              <w:jc w:val="left"/>
              <w:rPr>
                <w:sz w:val="24"/>
              </w:rPr>
            </w:pPr>
            <w:r>
              <w:rPr>
                <w:rFonts w:hint="eastAsia"/>
                <w:sz w:val="24"/>
              </w:rPr>
              <w:t xml:space="preserve">      </w:t>
            </w:r>
            <w:r>
              <w:rPr>
                <w:sz w:val="24"/>
              </w:rPr>
              <w:t>r  ——</w:t>
            </w:r>
            <w:r>
              <w:rPr>
                <w:rFonts w:hint="eastAsia"/>
                <w:sz w:val="24"/>
              </w:rPr>
              <w:t>点声源至预测点的距离（</w:t>
            </w:r>
            <w:r>
              <w:rPr>
                <w:sz w:val="24"/>
              </w:rPr>
              <w:t>m</w:t>
            </w:r>
            <w:r>
              <w:rPr>
                <w:rFonts w:hint="eastAsia"/>
                <w:sz w:val="24"/>
              </w:rPr>
              <w:t>）。</w:t>
            </w:r>
          </w:p>
          <w:p>
            <w:pPr>
              <w:spacing w:line="360" w:lineRule="auto"/>
              <w:ind w:firstLine="480" w:firstLineChars="200"/>
              <w:jc w:val="left"/>
              <w:rPr>
                <w:sz w:val="24"/>
              </w:rPr>
            </w:pPr>
            <w:r>
              <w:rPr>
                <w:rFonts w:hint="eastAsia"/>
                <w:sz w:val="24"/>
              </w:rPr>
              <w:t>（2）多声源叠加模式</w:t>
            </w:r>
            <w:r>
              <w:rPr>
                <w:sz w:val="24"/>
              </w:rPr>
              <w:t>:</w:t>
            </w:r>
          </w:p>
          <w:p>
            <w:pPr>
              <w:spacing w:line="360" w:lineRule="auto"/>
              <w:ind w:firstLine="480" w:firstLineChars="200"/>
              <w:jc w:val="center"/>
              <w:rPr>
                <w:sz w:val="24"/>
              </w:rPr>
            </w:pPr>
            <w:r>
              <w:rPr>
                <w:sz w:val="24"/>
              </w:rPr>
              <w:object>
                <v:shape id="_x0000_i1026" o:spt="75" type="#_x0000_t75" style="height:33.95pt;width:96.45pt;" o:ole="t" fillcolor="#FFFFFF" filled="f" o:preferrelative="t" stroked="f" coordsize="21600,21600">
                  <v:path/>
                  <v:fill on="f" focussize="0,0"/>
                  <v:stroke on="f" joinstyle="miter"/>
                  <v:imagedata r:id="rId14" o:title=""/>
                  <o:lock v:ext="edit" aspectratio="t"/>
                  <w10:wrap type="none"/>
                  <w10:anchorlock/>
                </v:shape>
                <o:OLEObject Type="Embed" ProgID="Equation.3" ShapeID="_x0000_i1026" DrawAspect="Content" ObjectID="_1468075726" r:id="rId13">
                  <o:LockedField>false</o:LockedField>
                </o:OLEObject>
              </w:object>
            </w:r>
          </w:p>
          <w:p>
            <w:pPr>
              <w:spacing w:line="360" w:lineRule="auto"/>
              <w:ind w:firstLine="480" w:firstLineChars="200"/>
              <w:jc w:val="left"/>
              <w:rPr>
                <w:sz w:val="24"/>
              </w:rPr>
            </w:pPr>
            <w:r>
              <w:rPr>
                <w:rFonts w:hint="eastAsia"/>
                <w:sz w:val="24"/>
              </w:rPr>
              <w:t>式中：</w:t>
            </w:r>
            <w:r>
              <w:rPr>
                <w:sz w:val="24"/>
              </w:rPr>
              <w:t>L0——</w:t>
            </w:r>
            <w:r>
              <w:rPr>
                <w:rFonts w:hint="eastAsia"/>
                <w:sz w:val="24"/>
              </w:rPr>
              <w:t>叠加后总声压级，</w:t>
            </w:r>
            <w:r>
              <w:rPr>
                <w:sz w:val="24"/>
              </w:rPr>
              <w:t>dB(A)</w:t>
            </w:r>
            <w:r>
              <w:rPr>
                <w:rFonts w:hint="eastAsia"/>
                <w:sz w:val="24"/>
              </w:rPr>
              <w:t>；</w:t>
            </w:r>
          </w:p>
          <w:p>
            <w:pPr>
              <w:spacing w:line="360" w:lineRule="auto"/>
              <w:ind w:firstLine="480" w:firstLineChars="200"/>
              <w:jc w:val="left"/>
              <w:rPr>
                <w:sz w:val="24"/>
              </w:rPr>
            </w:pPr>
            <w:r>
              <w:rPr>
                <w:sz w:val="24"/>
              </w:rPr>
              <w:t xml:space="preserve">     </w:t>
            </w:r>
            <w:r>
              <w:rPr>
                <w:rFonts w:hint="eastAsia"/>
                <w:sz w:val="24"/>
              </w:rPr>
              <w:t xml:space="preserve"> </w:t>
            </w:r>
            <w:r>
              <w:rPr>
                <w:sz w:val="24"/>
              </w:rPr>
              <w:t xml:space="preserve">n—— </w:t>
            </w:r>
            <w:r>
              <w:rPr>
                <w:rFonts w:hint="eastAsia"/>
                <w:sz w:val="24"/>
              </w:rPr>
              <w:t>声源级数；</w:t>
            </w:r>
          </w:p>
          <w:p>
            <w:pPr>
              <w:spacing w:line="360" w:lineRule="auto"/>
              <w:ind w:firstLine="480" w:firstLineChars="200"/>
              <w:jc w:val="left"/>
              <w:rPr>
                <w:sz w:val="24"/>
              </w:rPr>
            </w:pPr>
            <w:r>
              <w:rPr>
                <w:sz w:val="24"/>
              </w:rPr>
              <w:t xml:space="preserve"> </w:t>
            </w:r>
            <w:r>
              <w:rPr>
                <w:rFonts w:hint="eastAsia"/>
                <w:sz w:val="24"/>
                <w:lang w:val="en-US" w:eastAsia="zh-CN"/>
              </w:rPr>
              <w:t xml:space="preserve">   </w:t>
            </w:r>
            <w:r>
              <w:rPr>
                <w:sz w:val="24"/>
              </w:rPr>
              <w:t xml:space="preserve"> Li ——</w:t>
            </w:r>
            <w:r>
              <w:rPr>
                <w:rFonts w:hint="eastAsia"/>
                <w:sz w:val="24"/>
              </w:rPr>
              <w:t>各声源对某点的声压值，</w:t>
            </w:r>
            <w:r>
              <w:rPr>
                <w:sz w:val="24"/>
              </w:rPr>
              <w:t>dB(A)</w:t>
            </w:r>
            <w:r>
              <w:rPr>
                <w:rFonts w:hint="eastAsia"/>
                <w:sz w:val="24"/>
              </w:rPr>
              <w:t>。</w:t>
            </w:r>
          </w:p>
          <w:p>
            <w:pPr>
              <w:keepNext/>
              <w:keepLines/>
              <w:spacing w:line="360" w:lineRule="auto"/>
              <w:ind w:firstLine="472" w:firstLineChars="196"/>
              <w:outlineLvl w:val="2"/>
              <w:rPr>
                <w:b/>
                <w:bCs/>
                <w:color w:val="000000"/>
                <w:sz w:val="24"/>
                <w:szCs w:val="32"/>
              </w:rPr>
            </w:pPr>
            <w:r>
              <w:rPr>
                <w:rFonts w:hint="eastAsia"/>
                <w:b/>
                <w:bCs/>
                <w:color w:val="000000"/>
                <w:sz w:val="24"/>
                <w:szCs w:val="32"/>
              </w:rPr>
              <w:t>3、</w:t>
            </w:r>
            <w:r>
              <w:rPr>
                <w:b/>
                <w:bCs/>
                <w:color w:val="000000"/>
                <w:sz w:val="24"/>
                <w:szCs w:val="32"/>
              </w:rPr>
              <w:t>预测结果评价</w:t>
            </w:r>
          </w:p>
          <w:p>
            <w:pPr>
              <w:widowControl/>
              <w:spacing w:line="360" w:lineRule="auto"/>
              <w:ind w:firstLine="480" w:firstLineChars="200"/>
              <w:jc w:val="left"/>
              <w:rPr>
                <w:color w:val="000000"/>
                <w:kern w:val="0"/>
                <w:sz w:val="24"/>
              </w:rPr>
            </w:pPr>
            <w:r>
              <w:rPr>
                <w:color w:val="000000"/>
                <w:kern w:val="0"/>
                <w:sz w:val="24"/>
              </w:rPr>
              <w:t>拟建项目运行时昼间的预测噪声排放值结果见表</w:t>
            </w:r>
            <w:r>
              <w:rPr>
                <w:rFonts w:hint="eastAsia"/>
                <w:color w:val="000000"/>
                <w:kern w:val="0"/>
                <w:sz w:val="24"/>
              </w:rPr>
              <w:t>4-</w:t>
            </w:r>
            <w:r>
              <w:rPr>
                <w:rFonts w:hint="eastAsia"/>
                <w:color w:val="000000"/>
                <w:kern w:val="0"/>
                <w:sz w:val="24"/>
                <w:lang w:val="en-US" w:eastAsia="zh-CN"/>
              </w:rPr>
              <w:t>2</w:t>
            </w:r>
            <w:r>
              <w:rPr>
                <w:rFonts w:hint="eastAsia"/>
                <w:color w:val="000000"/>
                <w:kern w:val="0"/>
                <w:sz w:val="24"/>
              </w:rPr>
              <w:t>所示</w:t>
            </w:r>
            <w:r>
              <w:rPr>
                <w:color w:val="000000"/>
                <w:kern w:val="0"/>
                <w:sz w:val="24"/>
              </w:rPr>
              <w:t>。</w:t>
            </w:r>
          </w:p>
          <w:p>
            <w:pPr>
              <w:spacing w:before="120" w:beforeLines="50"/>
              <w:jc w:val="center"/>
              <w:rPr>
                <w:rFonts w:hAnsi="宋体"/>
                <w:b/>
                <w:color w:val="auto"/>
                <w:sz w:val="24"/>
              </w:rPr>
            </w:pPr>
            <w:r>
              <w:rPr>
                <w:rFonts w:hAnsi="宋体"/>
                <w:b/>
                <w:color w:val="auto"/>
                <w:sz w:val="24"/>
              </w:rPr>
              <w:t>表</w:t>
            </w:r>
            <w:r>
              <w:rPr>
                <w:rFonts w:hint="eastAsia" w:hAnsi="宋体"/>
                <w:b/>
                <w:color w:val="auto"/>
                <w:sz w:val="24"/>
              </w:rPr>
              <w:t>4-</w:t>
            </w:r>
            <w:r>
              <w:rPr>
                <w:rFonts w:hint="eastAsia" w:hAnsi="宋体"/>
                <w:b/>
                <w:color w:val="auto"/>
                <w:sz w:val="24"/>
                <w:lang w:val="en-US" w:eastAsia="zh-CN"/>
              </w:rPr>
              <w:t>2</w:t>
            </w:r>
            <w:r>
              <w:rPr>
                <w:rFonts w:hAnsi="宋体"/>
                <w:b/>
                <w:color w:val="auto"/>
                <w:sz w:val="24"/>
              </w:rPr>
              <w:t xml:space="preserve"> </w:t>
            </w:r>
            <w:r>
              <w:rPr>
                <w:rFonts w:hint="eastAsia" w:hAnsi="宋体"/>
                <w:b/>
                <w:color w:val="auto"/>
                <w:sz w:val="24"/>
              </w:rPr>
              <w:t xml:space="preserve"> 拟建项目设备产生的噪声对</w:t>
            </w:r>
            <w:r>
              <w:rPr>
                <w:rFonts w:hAnsi="宋体"/>
                <w:b/>
                <w:color w:val="auto"/>
                <w:sz w:val="24"/>
              </w:rPr>
              <w:t>各预测点的影响值</w:t>
            </w:r>
            <w:r>
              <w:rPr>
                <w:rFonts w:hint="eastAsia" w:hAnsi="宋体"/>
                <w:b/>
                <w:color w:val="auto"/>
                <w:sz w:val="24"/>
              </w:rPr>
              <w:t>一览</w:t>
            </w:r>
            <w:r>
              <w:rPr>
                <w:rFonts w:hAnsi="宋体"/>
                <w:b/>
                <w:color w:val="auto"/>
                <w:sz w:val="24"/>
              </w:rPr>
              <w:t>表</w:t>
            </w:r>
          </w:p>
          <w:tbl>
            <w:tblPr>
              <w:tblStyle w:val="26"/>
              <w:tblW w:w="491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390"/>
              <w:gridCol w:w="1390"/>
              <w:gridCol w:w="275"/>
              <w:gridCol w:w="901"/>
              <w:gridCol w:w="1037"/>
              <w:gridCol w:w="671"/>
              <w:gridCol w:w="648"/>
              <w:gridCol w:w="780"/>
              <w:gridCol w:w="780"/>
              <w:gridCol w:w="845"/>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252" w:type="pct"/>
                  <w:vMerge w:val="restart"/>
                  <w:vAlign w:val="center"/>
                </w:tcPr>
                <w:p>
                  <w:pPr>
                    <w:autoSpaceDN w:val="0"/>
                    <w:jc w:val="center"/>
                    <w:textAlignment w:val="center"/>
                    <w:rPr>
                      <w:b/>
                      <w:szCs w:val="21"/>
                    </w:rPr>
                  </w:pPr>
                  <w:r>
                    <w:rPr>
                      <w:b/>
                      <w:szCs w:val="21"/>
                    </w:rPr>
                    <w:t>序号</w:t>
                  </w:r>
                </w:p>
              </w:tc>
              <w:tc>
                <w:tcPr>
                  <w:tcW w:w="1078" w:type="pct"/>
                  <w:gridSpan w:val="2"/>
                  <w:vMerge w:val="restart"/>
                  <w:vAlign w:val="center"/>
                </w:tcPr>
                <w:p>
                  <w:pPr>
                    <w:autoSpaceDN w:val="0"/>
                    <w:jc w:val="center"/>
                    <w:textAlignment w:val="center"/>
                    <w:rPr>
                      <w:b/>
                      <w:szCs w:val="21"/>
                    </w:rPr>
                  </w:pPr>
                  <w:r>
                    <w:rPr>
                      <w:b/>
                      <w:szCs w:val="21"/>
                    </w:rPr>
                    <w:t>设备名称</w:t>
                  </w:r>
                </w:p>
              </w:tc>
              <w:tc>
                <w:tcPr>
                  <w:tcW w:w="583" w:type="pct"/>
                  <w:vMerge w:val="restart"/>
                  <w:vAlign w:val="center"/>
                </w:tcPr>
                <w:p>
                  <w:pPr>
                    <w:autoSpaceDN w:val="0"/>
                    <w:ind w:left="-105" w:leftChars="-50" w:right="-105" w:rightChars="-50"/>
                    <w:jc w:val="center"/>
                    <w:textAlignment w:val="center"/>
                    <w:rPr>
                      <w:b/>
                      <w:szCs w:val="21"/>
                    </w:rPr>
                  </w:pPr>
                  <w:r>
                    <w:rPr>
                      <w:b/>
                      <w:szCs w:val="21"/>
                    </w:rPr>
                    <w:t>单台源强dB（A）</w:t>
                  </w:r>
                </w:p>
              </w:tc>
              <w:tc>
                <w:tcPr>
                  <w:tcW w:w="671" w:type="pct"/>
                  <w:vMerge w:val="restart"/>
                  <w:vAlign w:val="center"/>
                </w:tcPr>
                <w:p>
                  <w:pPr>
                    <w:autoSpaceDN w:val="0"/>
                    <w:jc w:val="center"/>
                    <w:textAlignment w:val="center"/>
                    <w:rPr>
                      <w:b/>
                      <w:szCs w:val="21"/>
                    </w:rPr>
                  </w:pPr>
                  <w:r>
                    <w:rPr>
                      <w:b/>
                      <w:szCs w:val="21"/>
                    </w:rPr>
                    <w:t>经隔声减震后声级值dB（A）</w:t>
                  </w:r>
                </w:p>
              </w:tc>
              <w:tc>
                <w:tcPr>
                  <w:tcW w:w="434" w:type="pct"/>
                  <w:vMerge w:val="restart"/>
                  <w:vAlign w:val="center"/>
                </w:tcPr>
                <w:p>
                  <w:pPr>
                    <w:autoSpaceDN w:val="0"/>
                    <w:jc w:val="center"/>
                    <w:textAlignment w:val="center"/>
                    <w:rPr>
                      <w:b/>
                      <w:szCs w:val="21"/>
                    </w:rPr>
                  </w:pPr>
                  <w:r>
                    <w:rPr>
                      <w:b/>
                      <w:szCs w:val="21"/>
                    </w:rPr>
                    <w:t>设备数量</w:t>
                  </w:r>
                </w:p>
              </w:tc>
              <w:tc>
                <w:tcPr>
                  <w:tcW w:w="1978" w:type="pct"/>
                  <w:gridSpan w:val="4"/>
                  <w:vAlign w:val="center"/>
                </w:tcPr>
                <w:p>
                  <w:pPr>
                    <w:autoSpaceDN w:val="0"/>
                    <w:jc w:val="center"/>
                    <w:textAlignment w:val="center"/>
                    <w:rPr>
                      <w:b/>
                      <w:szCs w:val="21"/>
                    </w:rPr>
                  </w:pPr>
                  <w:r>
                    <w:rPr>
                      <w:b/>
                      <w:szCs w:val="21"/>
                    </w:rPr>
                    <w:t>噪声贡献值dB（A）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252" w:type="pct"/>
                  <w:vMerge w:val="continue"/>
                  <w:vAlign w:val="center"/>
                </w:tcPr>
                <w:p>
                  <w:pPr>
                    <w:autoSpaceDN w:val="0"/>
                    <w:jc w:val="center"/>
                    <w:textAlignment w:val="center"/>
                    <w:rPr>
                      <w:b/>
                      <w:szCs w:val="21"/>
                    </w:rPr>
                  </w:pPr>
                </w:p>
              </w:tc>
              <w:tc>
                <w:tcPr>
                  <w:tcW w:w="1078" w:type="pct"/>
                  <w:gridSpan w:val="2"/>
                  <w:vMerge w:val="continue"/>
                  <w:vAlign w:val="center"/>
                </w:tcPr>
                <w:p>
                  <w:pPr>
                    <w:autoSpaceDN w:val="0"/>
                    <w:jc w:val="center"/>
                    <w:textAlignment w:val="center"/>
                    <w:rPr>
                      <w:b/>
                      <w:szCs w:val="21"/>
                    </w:rPr>
                  </w:pPr>
                </w:p>
              </w:tc>
              <w:tc>
                <w:tcPr>
                  <w:tcW w:w="583" w:type="pct"/>
                  <w:vMerge w:val="continue"/>
                  <w:vAlign w:val="center"/>
                </w:tcPr>
                <w:p>
                  <w:pPr>
                    <w:autoSpaceDN w:val="0"/>
                    <w:jc w:val="center"/>
                    <w:textAlignment w:val="center"/>
                    <w:rPr>
                      <w:b/>
                      <w:szCs w:val="21"/>
                    </w:rPr>
                  </w:pPr>
                </w:p>
              </w:tc>
              <w:tc>
                <w:tcPr>
                  <w:tcW w:w="671" w:type="pct"/>
                  <w:vMerge w:val="continue"/>
                  <w:vAlign w:val="center"/>
                </w:tcPr>
                <w:p>
                  <w:pPr>
                    <w:autoSpaceDN w:val="0"/>
                    <w:jc w:val="center"/>
                    <w:textAlignment w:val="center"/>
                    <w:rPr>
                      <w:b/>
                      <w:szCs w:val="21"/>
                    </w:rPr>
                  </w:pPr>
                </w:p>
              </w:tc>
              <w:tc>
                <w:tcPr>
                  <w:tcW w:w="434" w:type="pct"/>
                  <w:vMerge w:val="continue"/>
                  <w:vAlign w:val="center"/>
                </w:tcPr>
                <w:p>
                  <w:pPr>
                    <w:autoSpaceDN w:val="0"/>
                    <w:jc w:val="center"/>
                    <w:textAlignment w:val="center"/>
                    <w:rPr>
                      <w:b/>
                      <w:szCs w:val="21"/>
                    </w:rPr>
                  </w:pPr>
                </w:p>
              </w:tc>
              <w:tc>
                <w:tcPr>
                  <w:tcW w:w="419" w:type="pct"/>
                  <w:vAlign w:val="center"/>
                </w:tcPr>
                <w:p>
                  <w:pPr>
                    <w:autoSpaceDN w:val="0"/>
                    <w:jc w:val="center"/>
                    <w:textAlignment w:val="center"/>
                    <w:rPr>
                      <w:b/>
                      <w:szCs w:val="21"/>
                    </w:rPr>
                  </w:pPr>
                  <w:r>
                    <w:rPr>
                      <w:b/>
                      <w:szCs w:val="21"/>
                    </w:rPr>
                    <w:t>东</w:t>
                  </w:r>
                </w:p>
                <w:p>
                  <w:pPr>
                    <w:autoSpaceDN w:val="0"/>
                    <w:jc w:val="center"/>
                    <w:textAlignment w:val="center"/>
                    <w:rPr>
                      <w:b/>
                      <w:szCs w:val="21"/>
                    </w:rPr>
                  </w:pPr>
                  <w:r>
                    <w:rPr>
                      <w:b/>
                      <w:szCs w:val="21"/>
                    </w:rPr>
                    <w:t>厂界</w:t>
                  </w:r>
                </w:p>
              </w:tc>
              <w:tc>
                <w:tcPr>
                  <w:tcW w:w="505" w:type="pct"/>
                  <w:vAlign w:val="center"/>
                </w:tcPr>
                <w:p>
                  <w:pPr>
                    <w:autoSpaceDN w:val="0"/>
                    <w:jc w:val="center"/>
                    <w:textAlignment w:val="center"/>
                    <w:rPr>
                      <w:b/>
                      <w:szCs w:val="21"/>
                    </w:rPr>
                  </w:pPr>
                  <w:r>
                    <w:rPr>
                      <w:b/>
                      <w:szCs w:val="21"/>
                    </w:rPr>
                    <w:t>南</w:t>
                  </w:r>
                </w:p>
                <w:p>
                  <w:pPr>
                    <w:autoSpaceDN w:val="0"/>
                    <w:jc w:val="center"/>
                    <w:textAlignment w:val="center"/>
                    <w:rPr>
                      <w:b/>
                      <w:szCs w:val="21"/>
                    </w:rPr>
                  </w:pPr>
                  <w:r>
                    <w:rPr>
                      <w:b/>
                      <w:szCs w:val="21"/>
                    </w:rPr>
                    <w:t>厂界</w:t>
                  </w:r>
                </w:p>
              </w:tc>
              <w:tc>
                <w:tcPr>
                  <w:tcW w:w="505" w:type="pct"/>
                  <w:vAlign w:val="center"/>
                </w:tcPr>
                <w:p>
                  <w:pPr>
                    <w:autoSpaceDN w:val="0"/>
                    <w:jc w:val="center"/>
                    <w:textAlignment w:val="center"/>
                    <w:rPr>
                      <w:b/>
                      <w:szCs w:val="21"/>
                    </w:rPr>
                  </w:pPr>
                  <w:r>
                    <w:rPr>
                      <w:b/>
                      <w:szCs w:val="21"/>
                    </w:rPr>
                    <w:t>西</w:t>
                  </w:r>
                </w:p>
                <w:p>
                  <w:pPr>
                    <w:autoSpaceDN w:val="0"/>
                    <w:jc w:val="center"/>
                    <w:textAlignment w:val="center"/>
                    <w:rPr>
                      <w:b/>
                      <w:szCs w:val="21"/>
                    </w:rPr>
                  </w:pPr>
                  <w:r>
                    <w:rPr>
                      <w:b/>
                      <w:szCs w:val="21"/>
                    </w:rPr>
                    <w:t>厂界</w:t>
                  </w:r>
                </w:p>
              </w:tc>
              <w:tc>
                <w:tcPr>
                  <w:tcW w:w="547" w:type="pct"/>
                  <w:vAlign w:val="center"/>
                </w:tcPr>
                <w:p>
                  <w:pPr>
                    <w:autoSpaceDN w:val="0"/>
                    <w:jc w:val="center"/>
                    <w:textAlignment w:val="center"/>
                    <w:rPr>
                      <w:b/>
                      <w:szCs w:val="21"/>
                    </w:rPr>
                  </w:pPr>
                  <w:r>
                    <w:rPr>
                      <w:b/>
                      <w:szCs w:val="21"/>
                    </w:rPr>
                    <w:t>北</w:t>
                  </w:r>
                </w:p>
                <w:p>
                  <w:pPr>
                    <w:autoSpaceDN w:val="0"/>
                    <w:jc w:val="center"/>
                    <w:textAlignment w:val="center"/>
                    <w:rPr>
                      <w:b/>
                      <w:szCs w:val="21"/>
                    </w:rPr>
                  </w:pPr>
                  <w:r>
                    <w:rPr>
                      <w:b/>
                      <w:szCs w:val="21"/>
                    </w:rPr>
                    <w:t>厂界</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szCs w:val="21"/>
                    </w:rPr>
                    <w:t>1</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头破</w:t>
                  </w:r>
                  <w:r>
                    <w:rPr>
                      <w:rFonts w:hint="eastAsia" w:ascii="Times New Roman" w:hAnsi="Times New Roman"/>
                      <w:color w:val="auto"/>
                      <w:szCs w:val="21"/>
                    </w:rPr>
                    <w:t>机</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c>
                <w:tcPr>
                  <w:tcW w:w="671" w:type="pct"/>
                  <w:vAlign w:val="center"/>
                </w:tcPr>
                <w:p>
                  <w:pPr>
                    <w:jc w:val="center"/>
                    <w:rPr>
                      <w:rFonts w:hint="eastAsia" w:eastAsia="宋体"/>
                      <w:color w:val="000000"/>
                      <w:szCs w:val="21"/>
                      <w:lang w:eastAsia="zh-CN"/>
                    </w:rPr>
                  </w:pPr>
                  <w:r>
                    <w:rPr>
                      <w:rFonts w:hint="eastAsia"/>
                      <w:color w:val="000000"/>
                      <w:szCs w:val="21"/>
                    </w:rPr>
                    <w:t>6</w:t>
                  </w:r>
                  <w:r>
                    <w:rPr>
                      <w:rFonts w:hint="eastAsia"/>
                      <w:color w:val="000000"/>
                      <w:szCs w:val="21"/>
                      <w:lang w:val="en-US" w:eastAsia="zh-CN"/>
                    </w:rPr>
                    <w:t>5</w:t>
                  </w:r>
                </w:p>
              </w:tc>
              <w:tc>
                <w:tcPr>
                  <w:tcW w:w="434" w:type="pct"/>
                  <w:vAlign w:val="center"/>
                </w:tcPr>
                <w:p>
                  <w:pPr>
                    <w:adjustRightInd w:val="0"/>
                    <w:snapToGrid w:val="0"/>
                    <w:jc w:val="center"/>
                    <w:rPr>
                      <w:rFonts w:ascii="Times New Roman" w:hAnsi="Times New Roman" w:eastAsia="宋体" w:cs="Times New Roman"/>
                      <w:kern w:val="2"/>
                      <w:sz w:val="21"/>
                      <w:szCs w:val="21"/>
                      <w:lang w:val="en-US" w:eastAsia="zh-CN" w:bidi="ar-SA"/>
                    </w:rPr>
                  </w:pPr>
                  <w:r>
                    <w:rPr>
                      <w:rFonts w:hint="eastAsia"/>
                      <w:szCs w:val="21"/>
                    </w:rPr>
                    <w:t>1</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45.0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51.0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33.6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26.0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2</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圆锥破</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5</w:t>
                  </w:r>
                </w:p>
              </w:tc>
              <w:tc>
                <w:tcPr>
                  <w:tcW w:w="671" w:type="pct"/>
                  <w:vAlign w:val="center"/>
                </w:tcPr>
                <w:p>
                  <w:pPr>
                    <w:jc w:val="center"/>
                    <w:rPr>
                      <w:rFonts w:hint="eastAsia" w:eastAsia="宋体"/>
                      <w:color w:val="000000"/>
                      <w:szCs w:val="21"/>
                      <w:lang w:eastAsia="zh-CN"/>
                    </w:rPr>
                  </w:pPr>
                  <w:r>
                    <w:rPr>
                      <w:rFonts w:hint="eastAsia"/>
                      <w:color w:val="000000"/>
                      <w:szCs w:val="21"/>
                    </w:rPr>
                    <w:t>6</w:t>
                  </w:r>
                  <w:r>
                    <w:rPr>
                      <w:rFonts w:hint="eastAsia"/>
                      <w:color w:val="000000"/>
                      <w:szCs w:val="21"/>
                      <w:lang w:val="en-US" w:eastAsia="zh-CN"/>
                    </w:rPr>
                    <w:t>5</w:t>
                  </w:r>
                </w:p>
              </w:tc>
              <w:tc>
                <w:tcPr>
                  <w:tcW w:w="434" w:type="pct"/>
                  <w:vAlign w:val="center"/>
                </w:tcPr>
                <w:p>
                  <w:pPr>
                    <w:adjustRightInd w:val="0"/>
                    <w:snapToGrid w:val="0"/>
                    <w:jc w:val="center"/>
                    <w:rPr>
                      <w:rFonts w:ascii="Times New Roman" w:hAnsi="Times New Roman" w:eastAsia="宋体" w:cs="Times New Roman"/>
                      <w:kern w:val="2"/>
                      <w:sz w:val="21"/>
                      <w:szCs w:val="21"/>
                      <w:lang w:val="en-US" w:eastAsia="zh-CN" w:bidi="ar-SA"/>
                    </w:rPr>
                  </w:pPr>
                  <w:r>
                    <w:rPr>
                      <w:rFonts w:hint="eastAsia"/>
                      <w:szCs w:val="21"/>
                    </w:rPr>
                    <w:t>1</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45.0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46.9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33.2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26.3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3</w:t>
                  </w:r>
                </w:p>
              </w:tc>
              <w:tc>
                <w:tcPr>
                  <w:tcW w:w="1078" w:type="pct"/>
                  <w:gridSpan w:val="2"/>
                  <w:vAlign w:val="center"/>
                </w:tcPr>
                <w:p>
                  <w:pPr>
                    <w:spacing w:line="240" w:lineRule="atLeast"/>
                    <w:jc w:val="center"/>
                    <w:rPr>
                      <w:rFonts w:hint="default"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制砂机</w:t>
                  </w:r>
                </w:p>
              </w:tc>
              <w:tc>
                <w:tcPr>
                  <w:tcW w:w="583" w:type="pct"/>
                  <w:vAlign w:val="center"/>
                </w:tcPr>
                <w:p>
                  <w:pPr>
                    <w:spacing w:line="300" w:lineRule="exact"/>
                    <w:jc w:val="center"/>
                    <w:rPr>
                      <w:rFonts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8</w:t>
                  </w:r>
                  <w:r>
                    <w:rPr>
                      <w:rFonts w:hint="eastAsia"/>
                      <w:bCs/>
                      <w:color w:val="0D0D0D" w:themeColor="text1" w:themeTint="F2"/>
                      <w:szCs w:val="21"/>
                      <w14:textFill>
                        <w14:solidFill>
                          <w14:schemeClr w14:val="tx1">
                            <w14:lumMod w14:val="95000"/>
                            <w14:lumOff w14:val="5000"/>
                          </w14:schemeClr>
                        </w14:solidFill>
                      </w14:textFill>
                    </w:rPr>
                    <w:t>5</w:t>
                  </w:r>
                </w:p>
              </w:tc>
              <w:tc>
                <w:tcPr>
                  <w:tcW w:w="671" w:type="pct"/>
                  <w:vAlign w:val="center"/>
                </w:tcPr>
                <w:p>
                  <w:pPr>
                    <w:jc w:val="center"/>
                    <w:rPr>
                      <w:color w:val="000000"/>
                      <w:szCs w:val="21"/>
                    </w:rPr>
                  </w:pPr>
                  <w:r>
                    <w:rPr>
                      <w:rFonts w:hint="eastAsia"/>
                      <w:color w:val="000000"/>
                      <w:szCs w:val="21"/>
                      <w:lang w:val="en-US" w:eastAsia="zh-CN"/>
                    </w:rPr>
                    <w:t>6</w:t>
                  </w:r>
                  <w:r>
                    <w:rPr>
                      <w:rFonts w:hint="eastAsia"/>
                      <w:color w:val="000000"/>
                      <w:szCs w:val="21"/>
                    </w:rPr>
                    <w:t>5</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1</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45.0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44.2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33.2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26.5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4</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rPr>
                    <w:t>振动筛</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8</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c>
                <w:tcPr>
                  <w:tcW w:w="671" w:type="pct"/>
                  <w:vAlign w:val="center"/>
                </w:tcPr>
                <w:p>
                  <w:pPr>
                    <w:jc w:val="center"/>
                    <w:rPr>
                      <w:rFonts w:hint="eastAsia" w:eastAsia="宋体"/>
                      <w:color w:val="000000"/>
                      <w:szCs w:val="21"/>
                      <w:lang w:eastAsia="zh-CN"/>
                    </w:rPr>
                  </w:pPr>
                  <w:r>
                    <w:rPr>
                      <w:rFonts w:hint="eastAsia"/>
                      <w:color w:val="000000"/>
                      <w:szCs w:val="21"/>
                    </w:rPr>
                    <w:t>6</w:t>
                  </w:r>
                  <w:r>
                    <w:rPr>
                      <w:rFonts w:hint="eastAsia"/>
                      <w:color w:val="000000"/>
                      <w:szCs w:val="21"/>
                      <w:lang w:val="en-US" w:eastAsia="zh-CN"/>
                    </w:rPr>
                    <w:t>0</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43.0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40.7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30.3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24.8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5</w:t>
                  </w:r>
                </w:p>
              </w:tc>
              <w:tc>
                <w:tcPr>
                  <w:tcW w:w="1078" w:type="pct"/>
                  <w:gridSpan w:val="2"/>
                  <w:vAlign w:val="center"/>
                </w:tcPr>
                <w:p>
                  <w:pPr>
                    <w:spacing w:line="240" w:lineRule="atLeast"/>
                    <w:jc w:val="center"/>
                    <w:rPr>
                      <w:rFonts w:ascii="Times New Roman" w:hAnsi="Times New Roman" w:eastAsia="宋体" w:cs="Times New Roman"/>
                      <w:bCs/>
                      <w:color w:val="auto"/>
                      <w:kern w:val="2"/>
                      <w:sz w:val="21"/>
                      <w:szCs w:val="22"/>
                      <w:lang w:val="en-US" w:eastAsia="zh-CN" w:bidi="ar-SA"/>
                    </w:rPr>
                  </w:pPr>
                  <w:r>
                    <w:rPr>
                      <w:rFonts w:hint="eastAsia" w:ascii="Times New Roman" w:hAnsi="Times New Roman"/>
                      <w:color w:val="auto"/>
                      <w:szCs w:val="21"/>
                      <w:lang w:val="en-US" w:eastAsia="zh-CN"/>
                    </w:rPr>
                    <w:t>脱水机</w:t>
                  </w:r>
                </w:p>
              </w:tc>
              <w:tc>
                <w:tcPr>
                  <w:tcW w:w="583" w:type="pct"/>
                  <w:vAlign w:val="center"/>
                </w:tcPr>
                <w:p>
                  <w:pPr>
                    <w:spacing w:line="300" w:lineRule="exact"/>
                    <w:jc w:val="center"/>
                    <w:rPr>
                      <w:rFonts w:hint="eastAsia"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14:textFill>
                        <w14:solidFill>
                          <w14:schemeClr w14:val="tx1">
                            <w14:lumMod w14:val="95000"/>
                            <w14:lumOff w14:val="5000"/>
                          </w14:schemeClr>
                        </w14:solidFill>
                      </w14:textFill>
                    </w:rPr>
                    <w:t>7</w:t>
                  </w:r>
                  <w:r>
                    <w:rPr>
                      <w:rFonts w:hint="eastAsia"/>
                      <w:bCs/>
                      <w:color w:val="0D0D0D" w:themeColor="text1" w:themeTint="F2"/>
                      <w:szCs w:val="21"/>
                      <w:lang w:val="en-US" w:eastAsia="zh-CN"/>
                      <w14:textFill>
                        <w14:solidFill>
                          <w14:schemeClr w14:val="tx1">
                            <w14:lumMod w14:val="95000"/>
                            <w14:lumOff w14:val="5000"/>
                          </w14:schemeClr>
                        </w14:solidFill>
                      </w14:textFill>
                    </w:rPr>
                    <w:t>0</w:t>
                  </w:r>
                </w:p>
              </w:tc>
              <w:tc>
                <w:tcPr>
                  <w:tcW w:w="671" w:type="pct"/>
                  <w:vAlign w:val="center"/>
                </w:tcPr>
                <w:p>
                  <w:pPr>
                    <w:jc w:val="center"/>
                    <w:rPr>
                      <w:rFonts w:hint="eastAsia" w:eastAsia="宋体"/>
                      <w:color w:val="000000"/>
                      <w:szCs w:val="21"/>
                      <w:lang w:eastAsia="zh-CN"/>
                    </w:rPr>
                  </w:pPr>
                  <w:r>
                    <w:rPr>
                      <w:rFonts w:hint="eastAsia"/>
                      <w:color w:val="000000"/>
                      <w:szCs w:val="21"/>
                    </w:rPr>
                    <w:t>5</w:t>
                  </w:r>
                  <w:r>
                    <w:rPr>
                      <w:rFonts w:hint="eastAsia"/>
                      <w:color w:val="000000"/>
                      <w:szCs w:val="21"/>
                      <w:lang w:val="en-US" w:eastAsia="zh-CN"/>
                    </w:rPr>
                    <w:t>0</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2</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32.6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30.1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20.3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14.9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252" w:type="pct"/>
                  <w:vAlign w:val="center"/>
                </w:tcPr>
                <w:p>
                  <w:pPr>
                    <w:jc w:val="center"/>
                    <w:rPr>
                      <w:szCs w:val="21"/>
                    </w:rPr>
                  </w:pPr>
                  <w:r>
                    <w:rPr>
                      <w:rFonts w:hint="eastAsia"/>
                      <w:szCs w:val="21"/>
                    </w:rPr>
                    <w:t>6</w:t>
                  </w:r>
                </w:p>
              </w:tc>
              <w:tc>
                <w:tcPr>
                  <w:tcW w:w="1078" w:type="pct"/>
                  <w:gridSpan w:val="2"/>
                  <w:vAlign w:val="center"/>
                </w:tcPr>
                <w:p>
                  <w:pPr>
                    <w:spacing w:line="240" w:lineRule="atLeast"/>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olor w:val="auto"/>
                      <w:szCs w:val="21"/>
                      <w:lang w:val="en-US" w:eastAsia="zh-CN"/>
                    </w:rPr>
                    <w:t>洗砂机</w:t>
                  </w:r>
                </w:p>
              </w:tc>
              <w:tc>
                <w:tcPr>
                  <w:tcW w:w="583" w:type="pct"/>
                  <w:vAlign w:val="center"/>
                </w:tcPr>
                <w:p>
                  <w:pPr>
                    <w:spacing w:line="300" w:lineRule="exact"/>
                    <w:jc w:val="center"/>
                    <w:rPr>
                      <w:rFonts w:hint="default" w:ascii="Times New Roman" w:hAnsi="Times New Roman" w:eastAsia="宋体" w:cs="Times New Roman"/>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bCs/>
                      <w:color w:val="0D0D0D" w:themeColor="text1" w:themeTint="F2"/>
                      <w:szCs w:val="21"/>
                      <w:lang w:val="en-US" w:eastAsia="zh-CN"/>
                      <w14:textFill>
                        <w14:solidFill>
                          <w14:schemeClr w14:val="tx1">
                            <w14:lumMod w14:val="95000"/>
                            <w14:lumOff w14:val="5000"/>
                          </w14:schemeClr>
                        </w14:solidFill>
                      </w14:textFill>
                    </w:rPr>
                    <w:t>75</w:t>
                  </w:r>
                </w:p>
              </w:tc>
              <w:tc>
                <w:tcPr>
                  <w:tcW w:w="671" w:type="pct"/>
                  <w:vAlign w:val="center"/>
                </w:tcPr>
                <w:p>
                  <w:pPr>
                    <w:jc w:val="center"/>
                    <w:rPr>
                      <w:rFonts w:hint="default" w:eastAsia="宋体"/>
                      <w:color w:val="000000"/>
                      <w:szCs w:val="21"/>
                      <w:lang w:val="en-US" w:eastAsia="zh-CN"/>
                    </w:rPr>
                  </w:pPr>
                  <w:r>
                    <w:rPr>
                      <w:rFonts w:hint="eastAsia"/>
                      <w:color w:val="000000"/>
                      <w:szCs w:val="21"/>
                      <w:lang w:val="en-US" w:eastAsia="zh-CN"/>
                    </w:rPr>
                    <w:t>55</w:t>
                  </w:r>
                </w:p>
              </w:tc>
              <w:tc>
                <w:tcPr>
                  <w:tcW w:w="434" w:type="pct"/>
                  <w:vAlign w:val="center"/>
                </w:tcPr>
                <w:p>
                  <w:pPr>
                    <w:adjustRightInd w:val="0"/>
                    <w:snapToGrid w:val="0"/>
                    <w:jc w:val="center"/>
                    <w:rPr>
                      <w:rFonts w:hint="eastAsia" w:ascii="Times New Roman" w:hAnsi="Times New Roman" w:eastAsia="宋体" w:cs="Times New Roman"/>
                      <w:kern w:val="2"/>
                      <w:sz w:val="21"/>
                      <w:szCs w:val="21"/>
                      <w:lang w:val="en-US" w:eastAsia="zh-CN" w:bidi="ar-SA"/>
                    </w:rPr>
                  </w:pPr>
                  <w:r>
                    <w:rPr>
                      <w:rFonts w:hint="eastAsia"/>
                      <w:szCs w:val="21"/>
                      <w:lang w:val="en-US" w:eastAsia="zh-CN"/>
                    </w:rPr>
                    <w:t>4</w:t>
                  </w:r>
                </w:p>
              </w:tc>
              <w:tc>
                <w:tcPr>
                  <w:tcW w:w="419"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41.7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38.1 </w:t>
                  </w:r>
                </w:p>
              </w:tc>
              <w:tc>
                <w:tcPr>
                  <w:tcW w:w="505"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28.8 </w:t>
                  </w:r>
                </w:p>
              </w:tc>
              <w:tc>
                <w:tcPr>
                  <w:tcW w:w="547" w:type="pct"/>
                  <w:vAlign w:val="top"/>
                </w:tcPr>
                <w:p>
                  <w:pPr>
                    <w:spacing w:beforeLines="0" w:afterLines="0"/>
                    <w:jc w:val="center"/>
                    <w:rPr>
                      <w:rFonts w:hint="eastAsia" w:ascii="Times New Roman" w:hAnsi="Times New Roman" w:eastAsia="Times New Roman" w:cs="Times New Roman"/>
                      <w:color w:val="000000"/>
                      <w:kern w:val="2"/>
                      <w:sz w:val="22"/>
                      <w:szCs w:val="24"/>
                      <w:lang w:val="en-US" w:eastAsia="zh-CN" w:bidi="ar-SA"/>
                    </w:rPr>
                  </w:pPr>
                  <w:r>
                    <w:rPr>
                      <w:rFonts w:hint="eastAsia" w:ascii="Times New Roman" w:hAnsi="Times New Roman" w:eastAsia="Times New Roman"/>
                      <w:color w:val="000000"/>
                      <w:sz w:val="22"/>
                      <w:szCs w:val="24"/>
                    </w:rPr>
                    <w:t xml:space="preserve">23.0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3021" w:type="pct"/>
                  <w:gridSpan w:val="6"/>
                  <w:vAlign w:val="center"/>
                </w:tcPr>
                <w:p>
                  <w:pPr>
                    <w:autoSpaceDN w:val="0"/>
                    <w:jc w:val="center"/>
                    <w:textAlignment w:val="center"/>
                    <w:rPr>
                      <w:szCs w:val="21"/>
                    </w:rPr>
                  </w:pPr>
                  <w:r>
                    <w:rPr>
                      <w:szCs w:val="21"/>
                    </w:rPr>
                    <w:t>叠加后贡献值</w:t>
                  </w:r>
                </w:p>
              </w:tc>
              <w:tc>
                <w:tcPr>
                  <w:tcW w:w="419" w:type="pct"/>
                  <w:vAlign w:val="center"/>
                </w:tcPr>
                <w:p>
                  <w:pPr>
                    <w:autoSpaceDN w:val="0"/>
                    <w:jc w:val="center"/>
                    <w:textAlignment w:val="center"/>
                    <w:rPr>
                      <w:rFonts w:hint="default" w:eastAsia="宋体"/>
                      <w:szCs w:val="21"/>
                      <w:lang w:val="en-US" w:eastAsia="zh-CN"/>
                    </w:rPr>
                  </w:pPr>
                  <w:r>
                    <w:rPr>
                      <w:rFonts w:hint="eastAsia"/>
                      <w:szCs w:val="21"/>
                      <w:lang w:val="en-US" w:eastAsia="zh-CN"/>
                    </w:rPr>
                    <w:t>51.2</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53.5</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39.2</w:t>
                  </w:r>
                </w:p>
              </w:tc>
              <w:tc>
                <w:tcPr>
                  <w:tcW w:w="547" w:type="pct"/>
                  <w:vAlign w:val="center"/>
                </w:tcPr>
                <w:p>
                  <w:pPr>
                    <w:autoSpaceDN w:val="0"/>
                    <w:jc w:val="center"/>
                    <w:textAlignment w:val="center"/>
                    <w:rPr>
                      <w:rFonts w:hint="default" w:eastAsia="宋体"/>
                      <w:szCs w:val="21"/>
                      <w:lang w:val="en-US" w:eastAsia="zh-CN"/>
                    </w:rPr>
                  </w:pPr>
                  <w:r>
                    <w:rPr>
                      <w:rFonts w:hint="eastAsia"/>
                      <w:szCs w:val="21"/>
                      <w:lang w:val="en-US" w:eastAsia="zh-CN"/>
                    </w:rPr>
                    <w:t>32.6</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53" w:type="pct"/>
                  <w:gridSpan w:val="2"/>
                  <w:vAlign w:val="center"/>
                </w:tcPr>
                <w:p>
                  <w:pPr>
                    <w:autoSpaceDN w:val="0"/>
                    <w:jc w:val="center"/>
                    <w:textAlignment w:val="center"/>
                    <w:rPr>
                      <w:szCs w:val="21"/>
                    </w:rPr>
                  </w:pPr>
                  <w:r>
                    <w:rPr>
                      <w:szCs w:val="21"/>
                    </w:rPr>
                    <w:t>现状值</w:t>
                  </w:r>
                </w:p>
              </w:tc>
              <w:tc>
                <w:tcPr>
                  <w:tcW w:w="1868" w:type="pct"/>
                  <w:gridSpan w:val="4"/>
                  <w:vAlign w:val="center"/>
                </w:tcPr>
                <w:p>
                  <w:pPr>
                    <w:autoSpaceDN w:val="0"/>
                    <w:jc w:val="center"/>
                    <w:textAlignment w:val="center"/>
                    <w:rPr>
                      <w:szCs w:val="21"/>
                    </w:rPr>
                  </w:pPr>
                  <w:r>
                    <w:rPr>
                      <w:szCs w:val="21"/>
                    </w:rPr>
                    <w:t>昼间</w:t>
                  </w:r>
                </w:p>
              </w:tc>
              <w:tc>
                <w:tcPr>
                  <w:tcW w:w="419" w:type="pct"/>
                  <w:vAlign w:val="center"/>
                </w:tcPr>
                <w:p>
                  <w:pPr>
                    <w:autoSpaceDN w:val="0"/>
                    <w:jc w:val="center"/>
                    <w:textAlignment w:val="center"/>
                    <w:rPr>
                      <w:rFonts w:hint="eastAsia" w:eastAsia="宋体"/>
                      <w:szCs w:val="21"/>
                      <w:lang w:eastAsia="zh-CN"/>
                    </w:rPr>
                  </w:pPr>
                  <w:r>
                    <w:rPr>
                      <w:rFonts w:hint="eastAsia"/>
                      <w:szCs w:val="21"/>
                    </w:rPr>
                    <w:t>55.</w:t>
                  </w:r>
                  <w:r>
                    <w:rPr>
                      <w:rFonts w:hint="eastAsia"/>
                      <w:szCs w:val="21"/>
                      <w:lang w:val="en-US" w:eastAsia="zh-CN"/>
                    </w:rPr>
                    <w:t>2</w:t>
                  </w:r>
                </w:p>
              </w:tc>
              <w:tc>
                <w:tcPr>
                  <w:tcW w:w="505" w:type="pct"/>
                  <w:vAlign w:val="center"/>
                </w:tcPr>
                <w:p>
                  <w:pPr>
                    <w:autoSpaceDN w:val="0"/>
                    <w:jc w:val="center"/>
                    <w:textAlignment w:val="center"/>
                    <w:rPr>
                      <w:rFonts w:hint="default" w:eastAsia="宋体"/>
                      <w:szCs w:val="21"/>
                      <w:lang w:val="en-US" w:eastAsia="zh-CN"/>
                    </w:rPr>
                  </w:pPr>
                  <w:r>
                    <w:rPr>
                      <w:rFonts w:hint="eastAsia"/>
                      <w:szCs w:val="21"/>
                    </w:rPr>
                    <w:t>5</w:t>
                  </w:r>
                  <w:r>
                    <w:rPr>
                      <w:rFonts w:hint="eastAsia"/>
                      <w:szCs w:val="21"/>
                      <w:lang w:val="en-US" w:eastAsia="zh-CN"/>
                    </w:rPr>
                    <w:t>5.7</w:t>
                  </w:r>
                </w:p>
              </w:tc>
              <w:tc>
                <w:tcPr>
                  <w:tcW w:w="505" w:type="pct"/>
                  <w:vAlign w:val="center"/>
                </w:tcPr>
                <w:p>
                  <w:pPr>
                    <w:autoSpaceDN w:val="0"/>
                    <w:jc w:val="center"/>
                    <w:textAlignment w:val="center"/>
                    <w:rPr>
                      <w:rFonts w:hint="default" w:eastAsia="宋体"/>
                      <w:szCs w:val="21"/>
                      <w:lang w:val="en-US" w:eastAsia="zh-CN"/>
                    </w:rPr>
                  </w:pPr>
                  <w:r>
                    <w:rPr>
                      <w:rFonts w:hint="eastAsia"/>
                      <w:szCs w:val="21"/>
                    </w:rPr>
                    <w:t>5</w:t>
                  </w:r>
                  <w:r>
                    <w:rPr>
                      <w:rFonts w:hint="eastAsia"/>
                      <w:szCs w:val="21"/>
                      <w:lang w:val="en-US" w:eastAsia="zh-CN"/>
                    </w:rPr>
                    <w:t>5.2</w:t>
                  </w:r>
                </w:p>
              </w:tc>
              <w:tc>
                <w:tcPr>
                  <w:tcW w:w="547" w:type="pct"/>
                  <w:vAlign w:val="center"/>
                </w:tcPr>
                <w:p>
                  <w:pPr>
                    <w:autoSpaceDN w:val="0"/>
                    <w:jc w:val="center"/>
                    <w:textAlignment w:val="center"/>
                    <w:rPr>
                      <w:rFonts w:hint="default" w:eastAsia="宋体"/>
                      <w:szCs w:val="21"/>
                      <w:lang w:val="en-US" w:eastAsia="zh-CN"/>
                    </w:rPr>
                  </w:pPr>
                  <w:r>
                    <w:rPr>
                      <w:rFonts w:hint="eastAsia"/>
                      <w:szCs w:val="21"/>
                    </w:rPr>
                    <w:t>5</w:t>
                  </w:r>
                  <w:r>
                    <w:rPr>
                      <w:rFonts w:hint="eastAsia"/>
                      <w:szCs w:val="21"/>
                      <w:lang w:val="en-US" w:eastAsia="zh-CN"/>
                    </w:rPr>
                    <w:t>6.4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53" w:type="pct"/>
                  <w:gridSpan w:val="2"/>
                  <w:vAlign w:val="center"/>
                </w:tcPr>
                <w:p>
                  <w:pPr>
                    <w:autoSpaceDN w:val="0"/>
                    <w:jc w:val="center"/>
                    <w:textAlignment w:val="center"/>
                    <w:rPr>
                      <w:szCs w:val="21"/>
                    </w:rPr>
                  </w:pPr>
                  <w:r>
                    <w:rPr>
                      <w:szCs w:val="21"/>
                    </w:rPr>
                    <w:t>预测值</w:t>
                  </w:r>
                </w:p>
              </w:tc>
              <w:tc>
                <w:tcPr>
                  <w:tcW w:w="1868" w:type="pct"/>
                  <w:gridSpan w:val="4"/>
                  <w:vAlign w:val="center"/>
                </w:tcPr>
                <w:p>
                  <w:pPr>
                    <w:autoSpaceDN w:val="0"/>
                    <w:jc w:val="center"/>
                    <w:textAlignment w:val="center"/>
                    <w:rPr>
                      <w:szCs w:val="21"/>
                    </w:rPr>
                  </w:pPr>
                  <w:r>
                    <w:rPr>
                      <w:szCs w:val="21"/>
                    </w:rPr>
                    <w:t>昼间</w:t>
                  </w:r>
                </w:p>
              </w:tc>
              <w:tc>
                <w:tcPr>
                  <w:tcW w:w="419" w:type="pct"/>
                  <w:vAlign w:val="center"/>
                </w:tcPr>
                <w:p>
                  <w:pPr>
                    <w:autoSpaceDN w:val="0"/>
                    <w:jc w:val="center"/>
                    <w:textAlignment w:val="center"/>
                    <w:rPr>
                      <w:rFonts w:hint="default" w:eastAsia="宋体"/>
                      <w:szCs w:val="21"/>
                      <w:lang w:val="en-US" w:eastAsia="zh-CN"/>
                    </w:rPr>
                  </w:pPr>
                  <w:r>
                    <w:rPr>
                      <w:rFonts w:hint="eastAsia"/>
                      <w:szCs w:val="21"/>
                      <w:lang w:val="en-US" w:eastAsia="zh-CN"/>
                    </w:rPr>
                    <w:t>56.7</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57.7</w:t>
                  </w:r>
                </w:p>
              </w:tc>
              <w:tc>
                <w:tcPr>
                  <w:tcW w:w="505" w:type="pct"/>
                  <w:vAlign w:val="center"/>
                </w:tcPr>
                <w:p>
                  <w:pPr>
                    <w:autoSpaceDN w:val="0"/>
                    <w:jc w:val="center"/>
                    <w:textAlignment w:val="center"/>
                    <w:rPr>
                      <w:rFonts w:hint="default" w:eastAsia="宋体"/>
                      <w:szCs w:val="21"/>
                      <w:lang w:val="en-US" w:eastAsia="zh-CN"/>
                    </w:rPr>
                  </w:pPr>
                  <w:r>
                    <w:rPr>
                      <w:rFonts w:hint="eastAsia"/>
                      <w:szCs w:val="21"/>
                      <w:lang w:val="en-US" w:eastAsia="zh-CN"/>
                    </w:rPr>
                    <w:t>55.3</w:t>
                  </w:r>
                </w:p>
              </w:tc>
              <w:tc>
                <w:tcPr>
                  <w:tcW w:w="547" w:type="pct"/>
                  <w:vAlign w:val="center"/>
                </w:tcPr>
                <w:p>
                  <w:pPr>
                    <w:autoSpaceDN w:val="0"/>
                    <w:jc w:val="center"/>
                    <w:textAlignment w:val="center"/>
                    <w:rPr>
                      <w:rFonts w:hint="default" w:eastAsia="宋体"/>
                      <w:szCs w:val="21"/>
                      <w:lang w:val="en-US" w:eastAsia="zh-CN"/>
                    </w:rPr>
                  </w:pPr>
                  <w:r>
                    <w:rPr>
                      <w:rFonts w:hint="eastAsia"/>
                      <w:szCs w:val="21"/>
                      <w:lang w:val="en-US" w:eastAsia="zh-CN"/>
                    </w:rPr>
                    <w:t>56.4</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3" w:hRule="atLeast"/>
                <w:jc w:val="center"/>
              </w:trPr>
              <w:tc>
                <w:tcPr>
                  <w:tcW w:w="1153" w:type="pct"/>
                  <w:gridSpan w:val="2"/>
                  <w:vAlign w:val="center"/>
                </w:tcPr>
                <w:p>
                  <w:pPr>
                    <w:autoSpaceDN w:val="0"/>
                    <w:jc w:val="center"/>
                    <w:textAlignment w:val="center"/>
                    <w:rPr>
                      <w:szCs w:val="21"/>
                    </w:rPr>
                  </w:pPr>
                  <w:r>
                    <w:rPr>
                      <w:szCs w:val="21"/>
                    </w:rPr>
                    <w:t>标准值</w:t>
                  </w:r>
                </w:p>
              </w:tc>
              <w:tc>
                <w:tcPr>
                  <w:tcW w:w="1868" w:type="pct"/>
                  <w:gridSpan w:val="4"/>
                  <w:vAlign w:val="center"/>
                </w:tcPr>
                <w:p>
                  <w:pPr>
                    <w:autoSpaceDN w:val="0"/>
                    <w:jc w:val="center"/>
                    <w:textAlignment w:val="center"/>
                    <w:rPr>
                      <w:szCs w:val="21"/>
                    </w:rPr>
                  </w:pPr>
                  <w:r>
                    <w:rPr>
                      <w:szCs w:val="21"/>
                    </w:rPr>
                    <w:t>昼间</w:t>
                  </w:r>
                </w:p>
              </w:tc>
              <w:tc>
                <w:tcPr>
                  <w:tcW w:w="419" w:type="pct"/>
                  <w:vAlign w:val="center"/>
                </w:tcPr>
                <w:p>
                  <w:pPr>
                    <w:autoSpaceDN w:val="0"/>
                    <w:jc w:val="center"/>
                    <w:textAlignment w:val="center"/>
                    <w:rPr>
                      <w:szCs w:val="21"/>
                    </w:rPr>
                  </w:pPr>
                  <w:r>
                    <w:rPr>
                      <w:szCs w:val="21"/>
                    </w:rPr>
                    <w:t>6</w:t>
                  </w:r>
                  <w:r>
                    <w:rPr>
                      <w:rFonts w:hint="eastAsia"/>
                      <w:szCs w:val="21"/>
                    </w:rPr>
                    <w:t>5</w:t>
                  </w:r>
                </w:p>
              </w:tc>
              <w:tc>
                <w:tcPr>
                  <w:tcW w:w="505" w:type="pct"/>
                  <w:vAlign w:val="center"/>
                </w:tcPr>
                <w:p>
                  <w:pPr>
                    <w:autoSpaceDN w:val="0"/>
                    <w:jc w:val="center"/>
                    <w:textAlignment w:val="center"/>
                    <w:rPr>
                      <w:szCs w:val="21"/>
                    </w:rPr>
                  </w:pPr>
                  <w:r>
                    <w:rPr>
                      <w:szCs w:val="21"/>
                    </w:rPr>
                    <w:t>6</w:t>
                  </w:r>
                  <w:r>
                    <w:rPr>
                      <w:rFonts w:hint="eastAsia"/>
                      <w:szCs w:val="21"/>
                    </w:rPr>
                    <w:t>5</w:t>
                  </w:r>
                </w:p>
              </w:tc>
              <w:tc>
                <w:tcPr>
                  <w:tcW w:w="505" w:type="pct"/>
                  <w:vAlign w:val="center"/>
                </w:tcPr>
                <w:p>
                  <w:pPr>
                    <w:autoSpaceDN w:val="0"/>
                    <w:jc w:val="center"/>
                    <w:textAlignment w:val="center"/>
                    <w:rPr>
                      <w:szCs w:val="21"/>
                    </w:rPr>
                  </w:pPr>
                  <w:r>
                    <w:rPr>
                      <w:szCs w:val="21"/>
                    </w:rPr>
                    <w:t>6</w:t>
                  </w:r>
                  <w:r>
                    <w:rPr>
                      <w:rFonts w:hint="eastAsia"/>
                      <w:szCs w:val="21"/>
                    </w:rPr>
                    <w:t>5</w:t>
                  </w:r>
                </w:p>
              </w:tc>
              <w:tc>
                <w:tcPr>
                  <w:tcW w:w="547" w:type="pct"/>
                  <w:vAlign w:val="center"/>
                </w:tcPr>
                <w:p>
                  <w:pPr>
                    <w:autoSpaceDN w:val="0"/>
                    <w:jc w:val="center"/>
                    <w:textAlignment w:val="center"/>
                    <w:rPr>
                      <w:szCs w:val="21"/>
                    </w:rPr>
                  </w:pPr>
                  <w:r>
                    <w:rPr>
                      <w:rFonts w:hint="eastAsia"/>
                      <w:szCs w:val="21"/>
                    </w:rPr>
                    <w:t>65</w:t>
                  </w:r>
                </w:p>
              </w:tc>
            </w:tr>
          </w:tbl>
          <w:p>
            <w:pPr>
              <w:widowControl/>
              <w:spacing w:line="470" w:lineRule="exact"/>
              <w:ind w:firstLine="480" w:firstLineChars="200"/>
              <w:jc w:val="left"/>
              <w:rPr>
                <w:color w:val="000000"/>
                <w:kern w:val="0"/>
                <w:sz w:val="24"/>
              </w:rPr>
            </w:pPr>
            <w:r>
              <w:rPr>
                <w:color w:val="000000"/>
                <w:kern w:val="0"/>
                <w:sz w:val="24"/>
              </w:rPr>
              <w:t>由</w:t>
            </w:r>
            <w:r>
              <w:rPr>
                <w:rFonts w:hint="eastAsia"/>
                <w:color w:val="000000"/>
                <w:kern w:val="0"/>
                <w:sz w:val="24"/>
              </w:rPr>
              <w:t>上表</w:t>
            </w:r>
            <w:r>
              <w:rPr>
                <w:color w:val="000000"/>
                <w:kern w:val="0"/>
                <w:sz w:val="24"/>
              </w:rPr>
              <w:t>可知，由于本项目大部分噪声源均布置在室内，且主要噪声设备位于厂房内。本项目运行后厂界边界噪声预</w:t>
            </w:r>
            <w:r>
              <w:rPr>
                <w:color w:val="0D0D0D"/>
                <w:kern w:val="0"/>
                <w:sz w:val="24"/>
              </w:rPr>
              <w:t>测排放值为</w:t>
            </w:r>
            <w:r>
              <w:rPr>
                <w:rFonts w:hint="eastAsia"/>
                <w:color w:val="0D0D0D"/>
                <w:kern w:val="0"/>
                <w:sz w:val="24"/>
              </w:rPr>
              <w:t>5</w:t>
            </w:r>
            <w:r>
              <w:rPr>
                <w:rFonts w:hint="eastAsia"/>
                <w:color w:val="0D0D0D"/>
                <w:kern w:val="0"/>
                <w:sz w:val="24"/>
                <w:lang w:val="en-US" w:eastAsia="zh-CN"/>
              </w:rPr>
              <w:t>5</w:t>
            </w:r>
            <w:r>
              <w:rPr>
                <w:rFonts w:hint="eastAsia"/>
                <w:color w:val="0D0D0D"/>
                <w:kern w:val="0"/>
                <w:sz w:val="24"/>
              </w:rPr>
              <w:t>.</w:t>
            </w:r>
            <w:r>
              <w:rPr>
                <w:rFonts w:hint="eastAsia"/>
                <w:color w:val="0D0D0D"/>
                <w:kern w:val="0"/>
                <w:sz w:val="24"/>
                <w:lang w:val="en-US" w:eastAsia="zh-CN"/>
              </w:rPr>
              <w:t>3</w:t>
            </w:r>
            <w:r>
              <w:rPr>
                <w:color w:val="0D0D0D"/>
                <w:kern w:val="0"/>
                <w:sz w:val="24"/>
              </w:rPr>
              <w:t>～</w:t>
            </w:r>
            <w:r>
              <w:rPr>
                <w:rFonts w:hint="eastAsia"/>
                <w:color w:val="0D0D0D"/>
                <w:kern w:val="0"/>
                <w:sz w:val="24"/>
              </w:rPr>
              <w:t>5</w:t>
            </w:r>
            <w:r>
              <w:rPr>
                <w:rFonts w:hint="eastAsia"/>
                <w:color w:val="0D0D0D"/>
                <w:kern w:val="0"/>
                <w:sz w:val="24"/>
                <w:lang w:val="en-US" w:eastAsia="zh-CN"/>
              </w:rPr>
              <w:t>7</w:t>
            </w:r>
            <w:r>
              <w:rPr>
                <w:rFonts w:hint="eastAsia"/>
                <w:color w:val="0D0D0D"/>
                <w:kern w:val="0"/>
                <w:sz w:val="24"/>
              </w:rPr>
              <w:t>.7</w:t>
            </w:r>
            <w:r>
              <w:rPr>
                <w:color w:val="0D0D0D"/>
                <w:kern w:val="0"/>
                <w:sz w:val="24"/>
              </w:rPr>
              <w:t>dB(A)，故本项目实施后其昼间噪声排放可以达到GB12348-2008《工业企业厂界环境噪声排放标准》3</w:t>
            </w:r>
            <w:r>
              <w:rPr>
                <w:color w:val="000000"/>
                <w:kern w:val="0"/>
                <w:sz w:val="24"/>
              </w:rPr>
              <w:t>类标准要求；项目生产采用单班制运作，夜间不生产，因此夜间不对周边声环境产生影响。</w:t>
            </w:r>
          </w:p>
          <w:p>
            <w:pPr>
              <w:widowControl/>
              <w:spacing w:line="470" w:lineRule="exact"/>
              <w:ind w:firstLine="480" w:firstLineChars="200"/>
              <w:jc w:val="left"/>
              <w:rPr>
                <w:kern w:val="0"/>
                <w:sz w:val="24"/>
              </w:rPr>
            </w:pPr>
            <w:r>
              <w:rPr>
                <w:color w:val="000000"/>
                <w:kern w:val="0"/>
                <w:sz w:val="24"/>
              </w:rPr>
              <w:t>根据预测结果，拟建项目正常运营时，其厂界环境噪声能做到达标排放，因此</w:t>
            </w:r>
            <w:r>
              <w:rPr>
                <w:kern w:val="0"/>
                <w:sz w:val="24"/>
              </w:rPr>
              <w:t>拟建项目实施后对周围声环境的影响很小。</w:t>
            </w:r>
          </w:p>
          <w:p>
            <w:pPr>
              <w:autoSpaceDE w:val="0"/>
              <w:autoSpaceDN w:val="0"/>
              <w:adjustRightInd w:val="0"/>
              <w:spacing w:line="360" w:lineRule="auto"/>
              <w:ind w:firstLine="482" w:firstLineChars="200"/>
              <w:jc w:val="left"/>
              <w:rPr>
                <w:b/>
                <w:color w:val="000000"/>
                <w:kern w:val="0"/>
                <w:sz w:val="24"/>
              </w:rPr>
            </w:pPr>
            <w:r>
              <w:rPr>
                <w:rFonts w:hint="eastAsia"/>
                <w:b/>
                <w:color w:val="000000"/>
                <w:kern w:val="0"/>
                <w:sz w:val="24"/>
              </w:rPr>
              <w:t>4、噪声污染防治措施</w:t>
            </w:r>
          </w:p>
          <w:p>
            <w:pPr>
              <w:spacing w:line="360" w:lineRule="auto"/>
              <w:ind w:firstLine="480" w:firstLineChars="200"/>
              <w:rPr>
                <w:color w:val="000000"/>
                <w:sz w:val="24"/>
              </w:rPr>
            </w:pPr>
            <w:r>
              <w:rPr>
                <w:color w:val="000000"/>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color w:val="000000"/>
                <w:sz w:val="24"/>
              </w:rPr>
            </w:pPr>
            <w:r>
              <w:rPr>
                <w:color w:val="000000"/>
                <w:sz w:val="24"/>
              </w:rPr>
              <w:t>（1）合理布局：项目将高噪声设备尽量布置在厂</w:t>
            </w:r>
            <w:r>
              <w:rPr>
                <w:rFonts w:hint="eastAsia"/>
                <w:color w:val="000000"/>
                <w:sz w:val="24"/>
                <w:lang w:val="en-US" w:eastAsia="zh-CN"/>
              </w:rPr>
              <w:t>房内</w:t>
            </w:r>
            <w:r>
              <w:rPr>
                <w:color w:val="000000"/>
                <w:sz w:val="24"/>
              </w:rPr>
              <w:t>，通过距离衰减减轻噪声对外环境的影响。</w:t>
            </w:r>
          </w:p>
          <w:p>
            <w:pPr>
              <w:spacing w:line="360" w:lineRule="auto"/>
              <w:ind w:firstLine="480" w:firstLineChars="200"/>
              <w:rPr>
                <w:color w:val="000000"/>
                <w:sz w:val="24"/>
              </w:rPr>
            </w:pPr>
            <w:r>
              <w:rPr>
                <w:color w:val="000000"/>
                <w:sz w:val="24"/>
              </w:rPr>
              <w:t>（2）选择低噪声设备：项目在满足工艺设计的前提下，尽量选用满足国际标准的低噪声、低振动型号的设备，降低噪声源强。</w:t>
            </w:r>
          </w:p>
          <w:p>
            <w:pPr>
              <w:spacing w:line="360" w:lineRule="auto"/>
              <w:ind w:firstLine="480" w:firstLineChars="200"/>
              <w:rPr>
                <w:color w:val="000000"/>
                <w:sz w:val="24"/>
              </w:rPr>
            </w:pPr>
            <w:r>
              <w:rPr>
                <w:color w:val="000000"/>
                <w:sz w:val="24"/>
              </w:rPr>
              <w:t>（3）隔声、减震或加消声器：建设单位根据噪声产生的性质可分为机械运动噪声，根据其产生的性质和机理不同分别采用了隔声、减振等方式进行了降噪处理。通过安装减震垫或者隔声门窗来达到降低噪声的目的。</w:t>
            </w:r>
          </w:p>
          <w:p>
            <w:pPr>
              <w:spacing w:line="360" w:lineRule="auto"/>
              <w:ind w:firstLine="480" w:firstLineChars="200"/>
              <w:rPr>
                <w:color w:val="000000"/>
                <w:sz w:val="24"/>
              </w:rPr>
            </w:pPr>
            <w:r>
              <w:rPr>
                <w:color w:val="000000"/>
                <w:sz w:val="24"/>
              </w:rPr>
              <w:t>（4）强化生产管理：确保降噪设施的有效运行，并加强对生产设备的保养、检修与润滑，保证设备处于良好的运转状态。</w:t>
            </w:r>
          </w:p>
          <w:p>
            <w:pPr>
              <w:spacing w:line="360" w:lineRule="auto"/>
              <w:ind w:firstLine="480" w:firstLineChars="200"/>
              <w:rPr>
                <w:szCs w:val="21"/>
              </w:rPr>
            </w:pPr>
            <w:r>
              <w:rPr>
                <w:color w:val="000000"/>
                <w:sz w:val="24"/>
              </w:rPr>
              <w:t>经上述治理措施后，可满足保护操作工人的身心健康需要，加上围墙隔音及距离衰减，能够做到厂界达标。</w:t>
            </w:r>
          </w:p>
          <w:p>
            <w:pPr>
              <w:adjustRightInd w:val="0"/>
              <w:snapToGrid w:val="0"/>
              <w:spacing w:line="360" w:lineRule="auto"/>
              <w:ind w:firstLine="442" w:firstLineChars="200"/>
              <w:rPr>
                <w:rFonts w:cs="宋体"/>
                <w:b/>
                <w:spacing w:val="-10"/>
                <w:sz w:val="24"/>
              </w:rPr>
            </w:pPr>
            <w:r>
              <w:rPr>
                <w:rFonts w:hint="eastAsia" w:cs="宋体"/>
                <w:b/>
                <w:spacing w:val="-10"/>
                <w:sz w:val="24"/>
              </w:rPr>
              <w:t>四、固体废物环境影响和保护措施</w:t>
            </w:r>
          </w:p>
          <w:p>
            <w:pPr>
              <w:adjustRightInd w:val="0"/>
              <w:snapToGrid w:val="0"/>
              <w:spacing w:line="360" w:lineRule="auto"/>
              <w:ind w:firstLine="442" w:firstLineChars="200"/>
              <w:rPr>
                <w:rFonts w:cs="宋体"/>
                <w:b/>
                <w:spacing w:val="-10"/>
                <w:sz w:val="24"/>
              </w:rPr>
            </w:pPr>
            <w:r>
              <w:rPr>
                <w:rFonts w:hint="eastAsia" w:cs="宋体"/>
                <w:b/>
                <w:spacing w:val="-10"/>
                <w:sz w:val="24"/>
              </w:rPr>
              <w:t>1、固体废物产生情况</w:t>
            </w:r>
          </w:p>
          <w:p>
            <w:pPr>
              <w:spacing w:line="360" w:lineRule="auto"/>
              <w:ind w:firstLine="482"/>
              <w:rPr>
                <w:rFonts w:ascii="Times New Roman" w:hAnsi="Times New Roman"/>
                <w:color w:val="000000"/>
                <w:sz w:val="24"/>
              </w:rPr>
            </w:pPr>
            <w:r>
              <w:rPr>
                <w:rFonts w:hint="eastAsia"/>
                <w:color w:val="000000"/>
                <w:sz w:val="24"/>
              </w:rPr>
              <w:t>本</w:t>
            </w:r>
            <w:r>
              <w:rPr>
                <w:color w:val="000000"/>
                <w:sz w:val="24"/>
              </w:rPr>
              <w:t>项目产生的固体废物包括</w:t>
            </w:r>
            <w:r>
              <w:rPr>
                <w:rFonts w:ascii="Times New Roman" w:hAnsi="Times New Roman"/>
                <w:color w:val="000000"/>
                <w:sz w:val="24"/>
              </w:rPr>
              <w:t>一般工业固废（</w:t>
            </w:r>
            <w:r>
              <w:rPr>
                <w:rFonts w:hint="eastAsia" w:ascii="Times New Roman" w:hAnsi="Times New Roman"/>
                <w:color w:val="000000"/>
                <w:sz w:val="24"/>
                <w:lang w:val="en-US" w:eastAsia="zh-CN"/>
              </w:rPr>
              <w:t>沉渣</w:t>
            </w:r>
            <w:r>
              <w:rPr>
                <w:rFonts w:ascii="Times New Roman" w:hAnsi="Times New Roman"/>
                <w:color w:val="000000"/>
                <w:sz w:val="24"/>
              </w:rPr>
              <w:t>），危险固废（废</w:t>
            </w:r>
            <w:r>
              <w:rPr>
                <w:rFonts w:hint="eastAsia" w:ascii="Times New Roman" w:hAnsi="Times New Roman"/>
                <w:color w:val="000000"/>
                <w:sz w:val="24"/>
              </w:rPr>
              <w:t>润滑油</w:t>
            </w:r>
            <w:r>
              <w:rPr>
                <w:rFonts w:hint="eastAsia" w:ascii="Times New Roman" w:hAnsi="Times New Roman"/>
                <w:color w:val="000000"/>
                <w:sz w:val="24"/>
                <w:lang w:eastAsia="zh-CN"/>
              </w:rPr>
              <w:t>、</w:t>
            </w:r>
            <w:r>
              <w:rPr>
                <w:rFonts w:hint="eastAsia" w:ascii="Times New Roman" w:hAnsi="Times New Roman"/>
                <w:color w:val="000000"/>
                <w:sz w:val="24"/>
                <w:lang w:val="en-US" w:eastAsia="zh-CN"/>
              </w:rPr>
              <w:t>废油桶</w:t>
            </w:r>
            <w:r>
              <w:rPr>
                <w:rFonts w:hint="eastAsia"/>
                <w:color w:val="000000"/>
                <w:sz w:val="24"/>
                <w:lang w:val="en-US" w:eastAsia="zh-CN"/>
              </w:rPr>
              <w:t>和</w:t>
            </w:r>
            <w:r>
              <w:rPr>
                <w:rFonts w:hint="eastAsia"/>
                <w:color w:val="000000"/>
                <w:sz w:val="24"/>
              </w:rPr>
              <w:t>废含油手套、抹布</w:t>
            </w:r>
            <w:r>
              <w:rPr>
                <w:rFonts w:ascii="Times New Roman" w:hAnsi="Times New Roman"/>
                <w:color w:val="000000"/>
                <w:sz w:val="24"/>
              </w:rPr>
              <w:t>）。</w:t>
            </w:r>
          </w:p>
          <w:p>
            <w:pPr>
              <w:widowControl/>
              <w:spacing w:line="360" w:lineRule="auto"/>
              <w:ind w:firstLine="480" w:firstLineChars="200"/>
              <w:rPr>
                <w:rFonts w:hint="eastAsia" w:ascii="Times New Roman" w:hAnsi="Times New Roman"/>
                <w:color w:val="000000"/>
                <w:sz w:val="24"/>
                <w:szCs w:val="22"/>
                <w:lang w:val="en-US" w:eastAsia="zh-CN"/>
              </w:rPr>
            </w:pPr>
            <w:r>
              <w:rPr>
                <w:rFonts w:hint="eastAsia"/>
                <w:color w:val="000000"/>
                <w:sz w:val="24"/>
                <w:szCs w:val="22"/>
                <w:lang w:val="en-US" w:eastAsia="zh-CN"/>
              </w:rPr>
              <w:t>（1）</w:t>
            </w:r>
            <w:r>
              <w:rPr>
                <w:rFonts w:hint="eastAsia" w:ascii="Times New Roman" w:hAnsi="Times New Roman"/>
                <w:color w:val="000000"/>
                <w:sz w:val="24"/>
                <w:szCs w:val="22"/>
                <w:lang w:val="en-US" w:eastAsia="zh-CN"/>
              </w:rPr>
              <w:t>污水处理沉渣</w:t>
            </w:r>
          </w:p>
          <w:p>
            <w:pPr>
              <w:widowControl/>
              <w:spacing w:line="360" w:lineRule="auto"/>
              <w:ind w:firstLine="480" w:firstLineChars="200"/>
              <w:rPr>
                <w:rFonts w:hint="default" w:ascii="Times New Roman" w:hAnsi="Times New Roman"/>
                <w:color w:val="000000"/>
                <w:sz w:val="24"/>
                <w:szCs w:val="22"/>
                <w:lang w:val="en-US" w:eastAsia="zh-CN"/>
              </w:rPr>
            </w:pPr>
            <w:r>
              <w:rPr>
                <w:rFonts w:ascii="Times New Roman" w:hAnsi="Times New Roman"/>
                <w:color w:val="000000"/>
                <w:sz w:val="24"/>
                <w:szCs w:val="22"/>
              </w:rPr>
              <w:t>本项目</w:t>
            </w:r>
            <w:r>
              <w:rPr>
                <w:rFonts w:hint="eastAsia" w:ascii="Times New Roman" w:hAnsi="Times New Roman"/>
                <w:color w:val="000000"/>
                <w:sz w:val="24"/>
                <w:szCs w:val="22"/>
                <w:lang w:val="en-US" w:eastAsia="zh-CN"/>
              </w:rPr>
              <w:t>污水处理沉渣(含水率30%)</w:t>
            </w:r>
            <w:r>
              <w:rPr>
                <w:rFonts w:ascii="Times New Roman" w:hAnsi="Times New Roman"/>
                <w:color w:val="000000"/>
                <w:sz w:val="24"/>
                <w:szCs w:val="22"/>
              </w:rPr>
              <w:t>产生量为</w:t>
            </w:r>
            <w:r>
              <w:rPr>
                <w:rFonts w:hint="eastAsia" w:ascii="Times New Roman" w:hAnsi="Times New Roman"/>
                <w:color w:val="000000"/>
                <w:sz w:val="24"/>
                <w:szCs w:val="22"/>
                <w:highlight w:val="none"/>
                <w:lang w:val="en-US" w:eastAsia="zh-CN"/>
              </w:rPr>
              <w:t>14</w:t>
            </w:r>
            <w:r>
              <w:rPr>
                <w:rFonts w:hint="eastAsia"/>
                <w:color w:val="000000"/>
                <w:sz w:val="24"/>
                <w:szCs w:val="22"/>
                <w:highlight w:val="none"/>
                <w:lang w:val="en-US" w:eastAsia="zh-CN"/>
              </w:rPr>
              <w:t>142</w:t>
            </w:r>
            <w:r>
              <w:rPr>
                <w:rFonts w:hint="eastAsia" w:ascii="Times New Roman" w:hAnsi="Times New Roman"/>
                <w:color w:val="000000"/>
                <w:sz w:val="24"/>
                <w:szCs w:val="22"/>
                <w:highlight w:val="none"/>
                <w:lang w:val="en-US" w:eastAsia="zh-CN"/>
              </w:rPr>
              <w:t>.</w:t>
            </w:r>
            <w:r>
              <w:rPr>
                <w:rFonts w:hint="eastAsia"/>
                <w:color w:val="000000"/>
                <w:sz w:val="24"/>
                <w:szCs w:val="22"/>
                <w:highlight w:val="none"/>
                <w:lang w:val="en-US" w:eastAsia="zh-CN"/>
              </w:rPr>
              <w:t>31</w:t>
            </w:r>
            <w:r>
              <w:rPr>
                <w:rFonts w:hint="eastAsia" w:ascii="Times New Roman" w:hAnsi="Times New Roman"/>
                <w:color w:val="000000"/>
                <w:sz w:val="24"/>
                <w:szCs w:val="22"/>
                <w:highlight w:val="none"/>
                <w:lang w:val="en-US" w:eastAsia="zh-CN"/>
              </w:rPr>
              <w:t>t/a</w:t>
            </w:r>
            <w:r>
              <w:rPr>
                <w:rFonts w:hint="eastAsia" w:ascii="Times New Roman" w:hAnsi="Times New Roman"/>
                <w:color w:val="000000"/>
                <w:sz w:val="24"/>
                <w:szCs w:val="22"/>
                <w:lang w:val="en-US" w:eastAsia="zh-CN"/>
              </w:rPr>
              <w:t>，</w:t>
            </w:r>
            <w:r>
              <w:rPr>
                <w:rFonts w:hint="eastAsia"/>
                <w:color w:val="000000"/>
                <w:sz w:val="24"/>
                <w:szCs w:val="22"/>
                <w:lang w:val="en-US" w:eastAsia="zh-CN"/>
              </w:rPr>
              <w:t>经鉴定不属于危险废物，作为一般工业固废</w:t>
            </w:r>
            <w:r>
              <w:rPr>
                <w:rFonts w:hint="eastAsia" w:ascii="Times New Roman" w:hAnsi="Times New Roman"/>
                <w:color w:val="000000"/>
                <w:sz w:val="24"/>
                <w:szCs w:val="22"/>
                <w:lang w:val="en-US" w:eastAsia="zh-CN"/>
              </w:rPr>
              <w:t>收集后外售</w:t>
            </w:r>
            <w:r>
              <w:rPr>
                <w:rFonts w:hint="eastAsia"/>
                <w:color w:val="000000"/>
                <w:sz w:val="24"/>
                <w:szCs w:val="22"/>
                <w:lang w:val="en-US" w:eastAsia="zh-CN"/>
              </w:rPr>
              <w:t>处理</w:t>
            </w:r>
            <w:r>
              <w:rPr>
                <w:rFonts w:hint="eastAsia" w:ascii="Times New Roman" w:hAnsi="Times New Roman"/>
                <w:color w:val="000000"/>
                <w:sz w:val="24"/>
                <w:szCs w:val="22"/>
                <w:lang w:val="en-US" w:eastAsia="zh-CN"/>
              </w:rPr>
              <w:t>。</w:t>
            </w:r>
          </w:p>
          <w:p>
            <w:pPr>
              <w:widowControl/>
              <w:spacing w:line="360" w:lineRule="auto"/>
              <w:ind w:firstLine="480" w:firstLineChars="200"/>
              <w:rPr>
                <w:rFonts w:hint="eastAsia" w:ascii="Times New Roman" w:hAnsi="Times New Roman" w:eastAsia="宋体"/>
                <w:color w:val="auto"/>
                <w:sz w:val="24"/>
                <w:szCs w:val="22"/>
                <w:lang w:eastAsia="zh-CN"/>
              </w:rPr>
            </w:pPr>
            <w:r>
              <w:rPr>
                <w:rFonts w:hint="eastAsia"/>
                <w:color w:val="auto"/>
                <w:sz w:val="24"/>
                <w:lang w:eastAsia="zh-CN"/>
              </w:rPr>
              <w:t>（</w:t>
            </w:r>
            <w:r>
              <w:rPr>
                <w:rFonts w:hint="eastAsia"/>
                <w:color w:val="auto"/>
                <w:sz w:val="24"/>
                <w:lang w:val="en-US" w:eastAsia="zh-CN"/>
              </w:rPr>
              <w:t>2</w:t>
            </w:r>
            <w:r>
              <w:rPr>
                <w:rFonts w:hint="eastAsia"/>
                <w:color w:val="auto"/>
                <w:sz w:val="24"/>
                <w:lang w:eastAsia="zh-CN"/>
              </w:rPr>
              <w:t>）</w:t>
            </w:r>
            <w:r>
              <w:rPr>
                <w:rFonts w:ascii="Times New Roman" w:hAnsi="Times New Roman"/>
                <w:color w:val="auto"/>
                <w:sz w:val="24"/>
              </w:rPr>
              <w:t>废</w:t>
            </w:r>
            <w:r>
              <w:rPr>
                <w:rFonts w:hint="eastAsia" w:ascii="Times New Roman" w:hAnsi="Times New Roman"/>
                <w:color w:val="auto"/>
                <w:sz w:val="24"/>
              </w:rPr>
              <w:t>润滑油</w:t>
            </w:r>
            <w:r>
              <w:rPr>
                <w:rFonts w:hint="eastAsia" w:ascii="Times New Roman" w:hAnsi="Times New Roman"/>
                <w:color w:val="auto"/>
                <w:sz w:val="24"/>
                <w:lang w:eastAsia="zh-CN"/>
              </w:rPr>
              <w:t>、</w:t>
            </w:r>
            <w:r>
              <w:rPr>
                <w:rFonts w:hint="eastAsia" w:ascii="Times New Roman" w:hAnsi="Times New Roman"/>
                <w:color w:val="auto"/>
                <w:sz w:val="24"/>
                <w:lang w:val="en-US" w:eastAsia="zh-CN"/>
              </w:rPr>
              <w:t>废油桶</w:t>
            </w:r>
            <w:r>
              <w:rPr>
                <w:rFonts w:hint="eastAsia" w:ascii="Times New Roman" w:hAnsi="Times New Roman" w:eastAsia="宋体" w:cs="Times New Roman"/>
                <w:color w:val="000000"/>
                <w:sz w:val="24"/>
                <w:lang w:val="en-US" w:eastAsia="zh-CN"/>
              </w:rPr>
              <w:t>及</w:t>
            </w:r>
            <w:r>
              <w:rPr>
                <w:rFonts w:hint="eastAsia"/>
                <w:color w:val="000000"/>
                <w:sz w:val="24"/>
              </w:rPr>
              <w:t>废含油手套、抹布</w:t>
            </w:r>
          </w:p>
          <w:p>
            <w:pPr>
              <w:autoSpaceDE w:val="0"/>
              <w:spacing w:line="360" w:lineRule="auto"/>
              <w:ind w:firstLine="480" w:firstLineChars="200"/>
              <w:rPr>
                <w:color w:val="000000"/>
                <w:sz w:val="24"/>
              </w:rPr>
            </w:pPr>
            <w:r>
              <w:rPr>
                <w:rFonts w:ascii="Times New Roman" w:hAnsi="Times New Roman"/>
                <w:color w:val="000000"/>
                <w:sz w:val="24"/>
                <w:szCs w:val="22"/>
              </w:rPr>
              <w:t>本项目使用的</w:t>
            </w:r>
            <w:r>
              <w:rPr>
                <w:rFonts w:hint="eastAsia" w:ascii="Times New Roman" w:hAnsi="Times New Roman"/>
                <w:color w:val="000000"/>
                <w:sz w:val="24"/>
                <w:szCs w:val="22"/>
              </w:rPr>
              <w:t>润滑油</w:t>
            </w:r>
            <w:r>
              <w:rPr>
                <w:rFonts w:ascii="Times New Roman" w:hAnsi="Times New Roman"/>
                <w:color w:val="000000"/>
                <w:sz w:val="24"/>
                <w:szCs w:val="22"/>
              </w:rPr>
              <w:t>为</w:t>
            </w:r>
            <w:r>
              <w:rPr>
                <w:rFonts w:hint="eastAsia" w:ascii="Times New Roman" w:hAnsi="Times New Roman"/>
                <w:color w:val="000000"/>
                <w:sz w:val="24"/>
                <w:szCs w:val="22"/>
                <w:lang w:val="en-US" w:eastAsia="zh-CN"/>
              </w:rPr>
              <w:t>0.</w:t>
            </w:r>
            <w:r>
              <w:rPr>
                <w:rFonts w:hint="eastAsia"/>
                <w:color w:val="000000"/>
                <w:sz w:val="24"/>
                <w:szCs w:val="22"/>
                <w:lang w:val="en-US" w:eastAsia="zh-CN"/>
              </w:rPr>
              <w:t>2</w:t>
            </w:r>
            <w:r>
              <w:rPr>
                <w:rFonts w:hint="eastAsia" w:ascii="Times New Roman" w:hAnsi="Times New Roman"/>
                <w:color w:val="000000"/>
                <w:sz w:val="24"/>
                <w:szCs w:val="22"/>
                <w:lang w:val="en-US" w:eastAsia="zh-CN"/>
              </w:rPr>
              <w:t>5</w:t>
            </w:r>
            <w:r>
              <w:rPr>
                <w:rFonts w:ascii="Times New Roman" w:hAnsi="Times New Roman"/>
                <w:color w:val="000000"/>
                <w:sz w:val="24"/>
                <w:szCs w:val="22"/>
              </w:rPr>
              <w:t>t/a，产生的废</w:t>
            </w:r>
            <w:r>
              <w:rPr>
                <w:rFonts w:hint="eastAsia" w:ascii="Times New Roman" w:hAnsi="Times New Roman"/>
                <w:color w:val="000000"/>
                <w:sz w:val="24"/>
                <w:szCs w:val="22"/>
              </w:rPr>
              <w:t>润滑油</w:t>
            </w:r>
            <w:r>
              <w:rPr>
                <w:rFonts w:ascii="Times New Roman" w:hAnsi="Times New Roman"/>
                <w:color w:val="000000"/>
                <w:sz w:val="24"/>
                <w:szCs w:val="22"/>
              </w:rPr>
              <w:t>约占使用量的60%，项目产生的废</w:t>
            </w:r>
            <w:r>
              <w:rPr>
                <w:rFonts w:hint="eastAsia" w:ascii="Times New Roman" w:hAnsi="Times New Roman"/>
                <w:color w:val="000000"/>
                <w:sz w:val="24"/>
                <w:szCs w:val="22"/>
              </w:rPr>
              <w:t>润滑油</w:t>
            </w:r>
            <w:r>
              <w:rPr>
                <w:rFonts w:ascii="Times New Roman" w:hAnsi="Times New Roman"/>
                <w:color w:val="000000"/>
                <w:sz w:val="24"/>
                <w:szCs w:val="22"/>
              </w:rPr>
              <w:t>的量约</w:t>
            </w:r>
            <w:r>
              <w:rPr>
                <w:rFonts w:hint="eastAsia" w:ascii="Times New Roman" w:hAnsi="Times New Roman"/>
                <w:color w:val="000000"/>
                <w:sz w:val="24"/>
                <w:szCs w:val="22"/>
                <w:lang w:val="en-US" w:eastAsia="zh-CN"/>
              </w:rPr>
              <w:t>0.</w:t>
            </w:r>
            <w:r>
              <w:rPr>
                <w:rFonts w:hint="eastAsia"/>
                <w:color w:val="000000"/>
                <w:sz w:val="24"/>
                <w:szCs w:val="22"/>
                <w:lang w:val="en-US" w:eastAsia="zh-CN"/>
              </w:rPr>
              <w:t>15</w:t>
            </w:r>
            <w:r>
              <w:rPr>
                <w:rFonts w:ascii="Times New Roman" w:hAnsi="Times New Roman"/>
                <w:color w:val="000000"/>
                <w:sz w:val="24"/>
                <w:szCs w:val="22"/>
              </w:rPr>
              <w:t>t/a。</w:t>
            </w:r>
            <w:r>
              <w:rPr>
                <w:color w:val="000000"/>
                <w:sz w:val="24"/>
              </w:rPr>
              <w:t>废</w:t>
            </w:r>
            <w:r>
              <w:rPr>
                <w:rFonts w:hint="eastAsia"/>
                <w:color w:val="000000"/>
                <w:sz w:val="24"/>
                <w:lang w:val="en-US" w:eastAsia="zh-CN"/>
              </w:rPr>
              <w:t>油</w:t>
            </w:r>
            <w:r>
              <w:rPr>
                <w:color w:val="000000"/>
                <w:sz w:val="24"/>
              </w:rPr>
              <w:t>桶</w:t>
            </w:r>
            <w:r>
              <w:rPr>
                <w:rFonts w:hint="eastAsia"/>
                <w:color w:val="000000"/>
                <w:sz w:val="24"/>
                <w:lang w:val="en-US" w:eastAsia="zh-CN"/>
              </w:rPr>
              <w:t>约</w:t>
            </w:r>
            <w:r>
              <w:rPr>
                <w:rFonts w:hint="eastAsia"/>
                <w:color w:val="000000"/>
                <w:sz w:val="24"/>
              </w:rPr>
              <w:t>为0.</w:t>
            </w:r>
            <w:r>
              <w:rPr>
                <w:rFonts w:hint="eastAsia"/>
                <w:color w:val="000000"/>
                <w:sz w:val="24"/>
                <w:lang w:val="en-US" w:eastAsia="zh-CN"/>
              </w:rPr>
              <w:t>01</w:t>
            </w:r>
            <w:r>
              <w:rPr>
                <w:rFonts w:hint="eastAsia"/>
                <w:color w:val="000000"/>
                <w:sz w:val="24"/>
              </w:rPr>
              <w:t>t/a</w:t>
            </w:r>
            <w:r>
              <w:rPr>
                <w:color w:val="000000"/>
                <w:sz w:val="24"/>
              </w:rPr>
              <w:t>，</w:t>
            </w:r>
            <w:r>
              <w:rPr>
                <w:rFonts w:hint="eastAsia"/>
                <w:color w:val="000000"/>
                <w:sz w:val="24"/>
              </w:rPr>
              <w:t>废含油手套、抹布</w:t>
            </w:r>
            <w:r>
              <w:rPr>
                <w:color w:val="000000"/>
                <w:kern w:val="0"/>
                <w:sz w:val="24"/>
                <w:szCs w:val="20"/>
              </w:rPr>
              <w:t>产生量</w:t>
            </w:r>
            <w:r>
              <w:rPr>
                <w:rFonts w:hint="eastAsia"/>
                <w:color w:val="000000"/>
                <w:kern w:val="0"/>
                <w:sz w:val="24"/>
                <w:szCs w:val="20"/>
                <w:lang w:val="en-US" w:eastAsia="zh-CN"/>
              </w:rPr>
              <w:t>约为</w:t>
            </w:r>
            <w:r>
              <w:rPr>
                <w:rFonts w:hint="eastAsia"/>
                <w:color w:val="000000"/>
                <w:sz w:val="24"/>
              </w:rPr>
              <w:t>0.00</w:t>
            </w:r>
            <w:r>
              <w:rPr>
                <w:rFonts w:hint="eastAsia"/>
                <w:color w:val="000000"/>
                <w:sz w:val="24"/>
                <w:lang w:val="en-US" w:eastAsia="zh-CN"/>
              </w:rPr>
              <w:t>1</w:t>
            </w:r>
            <w:r>
              <w:rPr>
                <w:rFonts w:hint="eastAsia"/>
                <w:color w:val="000000"/>
                <w:sz w:val="24"/>
              </w:rPr>
              <w:t xml:space="preserve"> </w:t>
            </w:r>
            <w:r>
              <w:rPr>
                <w:color w:val="000000"/>
                <w:kern w:val="0"/>
                <w:sz w:val="24"/>
                <w:szCs w:val="20"/>
              </w:rPr>
              <w:t>t/a</w:t>
            </w:r>
            <w:r>
              <w:rPr>
                <w:rFonts w:hint="eastAsia"/>
                <w:color w:val="000000"/>
                <w:kern w:val="0"/>
                <w:sz w:val="24"/>
                <w:szCs w:val="20"/>
                <w:lang w:eastAsia="zh-CN"/>
              </w:rPr>
              <w:t>，</w:t>
            </w:r>
            <w:r>
              <w:rPr>
                <w:color w:val="000000"/>
                <w:sz w:val="24"/>
              </w:rPr>
              <w:t>按《国家危险废物名录</w:t>
            </w:r>
            <w:r>
              <w:rPr>
                <w:rFonts w:hint="eastAsia"/>
                <w:color w:val="000000"/>
                <w:sz w:val="24"/>
              </w:rPr>
              <w:t>（2021年版）</w:t>
            </w:r>
            <w:r>
              <w:rPr>
                <w:color w:val="000000"/>
                <w:sz w:val="24"/>
              </w:rPr>
              <w:t>》，</w:t>
            </w:r>
            <w:r>
              <w:rPr>
                <w:rFonts w:hint="eastAsia"/>
                <w:color w:val="000000"/>
                <w:sz w:val="24"/>
              </w:rPr>
              <w:t>废桶和废油</w:t>
            </w:r>
            <w:r>
              <w:rPr>
                <w:rFonts w:hint="eastAsia"/>
                <w:color w:val="000000"/>
                <w:sz w:val="24"/>
                <w:lang w:eastAsia="zh-CN"/>
              </w:rPr>
              <w:t>、</w:t>
            </w:r>
            <w:r>
              <w:rPr>
                <w:rFonts w:hint="eastAsia"/>
                <w:color w:val="000000"/>
                <w:sz w:val="24"/>
                <w:lang w:val="en-US" w:eastAsia="zh-CN"/>
              </w:rPr>
              <w:t>废含油手套、抹布</w:t>
            </w:r>
            <w:r>
              <w:rPr>
                <w:color w:val="000000"/>
                <w:sz w:val="24"/>
              </w:rPr>
              <w:t>属于危险</w:t>
            </w:r>
            <w:r>
              <w:rPr>
                <w:rFonts w:hint="eastAsia"/>
                <w:color w:val="000000"/>
                <w:sz w:val="24"/>
              </w:rPr>
              <w:t>废物</w:t>
            </w:r>
            <w:r>
              <w:rPr>
                <w:color w:val="000000"/>
                <w:sz w:val="24"/>
              </w:rPr>
              <w:t>（废物类别</w:t>
            </w:r>
            <w:r>
              <w:rPr>
                <w:rFonts w:hint="eastAsia"/>
                <w:color w:val="000000"/>
                <w:sz w:val="24"/>
              </w:rPr>
              <w:t>HW08</w:t>
            </w:r>
            <w:r>
              <w:rPr>
                <w:color w:val="000000"/>
                <w:sz w:val="24"/>
              </w:rPr>
              <w:t>），由资质单位统一处理。</w:t>
            </w:r>
          </w:p>
          <w:p>
            <w:pPr>
              <w:spacing w:line="360" w:lineRule="auto"/>
              <w:ind w:firstLine="480" w:firstLineChars="200"/>
              <w:rPr>
                <w:color w:val="000000"/>
                <w:sz w:val="24"/>
              </w:rPr>
            </w:pPr>
            <w:r>
              <w:rPr>
                <w:color w:val="000000"/>
                <w:sz w:val="24"/>
              </w:rPr>
              <w:t>本项目固体废物产生与处置情况见下表。</w:t>
            </w:r>
          </w:p>
          <w:p>
            <w:pPr>
              <w:ind w:firstLine="482"/>
              <w:jc w:val="center"/>
              <w:rPr>
                <w:b/>
                <w:color w:val="000000"/>
                <w:sz w:val="24"/>
              </w:rPr>
            </w:pPr>
            <w:r>
              <w:rPr>
                <w:b/>
                <w:color w:val="000000"/>
                <w:sz w:val="24"/>
              </w:rPr>
              <w:t>表4-</w:t>
            </w:r>
            <w:r>
              <w:rPr>
                <w:rFonts w:hint="eastAsia"/>
                <w:b/>
                <w:color w:val="000000"/>
                <w:sz w:val="24"/>
              </w:rPr>
              <w:t>3</w:t>
            </w:r>
            <w:r>
              <w:rPr>
                <w:rFonts w:hint="eastAsia"/>
                <w:b/>
                <w:color w:val="000000"/>
                <w:sz w:val="24"/>
                <w:lang w:val="en-US" w:eastAsia="zh-CN"/>
              </w:rPr>
              <w:t xml:space="preserve">  </w:t>
            </w:r>
            <w:r>
              <w:rPr>
                <w:b/>
                <w:color w:val="000000"/>
                <w:sz w:val="24"/>
              </w:rPr>
              <w:t>项目固体废物产生量及处理方式</w:t>
            </w:r>
          </w:p>
          <w:tbl>
            <w:tblPr>
              <w:tblStyle w:val="26"/>
              <w:tblW w:w="490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9"/>
              <w:gridCol w:w="971"/>
              <w:gridCol w:w="1876"/>
              <w:gridCol w:w="1426"/>
              <w:gridCol w:w="1402"/>
              <w:gridCol w:w="125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789" w:type="dxa"/>
                  <w:tcBorders>
                    <w:top w:val="single" w:color="auto" w:sz="12" w:space="0"/>
                    <w:left w:val="nil"/>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序号</w:t>
                  </w:r>
                </w:p>
              </w:tc>
              <w:tc>
                <w:tcPr>
                  <w:tcW w:w="971"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名称</w:t>
                  </w:r>
                </w:p>
              </w:tc>
              <w:tc>
                <w:tcPr>
                  <w:tcW w:w="1876"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类别及代码</w:t>
                  </w:r>
                </w:p>
              </w:tc>
              <w:tc>
                <w:tcPr>
                  <w:tcW w:w="1426"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产生量（t/a）</w:t>
                  </w:r>
                </w:p>
              </w:tc>
              <w:tc>
                <w:tcPr>
                  <w:tcW w:w="1402" w:type="dxa"/>
                  <w:tcBorders>
                    <w:top w:val="single" w:color="auto" w:sz="12" w:space="0"/>
                    <w:left w:val="single" w:color="auto" w:sz="4" w:space="0"/>
                    <w:bottom w:val="single" w:color="auto" w:sz="4" w:space="0"/>
                    <w:right w:val="single" w:color="auto" w:sz="4" w:space="0"/>
                  </w:tcBorders>
                  <w:vAlign w:val="center"/>
                </w:tcPr>
                <w:p>
                  <w:pPr>
                    <w:spacing w:line="240" w:lineRule="atLeast"/>
                    <w:jc w:val="center"/>
                    <w:rPr>
                      <w:b/>
                      <w:bCs/>
                      <w:color w:val="000000"/>
                      <w:spacing w:val="4"/>
                      <w:kern w:val="18"/>
                      <w:szCs w:val="21"/>
                    </w:rPr>
                  </w:pPr>
                  <w:r>
                    <w:rPr>
                      <w:b/>
                      <w:bCs/>
                      <w:color w:val="000000"/>
                      <w:spacing w:val="4"/>
                      <w:kern w:val="18"/>
                      <w:szCs w:val="21"/>
                    </w:rPr>
                    <w:t>处置方式</w:t>
                  </w:r>
                </w:p>
              </w:tc>
              <w:tc>
                <w:tcPr>
                  <w:tcW w:w="1252" w:type="dxa"/>
                  <w:tcBorders>
                    <w:top w:val="single" w:color="auto" w:sz="12" w:space="0"/>
                    <w:left w:val="single" w:color="auto" w:sz="4" w:space="0"/>
                    <w:bottom w:val="single" w:color="auto" w:sz="4" w:space="0"/>
                    <w:right w:val="nil"/>
                  </w:tcBorders>
                  <w:vAlign w:val="center"/>
                </w:tcPr>
                <w:p>
                  <w:pPr>
                    <w:spacing w:line="240" w:lineRule="atLeast"/>
                    <w:jc w:val="center"/>
                    <w:rPr>
                      <w:b/>
                      <w:bCs/>
                      <w:color w:val="000000"/>
                      <w:spacing w:val="4"/>
                      <w:kern w:val="18"/>
                      <w:szCs w:val="21"/>
                    </w:rPr>
                  </w:pPr>
                  <w:r>
                    <w:rPr>
                      <w:b/>
                      <w:bCs/>
                      <w:color w:val="000000"/>
                      <w:spacing w:val="4"/>
                      <w:kern w:val="18"/>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color w:val="000000"/>
                      <w:szCs w:val="21"/>
                    </w:rPr>
                  </w:pPr>
                  <w:r>
                    <w:rPr>
                      <w:rFonts w:hint="eastAsia"/>
                      <w:color w:val="000000"/>
                      <w:szCs w:val="21"/>
                    </w:rPr>
                    <w:t>1</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eastAsia="宋体"/>
                      <w:color w:val="000000"/>
                      <w:spacing w:val="4"/>
                      <w:kern w:val="18"/>
                      <w:szCs w:val="21"/>
                      <w:lang w:eastAsia="zh-CN"/>
                    </w:rPr>
                  </w:pPr>
                  <w:r>
                    <w:rPr>
                      <w:rFonts w:hint="eastAsia"/>
                      <w:color w:val="000000"/>
                      <w:spacing w:val="4"/>
                      <w:kern w:val="18"/>
                      <w:szCs w:val="21"/>
                      <w:lang w:val="en-US" w:eastAsia="zh-CN"/>
                    </w:rPr>
                    <w:t>沉渣</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一般工业固废</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rFonts w:hint="eastAsia"/>
                      <w:color w:val="000000"/>
                      <w:spacing w:val="4"/>
                      <w:kern w:val="18"/>
                      <w:szCs w:val="21"/>
                      <w:highlight w:val="none"/>
                      <w:lang w:val="en-US" w:eastAsia="zh-CN"/>
                    </w:rPr>
                    <w:t>14142.31</w:t>
                  </w:r>
                </w:p>
              </w:tc>
              <w:tc>
                <w:tcPr>
                  <w:tcW w:w="1402" w:type="dxa"/>
                  <w:tcBorders>
                    <w:top w:val="single" w:color="auto" w:sz="4" w:space="0"/>
                    <w:left w:val="single" w:color="auto" w:sz="4" w:space="0"/>
                    <w:right w:val="single" w:color="auto" w:sz="4" w:space="0"/>
                  </w:tcBorders>
                  <w:vAlign w:val="center"/>
                </w:tcPr>
                <w:p>
                  <w:pPr>
                    <w:spacing w:line="240" w:lineRule="atLeast"/>
                    <w:jc w:val="center"/>
                    <w:rPr>
                      <w:rFonts w:hint="eastAsia" w:eastAsia="宋体"/>
                      <w:color w:val="000000"/>
                      <w:spacing w:val="4"/>
                      <w:kern w:val="18"/>
                      <w:szCs w:val="21"/>
                      <w:lang w:eastAsia="zh-CN"/>
                    </w:rPr>
                  </w:pPr>
                  <w:r>
                    <w:rPr>
                      <w:rFonts w:hint="eastAsia"/>
                      <w:color w:val="000000"/>
                      <w:spacing w:val="4"/>
                      <w:kern w:val="18"/>
                      <w:szCs w:val="21"/>
                      <w:lang w:val="en-US" w:eastAsia="zh-CN"/>
                    </w:rPr>
                    <w:t>外售</w:t>
                  </w: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pacing w:val="4"/>
                      <w:kern w:val="18"/>
                      <w:szCs w:val="21"/>
                    </w:rPr>
                  </w:pPr>
                  <w:r>
                    <w:rPr>
                      <w:color w:val="000000"/>
                      <w:spacing w:val="4"/>
                      <w:kern w:val="18"/>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eastAsia="宋体"/>
                      <w:color w:val="000000"/>
                      <w:szCs w:val="21"/>
                      <w:lang w:eastAsia="zh-CN"/>
                    </w:rPr>
                  </w:pPr>
                  <w:r>
                    <w:rPr>
                      <w:rFonts w:hint="eastAsia"/>
                      <w:color w:val="000000"/>
                      <w:szCs w:val="21"/>
                      <w:lang w:eastAsia="zh-CN"/>
                    </w:rPr>
                    <w:t>2</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废</w:t>
                  </w:r>
                  <w:r>
                    <w:rPr>
                      <w:rFonts w:hint="eastAsia"/>
                      <w:color w:val="000000"/>
                      <w:spacing w:val="4"/>
                      <w:kern w:val="18"/>
                      <w:szCs w:val="21"/>
                      <w:lang w:val="en-US" w:eastAsia="zh-CN"/>
                    </w:rPr>
                    <w:t>油</w:t>
                  </w:r>
                  <w:r>
                    <w:rPr>
                      <w:color w:val="000000"/>
                      <w:spacing w:val="4"/>
                      <w:kern w:val="18"/>
                      <w:szCs w:val="21"/>
                    </w:rPr>
                    <w:t>桶</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pacing w:val="4"/>
                      <w:kern w:val="18"/>
                      <w:szCs w:val="21"/>
                    </w:rPr>
                  </w:pPr>
                  <w:r>
                    <w:rPr>
                      <w:color w:val="000000"/>
                      <w:spacing w:val="4"/>
                      <w:kern w:val="18"/>
                      <w:szCs w:val="21"/>
                    </w:rPr>
                    <w:t>危险废物（HW08 900-249-08）</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rFonts w:hint="eastAsia"/>
                      <w:color w:val="000000"/>
                      <w:spacing w:val="4"/>
                      <w:kern w:val="18"/>
                      <w:szCs w:val="21"/>
                      <w:lang w:val="en-US" w:eastAsia="zh-CN"/>
                    </w:rPr>
                    <w:t>0.01</w:t>
                  </w:r>
                </w:p>
              </w:tc>
              <w:tc>
                <w:tcPr>
                  <w:tcW w:w="1402" w:type="dxa"/>
                  <w:vMerge w:val="restart"/>
                  <w:tcBorders>
                    <w:top w:val="single" w:color="auto" w:sz="4" w:space="0"/>
                    <w:left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交由资质单位处理</w:t>
                  </w: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pacing w:val="4"/>
                      <w:kern w:val="18"/>
                      <w:szCs w:val="21"/>
                    </w:rPr>
                  </w:pPr>
                  <w:r>
                    <w:rPr>
                      <w:color w:val="000000"/>
                      <w:spacing w:val="4"/>
                      <w:kern w:val="18"/>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rFonts w:hint="eastAsia" w:eastAsia="宋体"/>
                      <w:color w:val="000000"/>
                      <w:szCs w:val="21"/>
                      <w:lang w:val="en-US" w:eastAsia="zh-CN"/>
                    </w:rPr>
                  </w:pPr>
                  <w:r>
                    <w:rPr>
                      <w:rFonts w:hint="eastAsia"/>
                      <w:color w:val="000000"/>
                      <w:szCs w:val="21"/>
                      <w:lang w:val="en-US" w:eastAsia="zh-CN"/>
                    </w:rPr>
                    <w:t>3</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color w:val="000000"/>
                      <w:spacing w:val="4"/>
                      <w:kern w:val="18"/>
                      <w:szCs w:val="21"/>
                    </w:rPr>
                    <w:t>废油</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pacing w:val="4"/>
                      <w:kern w:val="18"/>
                      <w:szCs w:val="21"/>
                    </w:rPr>
                  </w:pPr>
                  <w:r>
                    <w:rPr>
                      <w:color w:val="000000"/>
                      <w:spacing w:val="4"/>
                      <w:kern w:val="18"/>
                      <w:szCs w:val="21"/>
                    </w:rPr>
                    <w:t>危险废物（HW08 900-2</w:t>
                  </w:r>
                  <w:r>
                    <w:rPr>
                      <w:rFonts w:hint="eastAsia"/>
                      <w:color w:val="000000"/>
                      <w:spacing w:val="4"/>
                      <w:kern w:val="18"/>
                      <w:szCs w:val="21"/>
                      <w:lang w:val="en-US" w:eastAsia="zh-CN"/>
                    </w:rPr>
                    <w:t>17</w:t>
                  </w:r>
                  <w:r>
                    <w:rPr>
                      <w:color w:val="000000"/>
                      <w:spacing w:val="4"/>
                      <w:kern w:val="18"/>
                      <w:szCs w:val="21"/>
                    </w:rPr>
                    <w:t>-08）</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color w:val="000000"/>
                      <w:spacing w:val="4"/>
                      <w:kern w:val="18"/>
                      <w:szCs w:val="21"/>
                    </w:rPr>
                    <w:t>0.</w:t>
                  </w:r>
                  <w:r>
                    <w:rPr>
                      <w:rFonts w:hint="eastAsia"/>
                      <w:color w:val="000000"/>
                      <w:spacing w:val="4"/>
                      <w:kern w:val="18"/>
                      <w:szCs w:val="21"/>
                      <w:lang w:val="en-US" w:eastAsia="zh-CN"/>
                    </w:rPr>
                    <w:t>15</w:t>
                  </w:r>
                </w:p>
              </w:tc>
              <w:tc>
                <w:tcPr>
                  <w:tcW w:w="1402" w:type="dxa"/>
                  <w:vMerge w:val="continue"/>
                  <w:tcBorders>
                    <w:left w:val="single" w:color="auto" w:sz="4" w:space="0"/>
                    <w:right w:val="single" w:color="auto" w:sz="4" w:space="0"/>
                  </w:tcBorders>
                  <w:vAlign w:val="center"/>
                </w:tcPr>
                <w:p>
                  <w:pPr>
                    <w:widowControl/>
                    <w:jc w:val="left"/>
                    <w:rPr>
                      <w:color w:val="000000"/>
                      <w:spacing w:val="4"/>
                      <w:kern w:val="18"/>
                      <w:szCs w:val="21"/>
                    </w:rPr>
                  </w:pP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color w:val="000000"/>
                      <w:spacing w:val="4"/>
                      <w:kern w:val="18"/>
                      <w:szCs w:val="21"/>
                    </w:rPr>
                  </w:pPr>
                  <w:r>
                    <w:rPr>
                      <w:color w:val="000000"/>
                      <w:spacing w:val="4"/>
                      <w:kern w:val="18"/>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789" w:type="dxa"/>
                  <w:tcBorders>
                    <w:top w:val="single" w:color="auto" w:sz="4" w:space="0"/>
                    <w:left w:val="nil"/>
                    <w:bottom w:val="single" w:color="auto" w:sz="4" w:space="0"/>
                    <w:right w:val="single" w:color="auto" w:sz="4" w:space="0"/>
                  </w:tcBorders>
                  <w:vAlign w:val="center"/>
                </w:tcPr>
                <w:p>
                  <w:pPr>
                    <w:spacing w:line="240" w:lineRule="atLeast"/>
                    <w:jc w:val="center"/>
                    <w:rPr>
                      <w:rFonts w:hint="default"/>
                      <w:color w:val="000000"/>
                      <w:szCs w:val="21"/>
                      <w:lang w:val="en-US" w:eastAsia="zh-CN"/>
                    </w:rPr>
                  </w:pPr>
                  <w:r>
                    <w:rPr>
                      <w:rFonts w:hint="eastAsia"/>
                      <w:color w:val="000000"/>
                      <w:szCs w:val="21"/>
                      <w:lang w:val="en-US" w:eastAsia="zh-CN"/>
                    </w:rPr>
                    <w:t>4</w:t>
                  </w:r>
                </w:p>
              </w:tc>
              <w:tc>
                <w:tcPr>
                  <w:tcW w:w="97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color w:val="000000"/>
                      <w:spacing w:val="4"/>
                      <w:kern w:val="18"/>
                      <w:szCs w:val="21"/>
                    </w:rPr>
                  </w:pPr>
                  <w:r>
                    <w:rPr>
                      <w:rFonts w:hint="eastAsia"/>
                      <w:color w:val="000000"/>
                      <w:sz w:val="24"/>
                      <w:lang w:val="en-US" w:eastAsia="zh-CN"/>
                    </w:rPr>
                    <w:t>废含油手套、抹布</w:t>
                  </w:r>
                </w:p>
              </w:tc>
              <w:tc>
                <w:tcPr>
                  <w:tcW w:w="1876" w:type="dxa"/>
                  <w:tcBorders>
                    <w:top w:val="single" w:color="auto" w:sz="4" w:space="0"/>
                    <w:left w:val="single" w:color="auto" w:sz="4" w:space="0"/>
                    <w:bottom w:val="single" w:color="auto" w:sz="4" w:space="0"/>
                    <w:right w:val="single" w:color="auto" w:sz="4" w:space="0"/>
                  </w:tcBorders>
                  <w:vAlign w:val="center"/>
                </w:tcPr>
                <w:p>
                  <w:pPr>
                    <w:spacing w:line="240" w:lineRule="atLeast"/>
                    <w:rPr>
                      <w:color w:val="000000"/>
                      <w:spacing w:val="4"/>
                      <w:kern w:val="18"/>
                      <w:szCs w:val="21"/>
                    </w:rPr>
                  </w:pPr>
                  <w:r>
                    <w:rPr>
                      <w:color w:val="000000"/>
                      <w:spacing w:val="4"/>
                      <w:kern w:val="18"/>
                      <w:szCs w:val="21"/>
                    </w:rPr>
                    <w:t>危险废物（HW</w:t>
                  </w:r>
                  <w:r>
                    <w:rPr>
                      <w:rFonts w:hint="eastAsia"/>
                      <w:color w:val="000000"/>
                      <w:spacing w:val="4"/>
                      <w:kern w:val="18"/>
                      <w:szCs w:val="21"/>
                      <w:lang w:val="en-US" w:eastAsia="zh-CN"/>
                    </w:rPr>
                    <w:t>49</w:t>
                  </w:r>
                  <w:r>
                    <w:rPr>
                      <w:color w:val="000000"/>
                      <w:spacing w:val="4"/>
                      <w:kern w:val="18"/>
                      <w:szCs w:val="21"/>
                    </w:rPr>
                    <w:t xml:space="preserve"> 900-</w:t>
                  </w:r>
                  <w:r>
                    <w:rPr>
                      <w:rFonts w:hint="eastAsia"/>
                      <w:color w:val="000000"/>
                      <w:spacing w:val="4"/>
                      <w:kern w:val="18"/>
                      <w:szCs w:val="21"/>
                      <w:lang w:val="en-US" w:eastAsia="zh-CN"/>
                    </w:rPr>
                    <w:t>041</w:t>
                  </w:r>
                  <w:r>
                    <w:rPr>
                      <w:color w:val="000000"/>
                      <w:spacing w:val="4"/>
                      <w:kern w:val="18"/>
                      <w:szCs w:val="21"/>
                    </w:rPr>
                    <w:t>-</w:t>
                  </w:r>
                  <w:r>
                    <w:rPr>
                      <w:rFonts w:hint="eastAsia"/>
                      <w:color w:val="000000"/>
                      <w:spacing w:val="4"/>
                      <w:kern w:val="18"/>
                      <w:szCs w:val="21"/>
                      <w:lang w:val="en-US" w:eastAsia="zh-CN"/>
                    </w:rPr>
                    <w:t>49</w:t>
                  </w:r>
                  <w:r>
                    <w:rPr>
                      <w:color w:val="000000"/>
                      <w:spacing w:val="4"/>
                      <w:kern w:val="18"/>
                      <w:szCs w:val="21"/>
                    </w:rPr>
                    <w:t>）</w:t>
                  </w:r>
                </w:p>
              </w:tc>
              <w:tc>
                <w:tcPr>
                  <w:tcW w:w="1426"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default" w:eastAsia="宋体"/>
                      <w:color w:val="000000"/>
                      <w:spacing w:val="4"/>
                      <w:kern w:val="18"/>
                      <w:szCs w:val="21"/>
                      <w:lang w:val="en-US" w:eastAsia="zh-CN"/>
                    </w:rPr>
                  </w:pPr>
                  <w:r>
                    <w:rPr>
                      <w:rFonts w:hint="eastAsia"/>
                      <w:color w:val="000000"/>
                      <w:spacing w:val="4"/>
                      <w:kern w:val="18"/>
                      <w:szCs w:val="21"/>
                      <w:lang w:val="en-US" w:eastAsia="zh-CN"/>
                    </w:rPr>
                    <w:t>0.001</w:t>
                  </w:r>
                </w:p>
              </w:tc>
              <w:tc>
                <w:tcPr>
                  <w:tcW w:w="1402" w:type="dxa"/>
                  <w:vMerge w:val="continue"/>
                  <w:tcBorders>
                    <w:left w:val="single" w:color="auto" w:sz="4" w:space="0"/>
                    <w:bottom w:val="single" w:color="auto" w:sz="4" w:space="0"/>
                    <w:right w:val="single" w:color="auto" w:sz="4" w:space="0"/>
                  </w:tcBorders>
                  <w:vAlign w:val="center"/>
                </w:tcPr>
                <w:p>
                  <w:pPr>
                    <w:widowControl/>
                    <w:jc w:val="left"/>
                    <w:rPr>
                      <w:color w:val="000000"/>
                      <w:spacing w:val="4"/>
                      <w:kern w:val="18"/>
                      <w:szCs w:val="21"/>
                    </w:rPr>
                  </w:pPr>
                </w:p>
              </w:tc>
              <w:tc>
                <w:tcPr>
                  <w:tcW w:w="1252" w:type="dxa"/>
                  <w:tcBorders>
                    <w:top w:val="single" w:color="auto" w:sz="4" w:space="0"/>
                    <w:left w:val="single" w:color="auto" w:sz="4" w:space="0"/>
                    <w:bottom w:val="single" w:color="auto" w:sz="4" w:space="0"/>
                    <w:right w:val="nil"/>
                  </w:tcBorders>
                  <w:vAlign w:val="center"/>
                </w:tcPr>
                <w:p>
                  <w:pPr>
                    <w:spacing w:line="240" w:lineRule="atLeast"/>
                    <w:jc w:val="center"/>
                    <w:rPr>
                      <w:rFonts w:hint="eastAsia" w:eastAsia="宋体"/>
                      <w:color w:val="000000"/>
                      <w:spacing w:val="4"/>
                      <w:kern w:val="18"/>
                      <w:szCs w:val="21"/>
                      <w:lang w:val="en-US" w:eastAsia="zh-CN"/>
                    </w:rPr>
                  </w:pPr>
                  <w:r>
                    <w:rPr>
                      <w:rFonts w:hint="eastAsia"/>
                      <w:color w:val="000000"/>
                      <w:spacing w:val="4"/>
                      <w:kern w:val="18"/>
                      <w:szCs w:val="21"/>
                      <w:lang w:val="en-US" w:eastAsia="zh-CN"/>
                    </w:rPr>
                    <w:t>0</w:t>
                  </w:r>
                </w:p>
              </w:tc>
            </w:tr>
          </w:tbl>
          <w:p>
            <w:pPr>
              <w:adjustRightInd w:val="0"/>
              <w:snapToGrid w:val="0"/>
              <w:spacing w:line="360" w:lineRule="auto"/>
              <w:ind w:firstLine="442" w:firstLineChars="200"/>
              <w:rPr>
                <w:rFonts w:cs="宋体"/>
                <w:b/>
                <w:spacing w:val="-10"/>
                <w:sz w:val="24"/>
              </w:rPr>
            </w:pPr>
            <w:r>
              <w:rPr>
                <w:rFonts w:hint="eastAsia" w:cs="宋体"/>
                <w:b/>
                <w:spacing w:val="-10"/>
                <w:sz w:val="24"/>
              </w:rPr>
              <w:t>2、一般固废环境影响分析和保护措施</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rPr>
              <w:t>一般工业固废临时堆放场应根据《一般工业固体废物贮存和填埋污染控制标准》（GB18599-2020）中的要求规范化建设，固废临时贮存场应满足如下要求：</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lang w:val="en-US" w:eastAsia="zh-CN"/>
              </w:rPr>
              <w:t>1</w:t>
            </w: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rPr>
              <w:t>临时堆放场应选在防渗性能好的地基上天然基础层地表距地下水位的距离不得小于1.5m。临时堆放场四周应建有围墙，防止固废流失以及造成粉尘污染。</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lang w:val="en-US" w:eastAsia="zh-CN"/>
              </w:rPr>
              <w:t>2</w:t>
            </w: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rPr>
              <w:t>临时堆放场应建有防雨淋、防渗透措施。本项目储存在钢结构仓库内，地面进行硬化，可以满足防雨淋、防渗透要求。</w:t>
            </w:r>
          </w:p>
          <w:p>
            <w:pPr>
              <w:autoSpaceDE w:val="0"/>
              <w:spacing w:line="360" w:lineRule="auto"/>
              <w:ind w:firstLine="480" w:firstLineChars="200"/>
              <w:rPr>
                <w:rFonts w:ascii="Times New Roman" w:hAnsi="Times New Roman" w:cs="Times New Roman"/>
                <w:color w:val="000000"/>
                <w:sz w:val="24"/>
                <w:szCs w:val="22"/>
              </w:rPr>
            </w:pP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lang w:val="en-US" w:eastAsia="zh-CN"/>
              </w:rPr>
              <w:t>3</w:t>
            </w:r>
            <w:r>
              <w:rPr>
                <w:rFonts w:hint="eastAsia" w:ascii="Times New Roman" w:hAnsi="Times New Roman" w:cs="Times New Roman"/>
                <w:color w:val="000000"/>
                <w:sz w:val="24"/>
                <w:szCs w:val="22"/>
                <w:lang w:eastAsia="zh-CN"/>
              </w:rPr>
              <w:t>）</w:t>
            </w:r>
            <w:r>
              <w:rPr>
                <w:rFonts w:hint="eastAsia" w:ascii="Times New Roman" w:hAnsi="Times New Roman" w:cs="Times New Roman"/>
                <w:color w:val="000000"/>
                <w:sz w:val="24"/>
                <w:szCs w:val="22"/>
              </w:rPr>
              <w:t>为了便于管理，临时堆放场应《环境保护图形标识—固体废物贮存（处置）场》（按GB15562.2-1995）设置环境保护图形标志。临时堆放的地面与裙角要用竖固、防渗的建筑材料建造，基础必须防渗，应设计建造径流疏导系统，保证能防止暴雨不会流到临时堆放场所。临时堆放场所要防风、防雨、防晒，周围应设置围墙并做好密闭处理，禁止危险废物混入。企业在生产过程中，应加强现有一般固废库的管理，定点收集堆存，并及时处理，不会对环境造成不利影响。</w:t>
            </w:r>
          </w:p>
          <w:p>
            <w:pPr>
              <w:adjustRightInd w:val="0"/>
              <w:snapToGrid w:val="0"/>
              <w:spacing w:line="360" w:lineRule="auto"/>
              <w:ind w:firstLine="442" w:firstLineChars="200"/>
              <w:rPr>
                <w:rFonts w:cs="宋体"/>
                <w:b/>
                <w:spacing w:val="-10"/>
                <w:sz w:val="24"/>
              </w:rPr>
            </w:pPr>
            <w:r>
              <w:rPr>
                <w:rFonts w:hint="eastAsia" w:cs="宋体"/>
                <w:b/>
                <w:spacing w:val="-10"/>
                <w:sz w:val="24"/>
              </w:rPr>
              <w:t>3、危险废物环境影响分析和保护措施</w:t>
            </w:r>
          </w:p>
          <w:p>
            <w:pPr>
              <w:pStyle w:val="79"/>
              <w:adjustRightInd w:val="0"/>
              <w:snapToGrid w:val="0"/>
              <w:spacing w:line="360" w:lineRule="auto"/>
              <w:ind w:firstLine="468" w:firstLineChars="195"/>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危险废物应按照《危险废物贮存污染控制标准》（GB18597-2001）的相关规定，对项目产生的危险废物进行妥善管理和处置。</w:t>
            </w:r>
          </w:p>
          <w:p>
            <w:pPr>
              <w:pStyle w:val="79"/>
              <w:adjustRightInd w:val="0"/>
              <w:snapToGrid w:val="0"/>
              <w:spacing w:line="360" w:lineRule="auto"/>
              <w:ind w:firstLine="468" w:firstLineChars="195"/>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在收集时，应清楚废物的类别及主要成份，以方便委托处理单位处理，根据危险废物的性质和形态，可采用不同大小和不同材质的容器进行包装，所有包装容器应足够安全，并经过周密检查，严防在装载、搬移或运输途中出现渗漏、溢出、抛洒或挥发等情况。</w:t>
            </w:r>
          </w:p>
          <w:p>
            <w:pPr>
              <w:pStyle w:val="79"/>
              <w:adjustRightInd w:val="0"/>
              <w:snapToGrid w:val="0"/>
              <w:spacing w:line="360" w:lineRule="auto"/>
              <w:ind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对危险废物的收集、暂存按国家标准有如下要求：</w:t>
            </w:r>
          </w:p>
          <w:p>
            <w:pPr>
              <w:pStyle w:val="79"/>
              <w:adjustRightInd w:val="0"/>
              <w:snapToGrid w:val="0"/>
              <w:spacing w:line="360" w:lineRule="auto"/>
              <w:ind w:left="0" w:leftChars="0" w:firstLine="480" w:firstLineChars="2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（1）危险废物的收集包装</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①有符合要求的包装容器、收集人员的个人防护设备；</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②危险废物的收集容器应在醒目位置贴有危险废物标签，在收集场所醒目的地方设置危险废物警告标识。所有收集容器必须密闭。</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③危险废物标签应标明以下信息：主要化学成分或危险废物名称、数量、物理形态、危险类别、安全措施以及危险废物产生单位名称、地址、联系人及电话。</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（2）危险废物的暂存要求</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危险废物堆放场应满足GB18597-2001《危险废物贮存污染控制标准》有关规定：</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①按GB15562.2《环境保护图形标识－固体废物贮存（处置）场》设置警示标志。</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②必须有耐腐蚀的硬化地面和基础防渗层，地面无裂隙；设施底部必须高于地下水最高水位。</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③要求必要的防风、防雨、防晒措施。</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④要有隔离设施或其它防护栅栏。</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⑤应配备通讯设备、照明设施、安全防护服装及共聚，并设有报警装置和应急防护设施。</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（3）危险废物的运输要求</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危险废物运输中应做到以下几点：</w:t>
            </w:r>
          </w:p>
          <w:p>
            <w:pPr>
              <w:pStyle w:val="79"/>
              <w:adjustRightInd w:val="0"/>
              <w:snapToGrid w:val="0"/>
              <w:spacing w:line="360" w:lineRule="auto"/>
              <w:ind w:firstLine="482" w:firstLineChars="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①危险废物的运输车辆须经主管单位检查，并持有有关单位签发的许可证，负责运输的司机应通过培训，持有证明文件。</w:t>
            </w:r>
          </w:p>
          <w:p>
            <w:pPr>
              <w:pStyle w:val="79"/>
              <w:adjustRightInd w:val="0"/>
              <w:snapToGrid w:val="0"/>
              <w:spacing w:line="360" w:lineRule="auto"/>
              <w:ind w:firstLine="5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②承载危险废物的车辆须有明显的标志或适当的危险符号，以引起注意。载有危险废物的车辆在公路上行驶时，需持有运输许可证，其上应注明废物来源、性质和运往地点。</w:t>
            </w:r>
          </w:p>
          <w:p>
            <w:pPr>
              <w:pStyle w:val="80"/>
              <w:adjustRightInd w:val="0"/>
              <w:snapToGrid w:val="0"/>
              <w:spacing w:line="360" w:lineRule="auto"/>
              <w:ind w:firstLine="480" w:firstLineChars="2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③组织危险废物的运输单位，在事先需作出周密的运输计划和行驶路线，其中包括有效的废物泄漏情况下的应急措施。</w:t>
            </w:r>
          </w:p>
          <w:p>
            <w:pPr>
              <w:pStyle w:val="80"/>
              <w:numPr>
                <w:ilvl w:val="0"/>
                <w:numId w:val="4"/>
              </w:numPr>
              <w:adjustRightInd w:val="0"/>
              <w:snapToGrid w:val="0"/>
              <w:spacing w:line="360" w:lineRule="auto"/>
              <w:ind w:left="0" w:leftChars="0" w:firstLine="480" w:firstLineChars="200"/>
              <w:rPr>
                <w:rFonts w:hint="eastAsia" w:ascii="Times New Roman" w:hAnsi="Times New Roman" w:eastAsia="宋体" w:cs="Times New Roman"/>
                <w:color w:val="000000"/>
                <w:kern w:val="2"/>
                <w:sz w:val="24"/>
                <w:szCs w:val="22"/>
                <w:lang w:val="en-US" w:eastAsia="zh-CN" w:bidi="ar-SA"/>
              </w:rPr>
            </w:pPr>
            <w:r>
              <w:rPr>
                <w:rFonts w:hint="eastAsia" w:ascii="Times New Roman" w:hAnsi="Times New Roman" w:eastAsia="宋体" w:cs="Times New Roman"/>
                <w:color w:val="000000"/>
                <w:kern w:val="2"/>
                <w:sz w:val="24"/>
                <w:szCs w:val="22"/>
                <w:lang w:val="en-US" w:eastAsia="zh-CN" w:bidi="ar-SA"/>
              </w:rPr>
              <w:t>签订委托处置协议</w:t>
            </w:r>
          </w:p>
          <w:p>
            <w:pPr>
              <w:autoSpaceDE w:val="0"/>
              <w:autoSpaceDN w:val="0"/>
              <w:adjustRightInd w:val="0"/>
              <w:spacing w:line="360" w:lineRule="auto"/>
              <w:ind w:firstLine="480" w:firstLineChars="200"/>
              <w:jc w:val="left"/>
              <w:rPr>
                <w:color w:val="0D0D0D" w:themeColor="text1" w:themeTint="F2"/>
                <w:kern w:val="0"/>
                <w:sz w:val="24"/>
                <w14:textFill>
                  <w14:solidFill>
                    <w14:schemeClr w14:val="tx1">
                      <w14:lumMod w14:val="95000"/>
                      <w14:lumOff w14:val="5000"/>
                    </w14:schemeClr>
                  </w14:solidFill>
                </w14:textFill>
              </w:rPr>
            </w:pPr>
            <w:r>
              <w:rPr>
                <w:rFonts w:hint="eastAsia"/>
                <w:color w:val="0D0D0D" w:themeColor="text1" w:themeTint="F2"/>
                <w:kern w:val="0"/>
                <w:sz w:val="24"/>
                <w14:textFill>
                  <w14:solidFill>
                    <w14:schemeClr w14:val="tx1">
                      <w14:lumMod w14:val="95000"/>
                      <w14:lumOff w14:val="5000"/>
                    </w14:schemeClr>
                  </w14:solidFill>
                </w14:textFill>
              </w:rPr>
              <w:t>根据安徽省环境保护厅公布的《安徽省危险废物经营许可证汇总统计表》，本次评价分析项目产生的危险废物</w:t>
            </w:r>
            <w:r>
              <w:rPr>
                <w:rFonts w:hint="eastAsia"/>
                <w:color w:val="000000"/>
                <w:kern w:val="0"/>
                <w:sz w:val="24"/>
              </w:rPr>
              <w:t>废油、废油桶（</w:t>
            </w:r>
            <w:r>
              <w:rPr>
                <w:color w:val="000000"/>
                <w:sz w:val="24"/>
              </w:rPr>
              <w:t>HW</w:t>
            </w:r>
            <w:r>
              <w:rPr>
                <w:rFonts w:hint="eastAsia"/>
                <w:color w:val="000000"/>
                <w:sz w:val="24"/>
                <w:lang w:val="en-US" w:eastAsia="zh-CN"/>
              </w:rPr>
              <w:t>08</w:t>
            </w:r>
            <w:r>
              <w:rPr>
                <w:rFonts w:hint="eastAsia"/>
                <w:color w:val="000000"/>
                <w:kern w:val="0"/>
                <w:sz w:val="24"/>
              </w:rPr>
              <w:t>）及</w:t>
            </w:r>
            <w:r>
              <w:rPr>
                <w:rFonts w:hint="eastAsia"/>
                <w:color w:val="0D0D0D" w:themeColor="text1" w:themeTint="F2"/>
                <w:kern w:val="0"/>
                <w:sz w:val="24"/>
                <w14:textFill>
                  <w14:solidFill>
                    <w14:schemeClr w14:val="tx1">
                      <w14:lumMod w14:val="95000"/>
                      <w14:lumOff w14:val="5000"/>
                    </w14:schemeClr>
                  </w14:solidFill>
                </w14:textFill>
              </w:rPr>
              <w:t>废含油手套、抹布</w:t>
            </w:r>
            <w:r>
              <w:rPr>
                <w:rFonts w:hint="eastAsia"/>
                <w:color w:val="000000"/>
                <w:kern w:val="0"/>
                <w:sz w:val="24"/>
              </w:rPr>
              <w:t>（</w:t>
            </w:r>
            <w:r>
              <w:rPr>
                <w:color w:val="000000"/>
                <w:sz w:val="24"/>
              </w:rPr>
              <w:t>HW</w:t>
            </w:r>
            <w:r>
              <w:rPr>
                <w:rFonts w:hint="eastAsia"/>
                <w:color w:val="000000"/>
                <w:sz w:val="24"/>
              </w:rPr>
              <w:t>49</w:t>
            </w:r>
            <w:r>
              <w:rPr>
                <w:rFonts w:hint="eastAsia"/>
                <w:color w:val="000000"/>
                <w:kern w:val="0"/>
                <w:sz w:val="24"/>
              </w:rPr>
              <w:t>）</w:t>
            </w:r>
            <w:r>
              <w:rPr>
                <w:rFonts w:hint="eastAsia"/>
                <w:color w:val="0D0D0D" w:themeColor="text1" w:themeTint="F2"/>
                <w:kern w:val="0"/>
                <w:sz w:val="24"/>
                <w14:textFill>
                  <w14:solidFill>
                    <w14:schemeClr w14:val="tx1">
                      <w14:lumMod w14:val="95000"/>
                      <w14:lumOff w14:val="5000"/>
                    </w14:schemeClr>
                  </w14:solidFill>
                </w14:textFill>
              </w:rPr>
              <w:t>有资质单位有能力接纳并利用、处置的部分单位如下：</w:t>
            </w:r>
          </w:p>
          <w:p>
            <w:pPr>
              <w:jc w:val="center"/>
              <w:rPr>
                <w:b/>
                <w:color w:val="000000"/>
                <w:sz w:val="24"/>
              </w:rPr>
            </w:pPr>
            <w:r>
              <w:rPr>
                <w:rFonts w:hint="eastAsia"/>
                <w:b/>
                <w:color w:val="000000"/>
                <w:sz w:val="24"/>
              </w:rPr>
              <w:t>表4-</w:t>
            </w:r>
            <w:r>
              <w:rPr>
                <w:rFonts w:hint="eastAsia"/>
                <w:b/>
                <w:color w:val="000000"/>
                <w:sz w:val="24"/>
                <w:lang w:val="en-US" w:eastAsia="zh-CN"/>
              </w:rPr>
              <w:t>4</w:t>
            </w:r>
            <w:r>
              <w:rPr>
                <w:rFonts w:hint="eastAsia"/>
                <w:b/>
                <w:color w:val="000000"/>
                <w:sz w:val="24"/>
              </w:rPr>
              <w:t xml:space="preserve"> 危险废物处置单位一览表</w:t>
            </w:r>
          </w:p>
          <w:tbl>
            <w:tblPr>
              <w:tblStyle w:val="26"/>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95"/>
              <w:gridCol w:w="1128"/>
              <w:gridCol w:w="50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市县</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企业名称</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许可证编号</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b/>
                      <w:bCs/>
                      <w:sz w:val="21"/>
                      <w:szCs w:val="21"/>
                    </w:rPr>
                  </w:pPr>
                  <w:r>
                    <w:rPr>
                      <w:rFonts w:hint="eastAsia"/>
                      <w:b/>
                      <w:bCs/>
                      <w:sz w:val="21"/>
                      <w:szCs w:val="21"/>
                    </w:rPr>
                    <w:t>核准经营范围、类别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芜湖致源环保科技有限公司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340203002</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HW08废矿物油与含矿物油废物、HW09油水烃水混合物或乳化液，HW12染料涂料废物，HW17表面处理废物，HW49其他废物。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芜湖海创环保科技有限责任公司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340222002</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HW02、HW04、HW06、HW08、HW09、HW11、HW12、HW13、HW17、HW18、HW22 、HW31、HW34、HW39、HW45、HW48、HW49等17大类，283小类。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芜湖市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安徽优环再生资源利用有限公司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340271001</w:t>
                  </w:r>
                </w:p>
              </w:tc>
              <w:tc>
                <w:tcPr>
                  <w:tcW w:w="5080"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HW06、HW08、HW09、HW11、HW12、HW13、HW16、HW17、HW18、HW22、HW32 、HW34、HW35、HW48、HW49、HW50等16大类、108小类。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687"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马鞍山市</w:t>
                  </w:r>
                </w:p>
              </w:tc>
              <w:tc>
                <w:tcPr>
                  <w:tcW w:w="1495"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rFonts w:hint="eastAsia"/>
                      <w:sz w:val="21"/>
                      <w:szCs w:val="21"/>
                    </w:rPr>
                    <w:t>马鞍山澳新环保科技有限公司</w:t>
                  </w:r>
                </w:p>
              </w:tc>
              <w:tc>
                <w:tcPr>
                  <w:tcW w:w="1128" w:type="dxa"/>
                  <w:shd w:val="clear" w:color="auto" w:fill="auto"/>
                  <w:vAlign w:val="center"/>
                </w:tcPr>
                <w:p>
                  <w:pPr>
                    <w:pStyle w:val="97"/>
                    <w:widowControl w:val="0"/>
                    <w:adjustRightInd w:val="0"/>
                    <w:snapToGrid w:val="0"/>
                    <w:ind w:left="-63" w:leftChars="-30" w:right="-63" w:rightChars="-30" w:firstLine="0" w:firstLineChars="0"/>
                    <w:jc w:val="center"/>
                    <w:rPr>
                      <w:sz w:val="21"/>
                      <w:szCs w:val="21"/>
                    </w:rPr>
                  </w:pPr>
                  <w:r>
                    <w:rPr>
                      <w:sz w:val="21"/>
                      <w:szCs w:val="21"/>
                    </w:rPr>
                    <w:t>340504001</w:t>
                  </w:r>
                </w:p>
              </w:tc>
              <w:tc>
                <w:tcPr>
                  <w:tcW w:w="5080" w:type="dxa"/>
                  <w:shd w:val="clear" w:color="auto" w:fill="auto"/>
                  <w:vAlign w:val="center"/>
                </w:tcPr>
                <w:p>
                  <w:pPr>
                    <w:pStyle w:val="97"/>
                    <w:widowControl w:val="0"/>
                    <w:adjustRightInd w:val="0"/>
                    <w:snapToGrid w:val="0"/>
                    <w:ind w:left="-63" w:leftChars="-30" w:right="-63" w:rightChars="-30" w:firstLine="412"/>
                    <w:jc w:val="center"/>
                    <w:rPr>
                      <w:sz w:val="21"/>
                      <w:szCs w:val="21"/>
                    </w:rPr>
                  </w:pPr>
                  <w:r>
                    <w:rPr>
                      <w:rFonts w:hint="eastAsia"/>
                      <w:sz w:val="21"/>
                      <w:szCs w:val="21"/>
                    </w:rPr>
                    <w:t>HW01-HW06、HW08、HW09、HW11-HW14、HW16-HW18、HW21-HW23、HW29、 HW31-HW40、HW45、HW46、HW48-HW50焚烧10000吨/年（含医疗废物1000吨）、物化处理13000吨/年、固化、稳定化及安全填埋10100吨/年。</w:t>
                  </w:r>
                </w:p>
              </w:tc>
            </w:tr>
          </w:tbl>
          <w:p>
            <w:pPr>
              <w:autoSpaceDE w:val="0"/>
              <w:autoSpaceDN w:val="0"/>
              <w:adjustRightInd w:val="0"/>
              <w:spacing w:line="360" w:lineRule="auto"/>
              <w:ind w:firstLine="480" w:firstLineChars="200"/>
              <w:jc w:val="left"/>
              <w:rPr>
                <w:color w:val="000000"/>
                <w:kern w:val="0"/>
                <w:sz w:val="24"/>
              </w:rPr>
            </w:pPr>
          </w:p>
          <w:p>
            <w:pPr>
              <w:autoSpaceDE w:val="0"/>
              <w:autoSpaceDN w:val="0"/>
              <w:adjustRightInd w:val="0"/>
              <w:spacing w:line="360" w:lineRule="auto"/>
              <w:ind w:firstLine="480" w:firstLineChars="200"/>
              <w:jc w:val="left"/>
              <w:rPr>
                <w:color w:val="000000"/>
                <w:kern w:val="0"/>
                <w:sz w:val="24"/>
              </w:rPr>
            </w:pPr>
            <w:r>
              <w:rPr>
                <w:rFonts w:hint="eastAsia"/>
                <w:color w:val="000000"/>
                <w:kern w:val="0"/>
                <w:sz w:val="24"/>
              </w:rPr>
              <w:t>从上表可以看出，建设单位产生的危险废物在安徽省内有多家适合的资质单位进行处理处置。</w:t>
            </w:r>
          </w:p>
          <w:p>
            <w:pPr>
              <w:pStyle w:val="80"/>
              <w:adjustRightInd w:val="0"/>
              <w:snapToGrid w:val="0"/>
              <w:spacing w:line="440" w:lineRule="exact"/>
              <w:ind w:firstLine="480" w:firstLineChars="200"/>
              <w:rPr>
                <w:rFonts w:ascii="Times New Roman" w:hAnsi="Times New Roman" w:eastAsia="宋体"/>
                <w:color w:val="000000"/>
                <w:sz w:val="24"/>
                <w:szCs w:val="24"/>
              </w:rPr>
            </w:pPr>
            <w:r>
              <w:rPr>
                <w:rFonts w:hint="eastAsia" w:ascii="Times New Roman" w:hAnsi="Times New Roman" w:eastAsia="宋体"/>
                <w:color w:val="000000"/>
                <w:sz w:val="24"/>
                <w:szCs w:val="24"/>
              </w:rPr>
              <w:t>综上所述，建设单位需做好强化管理，一般固废、生活垃圾的收集、贮存和清运工作，危险废物的收集、暂存，并采取安全处置方法，经处置后固体废弃物不会对周围环境产生明显的不利影响。</w:t>
            </w:r>
          </w:p>
          <w:p>
            <w:pPr>
              <w:spacing w:line="460" w:lineRule="exact"/>
              <w:ind w:firstLine="482"/>
              <w:rPr>
                <w:b/>
                <w:color w:val="000000"/>
                <w:sz w:val="24"/>
              </w:rPr>
            </w:pPr>
            <w:r>
              <w:rPr>
                <w:rFonts w:hint="eastAsia"/>
                <w:b/>
                <w:color w:val="000000"/>
                <w:sz w:val="24"/>
              </w:rPr>
              <w:t>五、土壤环境影响分析</w:t>
            </w:r>
          </w:p>
          <w:p>
            <w:pPr>
              <w:autoSpaceDE w:val="0"/>
              <w:spacing w:line="360" w:lineRule="auto"/>
              <w:ind w:firstLine="480" w:firstLineChars="200"/>
              <w:rPr>
                <w:rFonts w:hint="eastAsia" w:ascii="Times New Roman" w:hAnsi="Times New Roman" w:cs="Times New Roman"/>
                <w:color w:val="000000"/>
                <w:sz w:val="24"/>
                <w:szCs w:val="22"/>
              </w:rPr>
            </w:pPr>
            <w:r>
              <w:rPr>
                <w:rFonts w:hint="eastAsia" w:ascii="Times New Roman" w:hAnsi="Times New Roman" w:cs="Times New Roman"/>
                <w:color w:val="000000"/>
                <w:sz w:val="24"/>
                <w:szCs w:val="22"/>
              </w:rPr>
              <w:t>根据《环境影响评价技术导则土壤环境（试行）》（HJ964-2018）中附录A土壤环境影响评价项目类别可知，本项目为其他非金属矿物制品制造，属于附录A中制造业—</w:t>
            </w:r>
            <w:r>
              <w:rPr>
                <w:rFonts w:hint="eastAsia" w:ascii="Times New Roman" w:hAnsi="Times New Roman" w:cs="Times New Roman"/>
                <w:color w:val="000000"/>
                <w:sz w:val="24"/>
                <w:szCs w:val="22"/>
                <w:lang w:val="zh-CN"/>
              </w:rPr>
              <w:t>金属冶炼和压延却工及非金属矿物制品</w:t>
            </w:r>
            <w:r>
              <w:rPr>
                <w:rFonts w:hint="eastAsia" w:ascii="Times New Roman" w:hAnsi="Times New Roman" w:cs="Times New Roman"/>
                <w:color w:val="000000"/>
                <w:sz w:val="24"/>
                <w:szCs w:val="22"/>
              </w:rPr>
              <w:t>—其他。土壤环境影响评价项目类别为Ⅲ类。</w:t>
            </w:r>
          </w:p>
          <w:p>
            <w:pPr>
              <w:widowControl/>
              <w:spacing w:line="360" w:lineRule="auto"/>
              <w:ind w:firstLine="480" w:firstLineChars="200"/>
              <w:rPr>
                <w:sz w:val="24"/>
                <w:szCs w:val="22"/>
              </w:rPr>
            </w:pPr>
            <w:r>
              <w:rPr>
                <w:sz w:val="24"/>
                <w:szCs w:val="22"/>
              </w:rPr>
              <w:t>（1）占地规模划分</w:t>
            </w:r>
          </w:p>
          <w:p>
            <w:pPr>
              <w:widowControl/>
              <w:spacing w:line="360" w:lineRule="auto"/>
              <w:ind w:firstLine="480" w:firstLineChars="200"/>
              <w:rPr>
                <w:sz w:val="24"/>
                <w:szCs w:val="22"/>
              </w:rPr>
            </w:pPr>
            <w:r>
              <w:rPr>
                <w:sz w:val="24"/>
                <w:szCs w:val="22"/>
              </w:rPr>
              <w:t>根据《环境影响评价技术导则土壤环境（试行）》（HJ964-2018）中6.2.2.1条，将建设项目占地规模分为大型（≥50hm</w:t>
            </w:r>
            <w:r>
              <w:rPr>
                <w:sz w:val="24"/>
                <w:szCs w:val="22"/>
                <w:vertAlign w:val="superscript"/>
              </w:rPr>
              <w:t>2</w:t>
            </w:r>
            <w:r>
              <w:rPr>
                <w:sz w:val="24"/>
                <w:szCs w:val="22"/>
              </w:rPr>
              <w:t>）、中型（5-50hm</w:t>
            </w:r>
            <w:r>
              <w:rPr>
                <w:sz w:val="24"/>
                <w:szCs w:val="22"/>
                <w:vertAlign w:val="superscript"/>
              </w:rPr>
              <w:t>2</w:t>
            </w:r>
            <w:r>
              <w:rPr>
                <w:sz w:val="24"/>
                <w:szCs w:val="22"/>
              </w:rPr>
              <w:t>）、小型（≤5hm</w:t>
            </w:r>
            <w:r>
              <w:rPr>
                <w:sz w:val="24"/>
                <w:szCs w:val="22"/>
                <w:vertAlign w:val="superscript"/>
              </w:rPr>
              <w:t>2</w:t>
            </w:r>
            <w:r>
              <w:rPr>
                <w:sz w:val="24"/>
                <w:szCs w:val="22"/>
              </w:rPr>
              <w:t>），建设项目占地主要永久占地。</w:t>
            </w:r>
          </w:p>
          <w:p>
            <w:pPr>
              <w:widowControl/>
              <w:spacing w:line="360" w:lineRule="auto"/>
              <w:ind w:firstLine="480" w:firstLineChars="200"/>
              <w:rPr>
                <w:sz w:val="24"/>
                <w:szCs w:val="22"/>
              </w:rPr>
            </w:pPr>
            <w:r>
              <w:rPr>
                <w:sz w:val="24"/>
                <w:szCs w:val="22"/>
              </w:rPr>
              <w:t>本项目永久占地面积≤5hm</w:t>
            </w:r>
            <w:r>
              <w:rPr>
                <w:sz w:val="24"/>
                <w:szCs w:val="22"/>
                <w:vertAlign w:val="superscript"/>
              </w:rPr>
              <w:t>2</w:t>
            </w:r>
            <w:r>
              <w:rPr>
                <w:sz w:val="24"/>
                <w:szCs w:val="22"/>
              </w:rPr>
              <w:t>，占地规模属于小型。</w:t>
            </w:r>
          </w:p>
          <w:p>
            <w:pPr>
              <w:widowControl/>
              <w:spacing w:line="360" w:lineRule="auto"/>
              <w:ind w:firstLine="480" w:firstLineChars="200"/>
              <w:rPr>
                <w:sz w:val="24"/>
                <w:szCs w:val="22"/>
              </w:rPr>
            </w:pPr>
            <w:r>
              <w:rPr>
                <w:sz w:val="24"/>
                <w:szCs w:val="22"/>
              </w:rPr>
              <w:t>（2）敏感程度划分</w:t>
            </w:r>
          </w:p>
          <w:p>
            <w:pPr>
              <w:widowControl/>
              <w:spacing w:line="360" w:lineRule="auto"/>
              <w:ind w:firstLine="480" w:firstLineChars="200"/>
              <w:rPr>
                <w:sz w:val="24"/>
                <w:szCs w:val="22"/>
              </w:rPr>
            </w:pPr>
            <w:r>
              <w:rPr>
                <w:sz w:val="24"/>
                <w:szCs w:val="22"/>
              </w:rPr>
              <w:t>根据《环境影响评价技术导则土壤环境（试行）》（HJ964-2018）中6.2.2.2条，建设项目所在地周边的土壤环境敏感程度分为敏感、较敏感、不敏感，判断依据见下表。</w:t>
            </w:r>
          </w:p>
          <w:p>
            <w:pPr>
              <w:spacing w:line="360" w:lineRule="auto"/>
              <w:jc w:val="center"/>
              <w:rPr>
                <w:rFonts w:ascii="Times New Roman" w:hAnsi="Times New Roman"/>
                <w:b/>
                <w:sz w:val="24"/>
                <w:szCs w:val="24"/>
              </w:rPr>
            </w:pPr>
            <w:r>
              <w:rPr>
                <w:rFonts w:ascii="Times New Roman" w:hAnsi="Times New Roman"/>
                <w:b/>
                <w:sz w:val="24"/>
                <w:szCs w:val="24"/>
              </w:rPr>
              <w:t>表</w:t>
            </w:r>
            <w:r>
              <w:rPr>
                <w:rFonts w:hint="eastAsia"/>
                <w:b/>
                <w:sz w:val="24"/>
                <w:szCs w:val="24"/>
                <w:lang w:val="en-US" w:eastAsia="zh-CN"/>
              </w:rPr>
              <w:t>4-5</w:t>
            </w:r>
            <w:r>
              <w:rPr>
                <w:rFonts w:ascii="Times New Roman" w:hAnsi="Times New Roman"/>
                <w:b/>
                <w:sz w:val="24"/>
                <w:szCs w:val="24"/>
              </w:rPr>
              <w:t xml:space="preserve">  污染影响型敏感程度分级表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6102"/>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07" w:type="dxa"/>
                  <w:noWrap w:val="0"/>
                  <w:vAlign w:val="center"/>
                </w:tcPr>
                <w:p>
                  <w:pPr>
                    <w:spacing w:line="240" w:lineRule="atLeast"/>
                    <w:jc w:val="center"/>
                    <w:rPr>
                      <w:rFonts w:ascii="Times New Roman" w:hAnsi="Times New Roman"/>
                      <w:b/>
                      <w:bCs/>
                      <w:szCs w:val="21"/>
                    </w:rPr>
                  </w:pPr>
                  <w:r>
                    <w:rPr>
                      <w:rFonts w:ascii="Times New Roman" w:hAnsi="Times New Roman"/>
                      <w:b/>
                      <w:bCs/>
                      <w:szCs w:val="21"/>
                    </w:rPr>
                    <w:t>敏感程度</w:t>
                  </w:r>
                </w:p>
              </w:tc>
              <w:tc>
                <w:tcPr>
                  <w:tcW w:w="5932" w:type="dxa"/>
                  <w:noWrap w:val="0"/>
                  <w:vAlign w:val="center"/>
                </w:tcPr>
                <w:p>
                  <w:pPr>
                    <w:jc w:val="center"/>
                    <w:rPr>
                      <w:rFonts w:ascii="Times New Roman" w:hAnsi="Times New Roman"/>
                      <w:b/>
                      <w:bCs/>
                      <w:szCs w:val="21"/>
                    </w:rPr>
                  </w:pPr>
                  <w:r>
                    <w:rPr>
                      <w:rFonts w:ascii="Times New Roman" w:hAnsi="Times New Roman"/>
                      <w:b/>
                      <w:bCs/>
                      <w:szCs w:val="21"/>
                    </w:rPr>
                    <w:t>判定依据</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1" w:hRule="atLeast"/>
                <w:tblHeader/>
                <w:jc w:val="center"/>
              </w:trPr>
              <w:tc>
                <w:tcPr>
                  <w:tcW w:w="1707" w:type="dxa"/>
                  <w:noWrap w:val="0"/>
                  <w:vAlign w:val="center"/>
                </w:tcPr>
                <w:p>
                  <w:pPr>
                    <w:spacing w:line="240" w:lineRule="atLeast"/>
                    <w:jc w:val="center"/>
                    <w:rPr>
                      <w:rFonts w:ascii="Times New Roman" w:hAnsi="Times New Roman"/>
                      <w:szCs w:val="21"/>
                    </w:rPr>
                  </w:pPr>
                  <w:r>
                    <w:rPr>
                      <w:rFonts w:ascii="Times New Roman" w:hAnsi="Times New Roman"/>
                      <w:szCs w:val="21"/>
                    </w:rPr>
                    <w:t>敏感</w:t>
                  </w:r>
                </w:p>
              </w:tc>
              <w:tc>
                <w:tcPr>
                  <w:tcW w:w="5932" w:type="dxa"/>
                  <w:noWrap w:val="0"/>
                  <w:vAlign w:val="center"/>
                </w:tcPr>
                <w:p>
                  <w:pPr>
                    <w:jc w:val="center"/>
                    <w:rPr>
                      <w:rFonts w:ascii="Times New Roman" w:hAnsi="Times New Roman"/>
                      <w:szCs w:val="21"/>
                    </w:rPr>
                  </w:pPr>
                  <w:r>
                    <w:rPr>
                      <w:rFonts w:ascii="Times New Roman" w:hAnsi="Times New Roman"/>
                      <w:szCs w:val="21"/>
                    </w:rPr>
                    <w:t>建设项目周边存在耕地、园地、牧草地、饮用水水源地或居民区、学校、医院、疗养院、养老院等土壤环境敏感目标的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707" w:type="dxa"/>
                  <w:noWrap w:val="0"/>
                  <w:vAlign w:val="center"/>
                </w:tcPr>
                <w:p>
                  <w:pPr>
                    <w:spacing w:line="240" w:lineRule="atLeast"/>
                    <w:jc w:val="center"/>
                    <w:rPr>
                      <w:rFonts w:ascii="Times New Roman" w:hAnsi="Times New Roman"/>
                      <w:szCs w:val="21"/>
                    </w:rPr>
                  </w:pPr>
                  <w:r>
                    <w:rPr>
                      <w:rFonts w:ascii="Times New Roman" w:hAnsi="Times New Roman"/>
                      <w:szCs w:val="21"/>
                    </w:rPr>
                    <w:t>较敏感</w:t>
                  </w:r>
                </w:p>
              </w:tc>
              <w:tc>
                <w:tcPr>
                  <w:tcW w:w="5932" w:type="dxa"/>
                  <w:noWrap w:val="0"/>
                  <w:vAlign w:val="center"/>
                </w:tcPr>
                <w:p>
                  <w:pPr>
                    <w:jc w:val="center"/>
                    <w:rPr>
                      <w:rFonts w:ascii="Times New Roman" w:hAnsi="Times New Roman"/>
                      <w:szCs w:val="21"/>
                    </w:rPr>
                  </w:pPr>
                  <w:r>
                    <w:rPr>
                      <w:rFonts w:ascii="Times New Roman" w:hAnsi="Times New Roman"/>
                      <w:szCs w:val="21"/>
                    </w:rPr>
                    <w:t>建设项目周边存在其他土壤环境敏感目标的</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7" w:hRule="atLeast"/>
                <w:tblHeader/>
                <w:jc w:val="center"/>
              </w:trPr>
              <w:tc>
                <w:tcPr>
                  <w:tcW w:w="1707" w:type="dxa"/>
                  <w:noWrap w:val="0"/>
                  <w:vAlign w:val="center"/>
                </w:tcPr>
                <w:p>
                  <w:pPr>
                    <w:spacing w:line="240" w:lineRule="atLeast"/>
                    <w:jc w:val="center"/>
                    <w:rPr>
                      <w:rFonts w:ascii="Times New Roman" w:hAnsi="Times New Roman"/>
                      <w:szCs w:val="21"/>
                    </w:rPr>
                  </w:pPr>
                  <w:r>
                    <w:rPr>
                      <w:rFonts w:ascii="Times New Roman" w:hAnsi="Times New Roman"/>
                      <w:szCs w:val="21"/>
                    </w:rPr>
                    <w:t>不敏感</w:t>
                  </w:r>
                </w:p>
              </w:tc>
              <w:tc>
                <w:tcPr>
                  <w:tcW w:w="5932" w:type="dxa"/>
                  <w:noWrap w:val="0"/>
                  <w:vAlign w:val="center"/>
                </w:tcPr>
                <w:p>
                  <w:pPr>
                    <w:jc w:val="center"/>
                    <w:rPr>
                      <w:rFonts w:ascii="Times New Roman" w:hAnsi="Times New Roman"/>
                      <w:szCs w:val="21"/>
                    </w:rPr>
                  </w:pPr>
                  <w:r>
                    <w:rPr>
                      <w:rFonts w:ascii="Times New Roman" w:hAnsi="Times New Roman"/>
                      <w:szCs w:val="21"/>
                    </w:rPr>
                    <w:t>其他情况</w:t>
                  </w:r>
                </w:p>
              </w:tc>
            </w:tr>
          </w:tbl>
          <w:p>
            <w:pPr>
              <w:widowControl/>
              <w:spacing w:line="360" w:lineRule="auto"/>
              <w:ind w:firstLine="480" w:firstLineChars="200"/>
              <w:rPr>
                <w:rFonts w:ascii="Times New Roman" w:hAnsi="Times New Roman"/>
                <w:sz w:val="24"/>
                <w:szCs w:val="22"/>
              </w:rPr>
            </w:pPr>
            <w:r>
              <w:rPr>
                <w:rFonts w:hint="eastAsia"/>
                <w:color w:val="000000"/>
                <w:sz w:val="24"/>
              </w:rPr>
              <w:t>项目的土壤环境敏感程度为不敏感</w:t>
            </w:r>
            <w:r>
              <w:rPr>
                <w:rFonts w:ascii="Times New Roman" w:hAnsi="Times New Roman"/>
                <w:sz w:val="24"/>
                <w:szCs w:val="22"/>
              </w:rPr>
              <w:t>。</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（3）评价等级判定</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本项目属于污染影响型项目，土壤环境影响评价工作等级划分为一级、二级、三级。</w:t>
            </w:r>
          </w:p>
          <w:p>
            <w:pPr>
              <w:widowControl/>
              <w:spacing w:line="360" w:lineRule="auto"/>
              <w:ind w:firstLine="480" w:firstLineChars="200"/>
              <w:rPr>
                <w:rFonts w:ascii="Times New Roman" w:hAnsi="Times New Roman"/>
                <w:sz w:val="24"/>
                <w:szCs w:val="22"/>
              </w:rPr>
            </w:pPr>
            <w:r>
              <w:rPr>
                <w:rFonts w:ascii="Times New Roman" w:hAnsi="Times New Roman"/>
                <w:sz w:val="24"/>
                <w:szCs w:val="22"/>
              </w:rPr>
              <w:t>根据《环境影响评价技术导则土壤环境（试行）》（HJ964-2018）中6.2.2.3条，根据土城环境影响评价项目类别、占地规模与敏感程度划分评价工作等级，详见下表。</w:t>
            </w:r>
          </w:p>
          <w:p>
            <w:pPr>
              <w:spacing w:line="360" w:lineRule="auto"/>
              <w:jc w:val="center"/>
              <w:rPr>
                <w:rFonts w:ascii="Times New Roman" w:hAnsi="Times New Roman"/>
                <w:b/>
                <w:sz w:val="24"/>
                <w:szCs w:val="24"/>
              </w:rPr>
            </w:pPr>
            <w:r>
              <w:rPr>
                <w:rFonts w:ascii="Times New Roman" w:hAnsi="Times New Roman"/>
                <w:b/>
                <w:sz w:val="24"/>
                <w:szCs w:val="24"/>
              </w:rPr>
              <w:t>表</w:t>
            </w:r>
            <w:r>
              <w:rPr>
                <w:rFonts w:hint="eastAsia"/>
                <w:b/>
                <w:sz w:val="24"/>
                <w:szCs w:val="24"/>
                <w:lang w:val="en-US" w:eastAsia="zh-CN"/>
              </w:rPr>
              <w:t>4</w:t>
            </w:r>
            <w:r>
              <w:rPr>
                <w:rFonts w:ascii="Times New Roman" w:hAnsi="Times New Roman"/>
                <w:b/>
                <w:sz w:val="24"/>
                <w:szCs w:val="24"/>
              </w:rPr>
              <w:t>-</w:t>
            </w:r>
            <w:r>
              <w:rPr>
                <w:rFonts w:hint="eastAsia"/>
                <w:b/>
                <w:sz w:val="24"/>
                <w:szCs w:val="24"/>
                <w:lang w:val="en-US" w:eastAsia="zh-CN"/>
              </w:rPr>
              <w:t>6</w:t>
            </w:r>
            <w:r>
              <w:rPr>
                <w:rFonts w:ascii="Times New Roman" w:hAnsi="Times New Roman"/>
                <w:b/>
                <w:sz w:val="24"/>
                <w:szCs w:val="24"/>
              </w:rPr>
              <w:t xml:space="preserve">  污染影响型敏感程度分级表</w:t>
            </w:r>
          </w:p>
          <w:tbl>
            <w:tblPr>
              <w:tblStyle w:val="26"/>
              <w:tblW w:w="4815"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1"/>
              <w:gridCol w:w="702"/>
              <w:gridCol w:w="683"/>
              <w:gridCol w:w="644"/>
              <w:gridCol w:w="683"/>
              <w:gridCol w:w="656"/>
              <w:gridCol w:w="629"/>
              <w:gridCol w:w="670"/>
              <w:gridCol w:w="641"/>
              <w:gridCol w:w="5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3" w:hRule="atLeast"/>
                <w:tblHeader/>
                <w:jc w:val="center"/>
              </w:trPr>
              <w:tc>
                <w:tcPr>
                  <w:tcW w:w="1689" w:type="dxa"/>
                  <w:vMerge w:val="restart"/>
                  <w:noWrap w:val="0"/>
                  <w:vAlign w:val="center"/>
                </w:tcPr>
                <w:p>
                  <w:pPr>
                    <w:spacing w:line="240" w:lineRule="atLeast"/>
                    <w:jc w:val="center"/>
                    <w:rPr>
                      <w:rFonts w:ascii="Times New Roman" w:hAnsi="Times New Roman"/>
                      <w:szCs w:val="21"/>
                    </w:rPr>
                  </w:pPr>
                  <w:r>
                    <w:rPr>
                      <w:rFonts w:ascii="Times New Roman" w:hAnsi="Times New Roman"/>
                      <w:sz w:val="24"/>
                    </w:rPr>
                    <mc:AlternateContent>
                      <mc:Choice Requires="wps">
                        <w:drawing>
                          <wp:anchor distT="0" distB="0" distL="114300" distR="114300" simplePos="0" relativeHeight="251661312" behindDoc="0" locked="0" layoutInCell="1" allowOverlap="1">
                            <wp:simplePos x="0" y="0"/>
                            <wp:positionH relativeFrom="column">
                              <wp:posOffset>553085</wp:posOffset>
                            </wp:positionH>
                            <wp:positionV relativeFrom="paragraph">
                              <wp:posOffset>4445</wp:posOffset>
                            </wp:positionV>
                            <wp:extent cx="963295" cy="4648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963295" cy="464820"/>
                                    </a:xfrm>
                                    <a:prstGeom prst="rect">
                                      <a:avLst/>
                                    </a:prstGeom>
                                    <a:noFill/>
                                    <a:ln>
                                      <a:noFill/>
                                    </a:ln>
                                  </wps:spPr>
                                  <wps:txbx>
                                    <w:txbxContent>
                                      <w:p>
                                        <w:pPr>
                                          <w:rPr>
                                            <w:rFonts w:hint="eastAsia"/>
                                          </w:rPr>
                                        </w:pPr>
                                        <w:r>
                                          <w:rPr>
                                            <w:rFonts w:hint="eastAsia"/>
                                          </w:rPr>
                                          <w:t>占地</w:t>
                                        </w:r>
                                      </w:p>
                                      <w:p>
                                        <w:r>
                                          <w:rPr>
                                            <w:rFonts w:hint="eastAsia"/>
                                          </w:rPr>
                                          <w:t>规模</w:t>
                                        </w:r>
                                      </w:p>
                                    </w:txbxContent>
                                  </wps:txbx>
                                  <wps:bodyPr upright="1"/>
                                </wps:wsp>
                              </a:graphicData>
                            </a:graphic>
                          </wp:anchor>
                        </w:drawing>
                      </mc:Choice>
                      <mc:Fallback>
                        <w:pict>
                          <v:shape id="_x0000_s1026" o:spid="_x0000_s1026" o:spt="202" type="#_x0000_t202" style="position:absolute;left:0pt;margin-left:43.55pt;margin-top:0.35pt;height:36.6pt;width:75.85pt;z-index:251661312;mso-width-relative:page;mso-height-relative:page;" filled="f" stroked="f" coordsize="21600,21600" o:gfxdata="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A6iIGx1AAAAAYB&#10;AAAPAAAAAAAAAAEAIAAAACIAAABkcnMvZG93bnJldi54bWxQSwECFAAUAAAACACHTuJAuaMnn60B&#10;AABPAwAADgAAAAAAAAABACAAAAAjAQAAZHJzL2Uyb0RvYy54bWxQSwUGAAAAAAYABgBZAQAAQgUA&#10;AAAA&#10;">
                            <v:fill on="f" focussize="0,0"/>
                            <v:stroke on="f"/>
                            <v:imagedata o:title=""/>
                            <o:lock v:ext="edit" aspectratio="f"/>
                            <v:textbox>
                              <w:txbxContent>
                                <w:p>
                                  <w:pPr>
                                    <w:rPr>
                                      <w:rFonts w:hint="eastAsia"/>
                                    </w:rPr>
                                  </w:pPr>
                                  <w:r>
                                    <w:rPr>
                                      <w:rFonts w:hint="eastAsia"/>
                                    </w:rPr>
                                    <w:t>占地</w:t>
                                  </w:r>
                                </w:p>
                                <w:p>
                                  <w:r>
                                    <w:rPr>
                                      <w:rFonts w:hint="eastAsia"/>
                                    </w:rPr>
                                    <w:t>规模</w:t>
                                  </w:r>
                                </w:p>
                              </w:txbxContent>
                            </v:textbox>
                          </v:shape>
                        </w:pict>
                      </mc:Fallback>
                    </mc:AlternateContent>
                  </w:r>
                  <w:r>
                    <w:rPr>
                      <w:rFonts w:ascii="Times New Roman" w:hAnsi="Times New Roman"/>
                      <w:sz w:val="24"/>
                    </w:rPr>
                    <mc:AlternateContent>
                      <mc:Choice Requires="wps">
                        <w:drawing>
                          <wp:anchor distT="0" distB="0" distL="114300" distR="114300" simplePos="0" relativeHeight="251663360" behindDoc="0" locked="0" layoutInCell="1" allowOverlap="1">
                            <wp:simplePos x="0" y="0"/>
                            <wp:positionH relativeFrom="column">
                              <wp:posOffset>-142875</wp:posOffset>
                            </wp:positionH>
                            <wp:positionV relativeFrom="paragraph">
                              <wp:posOffset>544195</wp:posOffset>
                            </wp:positionV>
                            <wp:extent cx="963295" cy="46482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963295" cy="464820"/>
                                    </a:xfrm>
                                    <a:prstGeom prst="rect">
                                      <a:avLst/>
                                    </a:prstGeom>
                                    <a:noFill/>
                                    <a:ln>
                                      <a:noFill/>
                                    </a:ln>
                                  </wps:spPr>
                                  <wps:txbx>
                                    <w:txbxContent>
                                      <w:p>
                                        <w:r>
                                          <w:rPr>
                                            <w:rFonts w:hint="eastAsia"/>
                                          </w:rPr>
                                          <w:t>敏感程度</w:t>
                                        </w:r>
                                      </w:p>
                                    </w:txbxContent>
                                  </wps:txbx>
                                  <wps:bodyPr upright="1"/>
                                </wps:wsp>
                              </a:graphicData>
                            </a:graphic>
                          </wp:anchor>
                        </w:drawing>
                      </mc:Choice>
                      <mc:Fallback>
                        <w:pict>
                          <v:shape id="_x0000_s1026" o:spid="_x0000_s1026" o:spt="202" type="#_x0000_t202" style="position:absolute;left:0pt;margin-left:-11.25pt;margin-top:42.85pt;height:36.6pt;width:75.85pt;z-index:251663360;mso-width-relative:page;mso-height-relative:page;" filled="f" stroked="f" coordsize="21600,21600" o:gfxdata="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xa9IdcA&#10;AAAKAQAADwAAAAAAAAABACAAAAAiAAAAZHJzL2Rvd25yZXYueG1sUEsBAhQAFAAAAAgAh07iQI31&#10;n0uuAQAATwMAAA4AAAAAAAAAAQAgAAAAJgEAAGRycy9lMm9Eb2MueG1sUEsFBgAAAAAGAAYAWQEA&#10;AEYFAAAAAA==&#10;">
                            <v:fill on="f" focussize="0,0"/>
                            <v:stroke on="f"/>
                            <v:imagedata o:title=""/>
                            <o:lock v:ext="edit" aspectratio="f"/>
                            <v:textbox>
                              <w:txbxContent>
                                <w:p>
                                  <w:r>
                                    <w:rPr>
                                      <w:rFonts w:hint="eastAsia"/>
                                    </w:rPr>
                                    <w:t>敏感程度</w:t>
                                  </w:r>
                                </w:p>
                              </w:txbxContent>
                            </v:textbox>
                          </v:shape>
                        </w:pict>
                      </mc:Fallback>
                    </mc:AlternateContent>
                  </w:r>
                  <w:r>
                    <w:rPr>
                      <w:rFonts w:ascii="Times New Roman" w:hAnsi="Times New Roman"/>
                      <w:sz w:val="24"/>
                    </w:rPr>
                    <mc:AlternateContent>
                      <mc:Choice Requires="wps">
                        <w:drawing>
                          <wp:anchor distT="0" distB="0" distL="114300" distR="114300" simplePos="0" relativeHeight="251662336" behindDoc="0" locked="0" layoutInCell="1" allowOverlap="1">
                            <wp:simplePos x="0" y="0"/>
                            <wp:positionH relativeFrom="column">
                              <wp:posOffset>-154940</wp:posOffset>
                            </wp:positionH>
                            <wp:positionV relativeFrom="paragraph">
                              <wp:posOffset>-5715</wp:posOffset>
                            </wp:positionV>
                            <wp:extent cx="963295" cy="46482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963295" cy="464820"/>
                                    </a:xfrm>
                                    <a:prstGeom prst="rect">
                                      <a:avLst/>
                                    </a:prstGeom>
                                    <a:noFill/>
                                    <a:ln>
                                      <a:noFill/>
                                    </a:ln>
                                  </wps:spPr>
                                  <wps:txbx>
                                    <w:txbxContent>
                                      <w:p>
                                        <w:pPr>
                                          <w:rPr>
                                            <w:rFonts w:hint="eastAsia"/>
                                          </w:rPr>
                                        </w:pPr>
                                        <w:r>
                                          <w:rPr>
                                            <w:rFonts w:hint="eastAsia"/>
                                          </w:rPr>
                                          <w:t>评价工作</w:t>
                                        </w:r>
                                      </w:p>
                                      <w:p>
                                        <w:r>
                                          <w:rPr>
                                            <w:rFonts w:hint="eastAsia"/>
                                          </w:rPr>
                                          <w:t>等级</w:t>
                                        </w:r>
                                      </w:p>
                                    </w:txbxContent>
                                  </wps:txbx>
                                  <wps:bodyPr upright="1"/>
                                </wps:wsp>
                              </a:graphicData>
                            </a:graphic>
                          </wp:anchor>
                        </w:drawing>
                      </mc:Choice>
                      <mc:Fallback>
                        <w:pict>
                          <v:shape id="_x0000_s1026" o:spid="_x0000_s1026" o:spt="202" type="#_x0000_t202" style="position:absolute;left:0pt;margin-left:-12.2pt;margin-top:-0.45pt;height:36.6pt;width:75.85pt;z-index:251662336;mso-width-relative:page;mso-height-relative:page;" filled="f" stroked="f" coordsize="21600,21600" o:gfxdata="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q7AC81gAA&#10;AAgBAAAPAAAAAAAAAAEAIAAAACIAAABkcnMvZG93bnJldi54bWxQSwECFAAUAAAACACHTuJAkAkm&#10;7a4BAABPAwAADgAAAAAAAAABACAAAAAlAQAAZHJzL2Uyb0RvYy54bWxQSwUGAAAAAAYABgBZAQAA&#10;RQUAAAAA&#10;">
                            <v:fill on="f" focussize="0,0"/>
                            <v:stroke on="f"/>
                            <v:imagedata o:title=""/>
                            <o:lock v:ext="edit" aspectratio="f"/>
                            <v:textbox>
                              <w:txbxContent>
                                <w:p>
                                  <w:pPr>
                                    <w:rPr>
                                      <w:rFonts w:hint="eastAsia"/>
                                    </w:rPr>
                                  </w:pPr>
                                  <w:r>
                                    <w:rPr>
                                      <w:rFonts w:hint="eastAsia"/>
                                    </w:rPr>
                                    <w:t>评价工作</w:t>
                                  </w:r>
                                </w:p>
                                <w:p>
                                  <w:r>
                                    <w:rPr>
                                      <w:rFonts w:hint="eastAsia"/>
                                    </w:rPr>
                                    <w:t>等级</w:t>
                                  </w:r>
                                </w:p>
                              </w:txbxContent>
                            </v:textbox>
                          </v:shape>
                        </w:pict>
                      </mc:Fallback>
                    </mc:AlternateContent>
                  </w:r>
                  <w:r>
                    <w:rPr>
                      <w:rFonts w:ascii="Times New Roman" w:hAnsi="Times New Roman"/>
                      <w:sz w:val="24"/>
                    </w:rPr>
                    <mc:AlternateContent>
                      <mc:Choice Requires="wps">
                        <w:drawing>
                          <wp:anchor distT="0" distB="0" distL="114300" distR="114300" simplePos="0" relativeHeight="251660288" behindDoc="0" locked="0" layoutInCell="1" allowOverlap="1">
                            <wp:simplePos x="0" y="0"/>
                            <wp:positionH relativeFrom="column">
                              <wp:posOffset>363855</wp:posOffset>
                            </wp:positionH>
                            <wp:positionV relativeFrom="paragraph">
                              <wp:posOffset>3810</wp:posOffset>
                            </wp:positionV>
                            <wp:extent cx="803910" cy="803275"/>
                            <wp:effectExtent l="3175" t="3175" r="12065" b="12700"/>
                            <wp:wrapNone/>
                            <wp:docPr id="11" name="直接连接符 11"/>
                            <wp:cNvGraphicFramePr/>
                            <a:graphic xmlns:a="http://schemas.openxmlformats.org/drawingml/2006/main">
                              <a:graphicData uri="http://schemas.microsoft.com/office/word/2010/wordprocessingShape">
                                <wps:wsp>
                                  <wps:cNvCnPr/>
                                  <wps:spPr>
                                    <a:xfrm>
                                      <a:off x="0" y="0"/>
                                      <a:ext cx="803910" cy="8032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8.65pt;margin-top:0.3pt;height:63.25pt;width:63.3pt;z-index:251660288;mso-width-relative:page;mso-height-relative:page;" filled="f" stroked="t" coordsize="21600,21600" o:gfxdata="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BxIrVPVAAAABwEAAA8AAAAAAAAAAQAgAAAAIgAAAGRycy9kb3ducmV2LnhtbFBLAQIU&#10;ABQAAAAIAIdO4kAsB3OI9gEAAOoDAAAOAAAAAAAAAAEAIAAAACQBAABkcnMvZTJvRG9jLnhtbFBL&#10;BQYAAAAABgAGAFkBAACMBQAAAAA=&#10;">
                            <v:fill on="f" focussize="0,0"/>
                            <v:stroke color="#000000" joinstyle="round"/>
                            <v:imagedata o:title=""/>
                            <o:lock v:ext="edit" aspectratio="f"/>
                          </v:line>
                        </w:pict>
                      </mc:Fallback>
                    </mc:AlternateContent>
                  </w: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-59055</wp:posOffset>
                            </wp:positionH>
                            <wp:positionV relativeFrom="paragraph">
                              <wp:posOffset>398145</wp:posOffset>
                            </wp:positionV>
                            <wp:extent cx="1270000" cy="433070"/>
                            <wp:effectExtent l="1270" t="4445" r="5080" b="19685"/>
                            <wp:wrapNone/>
                            <wp:docPr id="13" name="直接连接符 13"/>
                            <wp:cNvGraphicFramePr/>
                            <a:graphic xmlns:a="http://schemas.openxmlformats.org/drawingml/2006/main">
                              <a:graphicData uri="http://schemas.microsoft.com/office/word/2010/wordprocessingShape">
                                <wps:wsp>
                                  <wps:cNvCnPr/>
                                  <wps:spPr>
                                    <a:xfrm>
                                      <a:off x="0" y="0"/>
                                      <a:ext cx="1270000" cy="4330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65pt;margin-top:31.35pt;height:34.1pt;width:100pt;z-index:251659264;mso-width-relative:page;mso-height-relative:page;" filled="f" stroked="t" coordsize="21600,21600" o:gfxdata="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3y6Fg1wAAAAkBAAAPAAAAAAAAAAEAIAAAACIAAABkcnMvZG93bnJldi54&#10;bWxQSwECFAAUAAAACACHTuJA6rUcUvsBAADrAwAADgAAAAAAAAABACAAAAAmAQAAZHJzL2Uyb0Rv&#10;Yy54bWxQSwUGAAAAAAYABgBZAQAAkwUAAAAA&#10;">
                            <v:fill on="f" focussize="0,0"/>
                            <v:stroke color="#000000" joinstyle="round"/>
                            <v:imagedata o:title=""/>
                            <o:lock v:ext="edit" aspectratio="f"/>
                          </v:line>
                        </w:pict>
                      </mc:Fallback>
                    </mc:AlternateContent>
                  </w:r>
                </w:p>
              </w:tc>
              <w:tc>
                <w:tcPr>
                  <w:tcW w:w="2026" w:type="dxa"/>
                  <w:gridSpan w:val="3"/>
                  <w:noWrap w:val="0"/>
                  <w:vAlign w:val="center"/>
                </w:tcPr>
                <w:p>
                  <w:pPr>
                    <w:jc w:val="center"/>
                    <w:rPr>
                      <w:rFonts w:ascii="Times New Roman" w:hAnsi="Times New Roman"/>
                      <w:szCs w:val="21"/>
                    </w:rPr>
                  </w:pPr>
                  <w:r>
                    <w:rPr>
                      <w:rFonts w:ascii="Times New Roman" w:hAnsi="Times New Roman"/>
                      <w:szCs w:val="21"/>
                    </w:rPr>
                    <w:t>Ⅰ</w:t>
                  </w:r>
                </w:p>
              </w:tc>
              <w:tc>
                <w:tcPr>
                  <w:tcW w:w="1965" w:type="dxa"/>
                  <w:gridSpan w:val="3"/>
                  <w:noWrap w:val="0"/>
                  <w:vAlign w:val="center"/>
                </w:tcPr>
                <w:p>
                  <w:pPr>
                    <w:jc w:val="center"/>
                    <w:rPr>
                      <w:rFonts w:ascii="Times New Roman" w:hAnsi="Times New Roman"/>
                      <w:szCs w:val="21"/>
                    </w:rPr>
                  </w:pPr>
                  <w:r>
                    <w:rPr>
                      <w:rFonts w:ascii="Times New Roman" w:hAnsi="Times New Roman"/>
                      <w:szCs w:val="21"/>
                    </w:rPr>
                    <w:t>Ⅱ</w:t>
                  </w:r>
                </w:p>
              </w:tc>
              <w:tc>
                <w:tcPr>
                  <w:tcW w:w="1878" w:type="dxa"/>
                  <w:gridSpan w:val="3"/>
                  <w:noWrap w:val="0"/>
                  <w:vAlign w:val="center"/>
                </w:tcPr>
                <w:p>
                  <w:pPr>
                    <w:jc w:val="center"/>
                    <w:rPr>
                      <w:rFonts w:ascii="Times New Roman" w:hAnsi="Times New Roman"/>
                      <w:szCs w:val="21"/>
                    </w:rPr>
                  </w:pPr>
                  <w:r>
                    <w:rPr>
                      <w:rFonts w:ascii="Times New Roman" w:hAnsi="Times New Roman"/>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5" w:hRule="atLeast"/>
                <w:tblHeader/>
                <w:jc w:val="center"/>
              </w:trPr>
              <w:tc>
                <w:tcPr>
                  <w:tcW w:w="1689" w:type="dxa"/>
                  <w:vMerge w:val="continue"/>
                  <w:noWrap w:val="0"/>
                  <w:vAlign w:val="center"/>
                </w:tcPr>
                <w:p>
                  <w:pPr>
                    <w:spacing w:line="240" w:lineRule="atLeast"/>
                    <w:jc w:val="center"/>
                    <w:rPr>
                      <w:rFonts w:ascii="Times New Roman" w:hAnsi="Times New Roman"/>
                      <w:szCs w:val="21"/>
                    </w:rPr>
                  </w:pPr>
                </w:p>
              </w:tc>
              <w:tc>
                <w:tcPr>
                  <w:tcW w:w="701" w:type="dxa"/>
                  <w:noWrap w:val="0"/>
                  <w:vAlign w:val="center"/>
                </w:tcPr>
                <w:p>
                  <w:pPr>
                    <w:jc w:val="center"/>
                    <w:rPr>
                      <w:rFonts w:ascii="Times New Roman" w:hAnsi="Times New Roman"/>
                      <w:szCs w:val="21"/>
                    </w:rPr>
                  </w:pPr>
                  <w:r>
                    <w:rPr>
                      <w:rFonts w:ascii="Times New Roman" w:hAnsi="Times New Roman"/>
                      <w:szCs w:val="21"/>
                    </w:rPr>
                    <w:t>大</w:t>
                  </w:r>
                </w:p>
              </w:tc>
              <w:tc>
                <w:tcPr>
                  <w:tcW w:w="682" w:type="dxa"/>
                  <w:noWrap w:val="0"/>
                  <w:vAlign w:val="center"/>
                </w:tcPr>
                <w:p>
                  <w:pPr>
                    <w:jc w:val="center"/>
                    <w:rPr>
                      <w:rFonts w:ascii="Times New Roman" w:hAnsi="Times New Roman"/>
                      <w:szCs w:val="21"/>
                    </w:rPr>
                  </w:pPr>
                  <w:r>
                    <w:rPr>
                      <w:rFonts w:ascii="Times New Roman" w:hAnsi="Times New Roman"/>
                      <w:szCs w:val="21"/>
                    </w:rPr>
                    <w:t>中</w:t>
                  </w:r>
                </w:p>
              </w:tc>
              <w:tc>
                <w:tcPr>
                  <w:tcW w:w="643" w:type="dxa"/>
                  <w:noWrap w:val="0"/>
                  <w:vAlign w:val="center"/>
                </w:tcPr>
                <w:p>
                  <w:pPr>
                    <w:jc w:val="center"/>
                    <w:rPr>
                      <w:rFonts w:ascii="Times New Roman" w:hAnsi="Times New Roman"/>
                      <w:szCs w:val="21"/>
                    </w:rPr>
                  </w:pPr>
                  <w:r>
                    <w:rPr>
                      <w:rFonts w:ascii="Times New Roman" w:hAnsi="Times New Roman"/>
                      <w:szCs w:val="21"/>
                    </w:rPr>
                    <w:t>小</w:t>
                  </w:r>
                </w:p>
              </w:tc>
              <w:tc>
                <w:tcPr>
                  <w:tcW w:w="682" w:type="dxa"/>
                  <w:noWrap w:val="0"/>
                  <w:vAlign w:val="center"/>
                </w:tcPr>
                <w:p>
                  <w:pPr>
                    <w:jc w:val="center"/>
                    <w:rPr>
                      <w:rFonts w:ascii="Times New Roman" w:hAnsi="Times New Roman"/>
                      <w:szCs w:val="21"/>
                    </w:rPr>
                  </w:pPr>
                  <w:r>
                    <w:rPr>
                      <w:rFonts w:ascii="Times New Roman" w:hAnsi="Times New Roman"/>
                      <w:szCs w:val="21"/>
                    </w:rPr>
                    <w:t>大</w:t>
                  </w:r>
                </w:p>
              </w:tc>
              <w:tc>
                <w:tcPr>
                  <w:tcW w:w="655" w:type="dxa"/>
                  <w:noWrap w:val="0"/>
                  <w:vAlign w:val="center"/>
                </w:tcPr>
                <w:p>
                  <w:pPr>
                    <w:jc w:val="center"/>
                    <w:rPr>
                      <w:rFonts w:ascii="Times New Roman" w:hAnsi="Times New Roman"/>
                      <w:szCs w:val="21"/>
                    </w:rPr>
                  </w:pPr>
                  <w:r>
                    <w:rPr>
                      <w:rFonts w:ascii="Times New Roman" w:hAnsi="Times New Roman"/>
                      <w:szCs w:val="21"/>
                    </w:rPr>
                    <w:t>中</w:t>
                  </w:r>
                </w:p>
              </w:tc>
              <w:tc>
                <w:tcPr>
                  <w:tcW w:w="628" w:type="dxa"/>
                  <w:noWrap w:val="0"/>
                  <w:vAlign w:val="center"/>
                </w:tcPr>
                <w:p>
                  <w:pPr>
                    <w:jc w:val="center"/>
                    <w:rPr>
                      <w:rFonts w:ascii="Times New Roman" w:hAnsi="Times New Roman"/>
                      <w:szCs w:val="21"/>
                    </w:rPr>
                  </w:pPr>
                  <w:r>
                    <w:rPr>
                      <w:rFonts w:ascii="Times New Roman" w:hAnsi="Times New Roman"/>
                      <w:szCs w:val="21"/>
                    </w:rPr>
                    <w:t>小</w:t>
                  </w:r>
                </w:p>
              </w:tc>
              <w:tc>
                <w:tcPr>
                  <w:tcW w:w="669" w:type="dxa"/>
                  <w:noWrap w:val="0"/>
                  <w:vAlign w:val="center"/>
                </w:tcPr>
                <w:p>
                  <w:pPr>
                    <w:jc w:val="center"/>
                    <w:rPr>
                      <w:rFonts w:ascii="Times New Roman" w:hAnsi="Times New Roman"/>
                      <w:szCs w:val="21"/>
                    </w:rPr>
                  </w:pPr>
                  <w:r>
                    <w:rPr>
                      <w:rFonts w:ascii="Times New Roman" w:hAnsi="Times New Roman"/>
                      <w:szCs w:val="21"/>
                    </w:rPr>
                    <w:t>大</w:t>
                  </w:r>
                </w:p>
              </w:tc>
              <w:tc>
                <w:tcPr>
                  <w:tcW w:w="640" w:type="dxa"/>
                  <w:noWrap w:val="0"/>
                  <w:vAlign w:val="center"/>
                </w:tcPr>
                <w:p>
                  <w:pPr>
                    <w:jc w:val="center"/>
                    <w:rPr>
                      <w:rFonts w:ascii="Times New Roman" w:hAnsi="Times New Roman"/>
                      <w:szCs w:val="21"/>
                    </w:rPr>
                  </w:pPr>
                  <w:r>
                    <w:rPr>
                      <w:rFonts w:ascii="Times New Roman" w:hAnsi="Times New Roman"/>
                      <w:szCs w:val="21"/>
                    </w:rPr>
                    <w:t>中</w:t>
                  </w:r>
                </w:p>
              </w:tc>
              <w:tc>
                <w:tcPr>
                  <w:tcW w:w="569" w:type="dxa"/>
                  <w:noWrap w:val="0"/>
                  <w:vAlign w:val="center"/>
                </w:tcPr>
                <w:p>
                  <w:pPr>
                    <w:jc w:val="center"/>
                    <w:rPr>
                      <w:rFonts w:ascii="Times New Roman" w:hAnsi="Times New Roman"/>
                      <w:szCs w:val="21"/>
                    </w:rPr>
                  </w:pPr>
                  <w:r>
                    <w:rPr>
                      <w:rFonts w:ascii="Times New Roman" w:hAnsi="Times New Roman"/>
                      <w:szCs w:val="21"/>
                    </w:rPr>
                    <w:t>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tblHeader/>
                <w:jc w:val="center"/>
              </w:trPr>
              <w:tc>
                <w:tcPr>
                  <w:tcW w:w="1689" w:type="dxa"/>
                  <w:noWrap w:val="0"/>
                  <w:vAlign w:val="center"/>
                </w:tcPr>
                <w:p>
                  <w:pPr>
                    <w:spacing w:line="240" w:lineRule="atLeast"/>
                    <w:jc w:val="center"/>
                    <w:rPr>
                      <w:rFonts w:ascii="Times New Roman" w:hAnsi="Times New Roman"/>
                      <w:szCs w:val="21"/>
                    </w:rPr>
                  </w:pPr>
                  <w:r>
                    <w:rPr>
                      <w:rFonts w:ascii="Times New Roman" w:hAnsi="Times New Roman"/>
                      <w:szCs w:val="21"/>
                    </w:rPr>
                    <w:t>敏感</w:t>
                  </w:r>
                </w:p>
              </w:tc>
              <w:tc>
                <w:tcPr>
                  <w:tcW w:w="701" w:type="dxa"/>
                  <w:noWrap w:val="0"/>
                  <w:vAlign w:val="center"/>
                </w:tcPr>
                <w:p>
                  <w:pPr>
                    <w:jc w:val="center"/>
                    <w:rPr>
                      <w:rFonts w:ascii="Times New Roman" w:hAnsi="Times New Roman"/>
                      <w:szCs w:val="21"/>
                    </w:rPr>
                  </w:pPr>
                  <w:r>
                    <w:rPr>
                      <w:rFonts w:ascii="Times New Roman" w:hAnsi="Times New Roman"/>
                      <w:szCs w:val="21"/>
                    </w:rPr>
                    <w:t>一级</w:t>
                  </w:r>
                </w:p>
              </w:tc>
              <w:tc>
                <w:tcPr>
                  <w:tcW w:w="682" w:type="dxa"/>
                  <w:noWrap w:val="0"/>
                  <w:vAlign w:val="center"/>
                </w:tcPr>
                <w:p>
                  <w:pPr>
                    <w:jc w:val="center"/>
                    <w:rPr>
                      <w:rFonts w:ascii="Times New Roman" w:hAnsi="Times New Roman"/>
                      <w:szCs w:val="21"/>
                    </w:rPr>
                  </w:pPr>
                  <w:r>
                    <w:rPr>
                      <w:rFonts w:ascii="Times New Roman" w:hAnsi="Times New Roman"/>
                      <w:szCs w:val="21"/>
                    </w:rPr>
                    <w:t>一级</w:t>
                  </w:r>
                </w:p>
              </w:tc>
              <w:tc>
                <w:tcPr>
                  <w:tcW w:w="643" w:type="dxa"/>
                  <w:noWrap w:val="0"/>
                  <w:vAlign w:val="center"/>
                </w:tcPr>
                <w:p>
                  <w:pPr>
                    <w:jc w:val="center"/>
                    <w:rPr>
                      <w:rFonts w:ascii="Times New Roman" w:hAnsi="Times New Roman"/>
                      <w:szCs w:val="21"/>
                    </w:rPr>
                  </w:pPr>
                  <w:r>
                    <w:rPr>
                      <w:rFonts w:ascii="Times New Roman" w:hAnsi="Times New Roman"/>
                      <w:szCs w:val="21"/>
                    </w:rPr>
                    <w:t>一级</w:t>
                  </w:r>
                </w:p>
              </w:tc>
              <w:tc>
                <w:tcPr>
                  <w:tcW w:w="682" w:type="dxa"/>
                  <w:noWrap w:val="0"/>
                  <w:vAlign w:val="center"/>
                </w:tcPr>
                <w:p>
                  <w:pPr>
                    <w:jc w:val="center"/>
                    <w:rPr>
                      <w:rFonts w:ascii="Times New Roman" w:hAnsi="Times New Roman"/>
                      <w:szCs w:val="21"/>
                    </w:rPr>
                  </w:pPr>
                  <w:r>
                    <w:rPr>
                      <w:rFonts w:ascii="Times New Roman" w:hAnsi="Times New Roman"/>
                      <w:szCs w:val="21"/>
                    </w:rPr>
                    <w:t>二级</w:t>
                  </w:r>
                </w:p>
              </w:tc>
              <w:tc>
                <w:tcPr>
                  <w:tcW w:w="655" w:type="dxa"/>
                  <w:noWrap w:val="0"/>
                  <w:vAlign w:val="center"/>
                </w:tcPr>
                <w:p>
                  <w:pPr>
                    <w:jc w:val="center"/>
                    <w:rPr>
                      <w:rFonts w:ascii="Times New Roman" w:hAnsi="Times New Roman"/>
                      <w:szCs w:val="21"/>
                    </w:rPr>
                  </w:pPr>
                  <w:r>
                    <w:rPr>
                      <w:rFonts w:ascii="Times New Roman" w:hAnsi="Times New Roman"/>
                      <w:szCs w:val="21"/>
                    </w:rPr>
                    <w:t>二级</w:t>
                  </w:r>
                </w:p>
              </w:tc>
              <w:tc>
                <w:tcPr>
                  <w:tcW w:w="628" w:type="dxa"/>
                  <w:noWrap w:val="0"/>
                  <w:vAlign w:val="center"/>
                </w:tcPr>
                <w:p>
                  <w:pPr>
                    <w:jc w:val="center"/>
                    <w:rPr>
                      <w:rFonts w:ascii="Times New Roman" w:hAnsi="Times New Roman"/>
                      <w:szCs w:val="21"/>
                    </w:rPr>
                  </w:pPr>
                  <w:r>
                    <w:rPr>
                      <w:rFonts w:ascii="Times New Roman" w:hAnsi="Times New Roman"/>
                      <w:szCs w:val="21"/>
                    </w:rPr>
                    <w:t>二级</w:t>
                  </w:r>
                </w:p>
              </w:tc>
              <w:tc>
                <w:tcPr>
                  <w:tcW w:w="669" w:type="dxa"/>
                  <w:noWrap w:val="0"/>
                  <w:vAlign w:val="center"/>
                </w:tcPr>
                <w:p>
                  <w:pPr>
                    <w:jc w:val="center"/>
                    <w:rPr>
                      <w:rFonts w:ascii="Times New Roman" w:hAnsi="Times New Roman"/>
                      <w:szCs w:val="21"/>
                    </w:rPr>
                  </w:pPr>
                  <w:r>
                    <w:rPr>
                      <w:rFonts w:ascii="Times New Roman" w:hAnsi="Times New Roman"/>
                      <w:szCs w:val="21"/>
                    </w:rPr>
                    <w:t>三级</w:t>
                  </w:r>
                </w:p>
              </w:tc>
              <w:tc>
                <w:tcPr>
                  <w:tcW w:w="640" w:type="dxa"/>
                  <w:noWrap w:val="0"/>
                  <w:vAlign w:val="center"/>
                </w:tcPr>
                <w:p>
                  <w:pPr>
                    <w:jc w:val="center"/>
                    <w:rPr>
                      <w:rFonts w:ascii="Times New Roman" w:hAnsi="Times New Roman"/>
                      <w:szCs w:val="21"/>
                    </w:rPr>
                  </w:pPr>
                  <w:r>
                    <w:rPr>
                      <w:rFonts w:ascii="Times New Roman" w:hAnsi="Times New Roman"/>
                      <w:szCs w:val="21"/>
                    </w:rPr>
                    <w:t>三级</w:t>
                  </w:r>
                </w:p>
              </w:tc>
              <w:tc>
                <w:tcPr>
                  <w:tcW w:w="569" w:type="dxa"/>
                  <w:noWrap w:val="0"/>
                  <w:vAlign w:val="center"/>
                </w:tcPr>
                <w:p>
                  <w:pPr>
                    <w:jc w:val="center"/>
                    <w:rPr>
                      <w:rFonts w:ascii="Times New Roman" w:hAnsi="Times New Roman"/>
                      <w:szCs w:val="21"/>
                    </w:rPr>
                  </w:pPr>
                  <w:r>
                    <w:rPr>
                      <w:rFonts w:ascii="Times New Roman" w:hAnsi="Times New Roman"/>
                      <w:szCs w:val="21"/>
                    </w:rPr>
                    <w:t>三级</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1689" w:type="dxa"/>
                  <w:noWrap w:val="0"/>
                  <w:vAlign w:val="center"/>
                </w:tcPr>
                <w:p>
                  <w:pPr>
                    <w:spacing w:line="240" w:lineRule="atLeast"/>
                    <w:jc w:val="center"/>
                    <w:rPr>
                      <w:szCs w:val="21"/>
                    </w:rPr>
                  </w:pPr>
                  <w:r>
                    <w:rPr>
                      <w:szCs w:val="21"/>
                    </w:rPr>
                    <w:t>较敏感</w:t>
                  </w:r>
                </w:p>
              </w:tc>
              <w:tc>
                <w:tcPr>
                  <w:tcW w:w="701" w:type="dxa"/>
                  <w:noWrap w:val="0"/>
                  <w:vAlign w:val="center"/>
                </w:tcPr>
                <w:p>
                  <w:pPr>
                    <w:jc w:val="center"/>
                    <w:rPr>
                      <w:szCs w:val="21"/>
                    </w:rPr>
                  </w:pPr>
                  <w:r>
                    <w:rPr>
                      <w:szCs w:val="21"/>
                    </w:rPr>
                    <w:t>一级</w:t>
                  </w:r>
                </w:p>
              </w:tc>
              <w:tc>
                <w:tcPr>
                  <w:tcW w:w="682" w:type="dxa"/>
                  <w:noWrap w:val="0"/>
                  <w:vAlign w:val="center"/>
                </w:tcPr>
                <w:p>
                  <w:pPr>
                    <w:jc w:val="center"/>
                    <w:rPr>
                      <w:szCs w:val="21"/>
                    </w:rPr>
                  </w:pPr>
                  <w:r>
                    <w:rPr>
                      <w:szCs w:val="21"/>
                    </w:rPr>
                    <w:t>一级</w:t>
                  </w:r>
                </w:p>
              </w:tc>
              <w:tc>
                <w:tcPr>
                  <w:tcW w:w="643" w:type="dxa"/>
                  <w:noWrap w:val="0"/>
                  <w:vAlign w:val="center"/>
                </w:tcPr>
                <w:p>
                  <w:pPr>
                    <w:jc w:val="center"/>
                    <w:rPr>
                      <w:szCs w:val="21"/>
                    </w:rPr>
                  </w:pPr>
                  <w:r>
                    <w:rPr>
                      <w:szCs w:val="21"/>
                    </w:rPr>
                    <w:t>二级</w:t>
                  </w:r>
                </w:p>
              </w:tc>
              <w:tc>
                <w:tcPr>
                  <w:tcW w:w="682" w:type="dxa"/>
                  <w:noWrap w:val="0"/>
                  <w:vAlign w:val="center"/>
                </w:tcPr>
                <w:p>
                  <w:pPr>
                    <w:jc w:val="center"/>
                    <w:rPr>
                      <w:szCs w:val="21"/>
                    </w:rPr>
                  </w:pPr>
                  <w:r>
                    <w:rPr>
                      <w:szCs w:val="21"/>
                    </w:rPr>
                    <w:t>二级</w:t>
                  </w:r>
                </w:p>
              </w:tc>
              <w:tc>
                <w:tcPr>
                  <w:tcW w:w="655" w:type="dxa"/>
                  <w:noWrap w:val="0"/>
                  <w:vAlign w:val="center"/>
                </w:tcPr>
                <w:p>
                  <w:pPr>
                    <w:jc w:val="center"/>
                    <w:rPr>
                      <w:szCs w:val="21"/>
                    </w:rPr>
                  </w:pPr>
                  <w:r>
                    <w:rPr>
                      <w:szCs w:val="21"/>
                    </w:rPr>
                    <w:t>二级</w:t>
                  </w:r>
                </w:p>
              </w:tc>
              <w:tc>
                <w:tcPr>
                  <w:tcW w:w="628" w:type="dxa"/>
                  <w:noWrap w:val="0"/>
                  <w:vAlign w:val="center"/>
                </w:tcPr>
                <w:p>
                  <w:pPr>
                    <w:jc w:val="center"/>
                    <w:rPr>
                      <w:szCs w:val="21"/>
                    </w:rPr>
                  </w:pPr>
                  <w:r>
                    <w:rPr>
                      <w:szCs w:val="21"/>
                    </w:rPr>
                    <w:t>三级</w:t>
                  </w:r>
                </w:p>
              </w:tc>
              <w:tc>
                <w:tcPr>
                  <w:tcW w:w="669" w:type="dxa"/>
                  <w:noWrap w:val="0"/>
                  <w:vAlign w:val="center"/>
                </w:tcPr>
                <w:p>
                  <w:pPr>
                    <w:jc w:val="center"/>
                    <w:rPr>
                      <w:szCs w:val="21"/>
                    </w:rPr>
                  </w:pPr>
                  <w:r>
                    <w:rPr>
                      <w:szCs w:val="21"/>
                    </w:rPr>
                    <w:t>三级</w:t>
                  </w:r>
                </w:p>
              </w:tc>
              <w:tc>
                <w:tcPr>
                  <w:tcW w:w="640" w:type="dxa"/>
                  <w:noWrap w:val="0"/>
                  <w:vAlign w:val="center"/>
                </w:tcPr>
                <w:p>
                  <w:pPr>
                    <w:jc w:val="center"/>
                    <w:rPr>
                      <w:szCs w:val="21"/>
                    </w:rPr>
                  </w:pPr>
                  <w:r>
                    <w:rPr>
                      <w:szCs w:val="21"/>
                    </w:rPr>
                    <w:t>三级</w:t>
                  </w:r>
                </w:p>
              </w:tc>
              <w:tc>
                <w:tcPr>
                  <w:tcW w:w="569" w:type="dxa"/>
                  <w:noWrap w:val="0"/>
                  <w:vAlign w:val="center"/>
                </w:tcPr>
                <w:p>
                  <w:pPr>
                    <w:jc w:val="center"/>
                    <w:rPr>
                      <w:szCs w:val="21"/>
                    </w:rPr>
                  </w:pPr>
                  <w:r>
                    <w:rPr>
                      <w:szCs w:val="21"/>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7" w:hRule="atLeast"/>
                <w:tblHeader/>
                <w:jc w:val="center"/>
              </w:trPr>
              <w:tc>
                <w:tcPr>
                  <w:tcW w:w="1689" w:type="dxa"/>
                  <w:noWrap w:val="0"/>
                  <w:vAlign w:val="center"/>
                </w:tcPr>
                <w:p>
                  <w:pPr>
                    <w:spacing w:line="240" w:lineRule="atLeast"/>
                    <w:jc w:val="center"/>
                    <w:rPr>
                      <w:szCs w:val="21"/>
                    </w:rPr>
                  </w:pPr>
                  <w:r>
                    <w:rPr>
                      <w:szCs w:val="21"/>
                    </w:rPr>
                    <w:t>不敏感</w:t>
                  </w:r>
                </w:p>
              </w:tc>
              <w:tc>
                <w:tcPr>
                  <w:tcW w:w="701" w:type="dxa"/>
                  <w:noWrap w:val="0"/>
                  <w:vAlign w:val="center"/>
                </w:tcPr>
                <w:p>
                  <w:pPr>
                    <w:jc w:val="center"/>
                    <w:rPr>
                      <w:szCs w:val="21"/>
                    </w:rPr>
                  </w:pPr>
                  <w:r>
                    <w:rPr>
                      <w:szCs w:val="21"/>
                    </w:rPr>
                    <w:t>一级</w:t>
                  </w:r>
                </w:p>
              </w:tc>
              <w:tc>
                <w:tcPr>
                  <w:tcW w:w="682" w:type="dxa"/>
                  <w:noWrap w:val="0"/>
                  <w:vAlign w:val="center"/>
                </w:tcPr>
                <w:p>
                  <w:pPr>
                    <w:jc w:val="center"/>
                    <w:rPr>
                      <w:szCs w:val="21"/>
                    </w:rPr>
                  </w:pPr>
                  <w:r>
                    <w:rPr>
                      <w:szCs w:val="21"/>
                    </w:rPr>
                    <w:t>二级</w:t>
                  </w:r>
                </w:p>
              </w:tc>
              <w:tc>
                <w:tcPr>
                  <w:tcW w:w="643" w:type="dxa"/>
                  <w:noWrap w:val="0"/>
                  <w:vAlign w:val="center"/>
                </w:tcPr>
                <w:p>
                  <w:pPr>
                    <w:jc w:val="center"/>
                    <w:rPr>
                      <w:szCs w:val="21"/>
                    </w:rPr>
                  </w:pPr>
                  <w:r>
                    <w:rPr>
                      <w:szCs w:val="21"/>
                    </w:rPr>
                    <w:t>二级</w:t>
                  </w:r>
                </w:p>
              </w:tc>
              <w:tc>
                <w:tcPr>
                  <w:tcW w:w="682" w:type="dxa"/>
                  <w:noWrap w:val="0"/>
                  <w:vAlign w:val="center"/>
                </w:tcPr>
                <w:p>
                  <w:pPr>
                    <w:jc w:val="center"/>
                    <w:rPr>
                      <w:szCs w:val="21"/>
                    </w:rPr>
                  </w:pPr>
                  <w:r>
                    <w:rPr>
                      <w:szCs w:val="21"/>
                    </w:rPr>
                    <w:t>二级</w:t>
                  </w:r>
                </w:p>
              </w:tc>
              <w:tc>
                <w:tcPr>
                  <w:tcW w:w="655" w:type="dxa"/>
                  <w:noWrap w:val="0"/>
                  <w:vAlign w:val="center"/>
                </w:tcPr>
                <w:p>
                  <w:pPr>
                    <w:jc w:val="center"/>
                    <w:rPr>
                      <w:szCs w:val="21"/>
                    </w:rPr>
                  </w:pPr>
                  <w:r>
                    <w:rPr>
                      <w:szCs w:val="21"/>
                    </w:rPr>
                    <w:t>三级</w:t>
                  </w:r>
                </w:p>
              </w:tc>
              <w:tc>
                <w:tcPr>
                  <w:tcW w:w="628" w:type="dxa"/>
                  <w:noWrap w:val="0"/>
                  <w:vAlign w:val="center"/>
                </w:tcPr>
                <w:p>
                  <w:pPr>
                    <w:jc w:val="center"/>
                    <w:rPr>
                      <w:szCs w:val="21"/>
                    </w:rPr>
                  </w:pPr>
                  <w:r>
                    <w:rPr>
                      <w:szCs w:val="21"/>
                    </w:rPr>
                    <w:t>三级</w:t>
                  </w:r>
                </w:p>
              </w:tc>
              <w:tc>
                <w:tcPr>
                  <w:tcW w:w="669" w:type="dxa"/>
                  <w:noWrap w:val="0"/>
                  <w:vAlign w:val="center"/>
                </w:tcPr>
                <w:p>
                  <w:pPr>
                    <w:jc w:val="center"/>
                    <w:rPr>
                      <w:szCs w:val="21"/>
                    </w:rPr>
                  </w:pPr>
                  <w:r>
                    <w:rPr>
                      <w:szCs w:val="21"/>
                    </w:rPr>
                    <w:t>三级</w:t>
                  </w:r>
                </w:p>
              </w:tc>
              <w:tc>
                <w:tcPr>
                  <w:tcW w:w="640" w:type="dxa"/>
                  <w:noWrap w:val="0"/>
                  <w:vAlign w:val="center"/>
                </w:tcPr>
                <w:p>
                  <w:pPr>
                    <w:jc w:val="center"/>
                    <w:rPr>
                      <w:szCs w:val="21"/>
                    </w:rPr>
                  </w:pPr>
                  <w:r>
                    <w:rPr>
                      <w:szCs w:val="21"/>
                    </w:rPr>
                    <w:t>—</w:t>
                  </w:r>
                </w:p>
              </w:tc>
              <w:tc>
                <w:tcPr>
                  <w:tcW w:w="569" w:type="dxa"/>
                  <w:noWrap w:val="0"/>
                  <w:vAlign w:val="center"/>
                </w:tcPr>
                <w:p>
                  <w:pPr>
                    <w:jc w:val="center"/>
                    <w:rPr>
                      <w:szCs w:val="21"/>
                    </w:rPr>
                  </w:pPr>
                  <w:r>
                    <w:rPr>
                      <w:szCs w:val="21"/>
                      <w:highlight w:val="darkGray"/>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6" w:hRule="atLeast"/>
                <w:tblHeader/>
                <w:jc w:val="center"/>
              </w:trPr>
              <w:tc>
                <w:tcPr>
                  <w:tcW w:w="1689" w:type="dxa"/>
                  <w:noWrap w:val="0"/>
                  <w:vAlign w:val="center"/>
                </w:tcPr>
                <w:p>
                  <w:pPr>
                    <w:spacing w:line="240" w:lineRule="atLeast"/>
                    <w:jc w:val="center"/>
                    <w:rPr>
                      <w:szCs w:val="21"/>
                    </w:rPr>
                  </w:pPr>
                </w:p>
              </w:tc>
              <w:tc>
                <w:tcPr>
                  <w:tcW w:w="5869" w:type="dxa"/>
                  <w:gridSpan w:val="9"/>
                  <w:noWrap w:val="0"/>
                  <w:vAlign w:val="center"/>
                </w:tcPr>
                <w:p>
                  <w:pPr>
                    <w:jc w:val="center"/>
                    <w:rPr>
                      <w:szCs w:val="21"/>
                    </w:rPr>
                  </w:pPr>
                </w:p>
              </w:tc>
            </w:tr>
          </w:tbl>
          <w:p>
            <w:pPr>
              <w:spacing w:line="360" w:lineRule="auto"/>
              <w:ind w:firstLine="480" w:firstLineChars="200"/>
              <w:rPr>
                <w:rFonts w:ascii="Times New Roman" w:hAnsi="Times New Roman"/>
                <w:color w:val="000000"/>
                <w:sz w:val="24"/>
                <w:szCs w:val="24"/>
              </w:rPr>
            </w:pPr>
            <w:r>
              <w:rPr>
                <w:sz w:val="24"/>
                <w:szCs w:val="22"/>
              </w:rPr>
              <w:t>根据上表可知，本项目可不开展土壤环境影响评价。</w:t>
            </w:r>
          </w:p>
          <w:p>
            <w:pPr>
              <w:spacing w:line="360" w:lineRule="auto"/>
              <w:ind w:firstLine="482" w:firstLineChars="200"/>
              <w:rPr>
                <w:b/>
                <w:bCs/>
                <w:color w:val="000000"/>
                <w:sz w:val="24"/>
              </w:rPr>
            </w:pPr>
            <w:r>
              <w:rPr>
                <w:rFonts w:hint="eastAsia"/>
                <w:b/>
                <w:color w:val="000000"/>
                <w:kern w:val="0"/>
                <w:sz w:val="24"/>
              </w:rPr>
              <w:t>六</w:t>
            </w:r>
            <w:r>
              <w:rPr>
                <w:b/>
                <w:color w:val="000000"/>
                <w:kern w:val="0"/>
                <w:sz w:val="24"/>
              </w:rPr>
              <w:t>、</w:t>
            </w:r>
            <w:r>
              <w:rPr>
                <w:b/>
                <w:bCs/>
                <w:color w:val="000000"/>
                <w:sz w:val="24"/>
              </w:rPr>
              <w:t>地下水影响分析及防范措施</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val="en-US" w:eastAsia="zh-CN"/>
              </w:rPr>
              <w:t>1、</w:t>
            </w:r>
            <w:r>
              <w:rPr>
                <w:rFonts w:ascii="Times New Roman" w:hAnsi="Times New Roman"/>
                <w:color w:val="000000"/>
                <w:sz w:val="24"/>
                <w:szCs w:val="22"/>
              </w:rPr>
              <w:t>为防止项目对地下水的影响，本项目必须采取一定的防渗措施。项目厂址地下水防渗参照执行下列标准：</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（1）《危险废物污染防治技术政策》（环发［2001］199号）；</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（2）《危险废物填埋污染控制标准》（GB18598-2001）；</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（3）《危险废物填埋处置工程建设技术要求》。</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val="en-US" w:eastAsia="zh-CN"/>
              </w:rPr>
              <w:t>2、</w:t>
            </w:r>
            <w:r>
              <w:rPr>
                <w:rFonts w:ascii="Times New Roman" w:hAnsi="Times New Roman"/>
                <w:color w:val="000000"/>
                <w:sz w:val="24"/>
                <w:szCs w:val="22"/>
              </w:rPr>
              <w:t>地下水污染防治措施总原则为“地上污染地上治，地下污染地下防”；坚持源头控制、末端防治、污染监控、应急响应相结合的原则。</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（1）源头各种控制措施主要包括在工艺、管道、设备、污水储存及处理构筑物采取相应措施，将污染物泄漏、渗漏污染地下水的环境风险降到最低程度。</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积极开展废水的回收利用，尽量减少废水排放；各类地下设施，包括污水处理设施的水池等全部进行防渗处理，特别是埋置地下的污水输送管道，需建立混凝土防渗基础，并布设土工膜。</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（2）末端控制措施主要包括厂区防渗措施和泄漏、渗漏污染物收集措施，防止洒落地面的污染物渗入地下，同时对渗入地下的污染物及时收集，从而防止污染地下水。</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（3）地下水污染监控措施包括建立完善的监测制度、配备先进的检测仪器和设备、科学并合理设置地下水污染监控井；</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（4）应急响应措施包括：及时发现地下水污染事故、启动应急预案、采取应急措施控制地下水污染，并使污染得到治理。</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厂区内一旦发现泄漏，应立即处理，由于泄漏量一般较小，应该及时进行换土，清理被污染土壤，回填好土。</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val="en-US" w:eastAsia="zh-CN"/>
              </w:rPr>
              <w:t>3、</w:t>
            </w:r>
            <w:r>
              <w:rPr>
                <w:rFonts w:ascii="Times New Roman" w:hAnsi="Times New Roman"/>
                <w:color w:val="000000"/>
                <w:sz w:val="24"/>
                <w:szCs w:val="22"/>
              </w:rPr>
              <w:t>末端控制坚持分区管理和控制原则。</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（1）厂区分为污染区和非污染区，污染区包括生产、贮运装置及污染处理设施区；其它区域为非污染区。</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（2）根据污染区通过各种途径可能进入地下水环境的各种有毒有害原辅材料、中间物料、产品的泄漏量及其他各类污染物的性质、产生和排放量，将污染区进一步分为一般污染防治区、重点污染防治区。</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一般污染防治区是指毒性小的生产装置区、装置区外管廊区和厂外污水管道；重点污染防治区是指危害性大、毒性较大的生产装置区、原料库及固体废物暂存区、水处理设施等。</w:t>
            </w:r>
          </w:p>
          <w:p>
            <w:pPr>
              <w:autoSpaceDE w:val="0"/>
              <w:autoSpaceDN w:val="0"/>
              <w:adjustRightInd w:val="0"/>
              <w:spacing w:line="360" w:lineRule="auto"/>
              <w:ind w:firstLine="480" w:firstLineChars="200"/>
              <w:rPr>
                <w:rFonts w:ascii="Times New Roman" w:hAnsi="Times New Roman"/>
                <w:color w:val="000000"/>
                <w:sz w:val="24"/>
                <w:szCs w:val="22"/>
              </w:rPr>
            </w:pPr>
            <w:r>
              <w:rPr>
                <w:rFonts w:hint="eastAsia" w:ascii="Times New Roman" w:hAnsi="Times New Roman"/>
                <w:color w:val="000000"/>
                <w:sz w:val="24"/>
                <w:szCs w:val="22"/>
                <w:lang w:eastAsia="zh-CN"/>
              </w:rPr>
              <w:t>（</w:t>
            </w:r>
            <w:r>
              <w:rPr>
                <w:rFonts w:hint="eastAsia" w:ascii="Times New Roman" w:hAnsi="Times New Roman"/>
                <w:color w:val="000000"/>
                <w:sz w:val="24"/>
                <w:szCs w:val="22"/>
                <w:lang w:val="en-US" w:eastAsia="zh-CN"/>
              </w:rPr>
              <w:t>3</w:t>
            </w:r>
            <w:r>
              <w:rPr>
                <w:rFonts w:hint="eastAsia" w:ascii="Times New Roman" w:hAnsi="Times New Roman"/>
                <w:color w:val="000000"/>
                <w:sz w:val="24"/>
                <w:szCs w:val="22"/>
                <w:lang w:eastAsia="zh-CN"/>
              </w:rPr>
              <w:t>）</w:t>
            </w:r>
            <w:r>
              <w:rPr>
                <w:rFonts w:ascii="Times New Roman" w:hAnsi="Times New Roman"/>
                <w:color w:val="000000"/>
                <w:sz w:val="24"/>
                <w:szCs w:val="22"/>
              </w:rPr>
              <w:t>重点污染防治区和特殊污染区根据工程地质及水文地质条件、各生产贮运装置及污染处理设施防渗要求及分类进行防渗设计。</w:t>
            </w:r>
          </w:p>
          <w:p>
            <w:pPr>
              <w:numPr>
                <w:ilvl w:val="0"/>
                <w:numId w:val="0"/>
              </w:num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（4）非污染区不进行防渗处理，污染区按照不同分区要求分别设计防渗方案。</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（5）重点污染防治区和特殊污染防治区参照《危险废物安全填埋处置工程建设技术要求》（国家环保局2004.4.30颁布试行）和《危险废物填埋污染控制标准》（GB18598-2001）制定防渗设计方案。</w:t>
            </w:r>
          </w:p>
          <w:p>
            <w:pPr>
              <w:autoSpaceDE w:val="0"/>
              <w:autoSpaceDN w:val="0"/>
              <w:adjustRightInd w:val="0"/>
              <w:spacing w:line="360" w:lineRule="auto"/>
              <w:ind w:firstLine="480" w:firstLineChars="200"/>
              <w:rPr>
                <w:rFonts w:ascii="Times New Roman" w:hAnsi="Times New Roman"/>
                <w:color w:val="000000"/>
                <w:sz w:val="24"/>
                <w:szCs w:val="22"/>
              </w:rPr>
            </w:pPr>
            <w:r>
              <w:rPr>
                <w:rFonts w:ascii="Times New Roman" w:hAnsi="Times New Roman"/>
                <w:color w:val="000000"/>
                <w:sz w:val="24"/>
                <w:szCs w:val="22"/>
              </w:rPr>
              <w:t>（6）一般污染防治区参照《一般工业固体废物贮存、处置场污染控制标准》（GB18599－2001）制定防渗设计方案。</w:t>
            </w:r>
          </w:p>
          <w:p>
            <w:pPr>
              <w:autoSpaceDE w:val="0"/>
              <w:autoSpaceDN w:val="0"/>
              <w:adjustRightInd w:val="0"/>
              <w:spacing w:line="360" w:lineRule="auto"/>
              <w:ind w:firstLine="480" w:firstLineChars="200"/>
              <w:rPr>
                <w:rFonts w:ascii="Times New Roman" w:hAnsi="Times New Roman"/>
                <w:b/>
                <w:color w:val="000000"/>
                <w:sz w:val="24"/>
                <w:szCs w:val="24"/>
              </w:rPr>
            </w:pPr>
            <w:r>
              <w:rPr>
                <w:rFonts w:hint="eastAsia" w:ascii="Times New Roman" w:hAnsi="Times New Roman"/>
                <w:color w:val="000000"/>
                <w:sz w:val="24"/>
                <w:szCs w:val="22"/>
                <w:lang w:val="en-US" w:eastAsia="zh-CN"/>
              </w:rPr>
              <w:t>4、</w:t>
            </w:r>
            <w:r>
              <w:rPr>
                <w:rFonts w:ascii="Times New Roman" w:hAnsi="Times New Roman"/>
                <w:color w:val="000000"/>
                <w:sz w:val="24"/>
                <w:szCs w:val="22"/>
              </w:rPr>
              <w:t>按照原国家环保总局环函[2006]176号文关于“在设计上实现厂内污水管线地上化”要求，输送含有污染物的管道尽可能地上敷设，减少由于埋地管道泄漏而造成的地下水污染。</w:t>
            </w:r>
          </w:p>
          <w:p>
            <w:pPr>
              <w:spacing w:line="360" w:lineRule="auto"/>
              <w:jc w:val="center"/>
              <w:rPr>
                <w:rFonts w:ascii="Times New Roman" w:hAnsi="Times New Roman"/>
                <w:b/>
                <w:color w:val="000000"/>
                <w:sz w:val="24"/>
                <w:szCs w:val="24"/>
              </w:rPr>
            </w:pPr>
            <w:r>
              <w:rPr>
                <w:rFonts w:ascii="Times New Roman" w:hAnsi="Times New Roman"/>
                <w:b/>
                <w:color w:val="000000"/>
                <w:sz w:val="24"/>
                <w:szCs w:val="24"/>
              </w:rPr>
              <w:t>表</w:t>
            </w:r>
            <w:r>
              <w:rPr>
                <w:rFonts w:hint="eastAsia"/>
                <w:b/>
                <w:color w:val="000000"/>
                <w:sz w:val="24"/>
                <w:szCs w:val="24"/>
                <w:lang w:val="en-US" w:eastAsia="zh-CN"/>
              </w:rPr>
              <w:t>4-7</w:t>
            </w:r>
            <w:r>
              <w:rPr>
                <w:rFonts w:ascii="Times New Roman" w:hAnsi="Times New Roman"/>
                <w:b/>
                <w:color w:val="000000"/>
                <w:sz w:val="24"/>
                <w:szCs w:val="24"/>
              </w:rPr>
              <w:t xml:space="preserve">  本项目防渗工程污染防治分区表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5"/>
              <w:gridCol w:w="2111"/>
              <w:gridCol w:w="2300"/>
              <w:gridCol w:w="1239"/>
              <w:gridCol w:w="158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6" w:hRule="atLeast"/>
                <w:tblHeader/>
                <w:jc w:val="center"/>
              </w:trPr>
              <w:tc>
                <w:tcPr>
                  <w:tcW w:w="614" w:type="dxa"/>
                  <w:noWrap w:val="0"/>
                  <w:vAlign w:val="center"/>
                </w:tcPr>
                <w:p>
                  <w:pPr>
                    <w:spacing w:line="240" w:lineRule="atLeast"/>
                    <w:jc w:val="center"/>
                    <w:rPr>
                      <w:rFonts w:ascii="Times New Roman" w:hAnsi="Times New Roman"/>
                      <w:b/>
                      <w:bCs/>
                      <w:color w:val="000000"/>
                      <w:szCs w:val="21"/>
                    </w:rPr>
                  </w:pPr>
                  <w:r>
                    <w:rPr>
                      <w:rFonts w:ascii="Times New Roman" w:hAnsi="Times New Roman"/>
                      <w:b/>
                      <w:bCs/>
                      <w:color w:val="000000"/>
                      <w:szCs w:val="21"/>
                    </w:rPr>
                    <w:t>序号</w:t>
                  </w:r>
                </w:p>
              </w:tc>
              <w:tc>
                <w:tcPr>
                  <w:tcW w:w="2073" w:type="dxa"/>
                  <w:noWrap w:val="0"/>
                  <w:vAlign w:val="center"/>
                </w:tcPr>
                <w:p>
                  <w:pPr>
                    <w:jc w:val="center"/>
                    <w:rPr>
                      <w:rFonts w:ascii="Times New Roman" w:hAnsi="Times New Roman"/>
                      <w:b/>
                      <w:bCs/>
                      <w:color w:val="000000"/>
                      <w:szCs w:val="21"/>
                    </w:rPr>
                  </w:pPr>
                  <w:r>
                    <w:rPr>
                      <w:rFonts w:ascii="Times New Roman" w:hAnsi="Times New Roman"/>
                      <w:b/>
                      <w:bCs/>
                      <w:color w:val="000000"/>
                      <w:szCs w:val="21"/>
                    </w:rPr>
                    <w:t>名称</w:t>
                  </w:r>
                </w:p>
              </w:tc>
              <w:tc>
                <w:tcPr>
                  <w:tcW w:w="2259" w:type="dxa"/>
                  <w:noWrap w:val="0"/>
                  <w:vAlign w:val="center"/>
                </w:tcPr>
                <w:p>
                  <w:pPr>
                    <w:jc w:val="center"/>
                    <w:rPr>
                      <w:rFonts w:ascii="Times New Roman" w:hAnsi="Times New Roman"/>
                      <w:b/>
                      <w:bCs/>
                      <w:color w:val="000000"/>
                      <w:szCs w:val="21"/>
                    </w:rPr>
                  </w:pPr>
                  <w:r>
                    <w:rPr>
                      <w:rFonts w:ascii="Times New Roman" w:hAnsi="Times New Roman"/>
                      <w:b/>
                      <w:bCs/>
                      <w:color w:val="000000"/>
                      <w:szCs w:val="21"/>
                    </w:rPr>
                    <w:t>防渗区域及部位</w:t>
                  </w:r>
                </w:p>
              </w:tc>
              <w:tc>
                <w:tcPr>
                  <w:tcW w:w="1217" w:type="dxa"/>
                  <w:noWrap w:val="0"/>
                  <w:vAlign w:val="center"/>
                </w:tcPr>
                <w:p>
                  <w:pPr>
                    <w:jc w:val="center"/>
                    <w:rPr>
                      <w:rFonts w:ascii="Times New Roman" w:hAnsi="Times New Roman"/>
                      <w:b/>
                      <w:bCs/>
                      <w:color w:val="000000"/>
                      <w:szCs w:val="21"/>
                    </w:rPr>
                  </w:pPr>
                  <w:r>
                    <w:rPr>
                      <w:rFonts w:ascii="Times New Roman" w:hAnsi="Times New Roman"/>
                      <w:b/>
                      <w:bCs/>
                      <w:color w:val="000000"/>
                      <w:szCs w:val="21"/>
                    </w:rPr>
                    <w:t>防渗分区等级</w:t>
                  </w:r>
                </w:p>
              </w:tc>
              <w:tc>
                <w:tcPr>
                  <w:tcW w:w="1554" w:type="dxa"/>
                  <w:noWrap w:val="0"/>
                  <w:vAlign w:val="center"/>
                </w:tcPr>
                <w:p>
                  <w:pPr>
                    <w:rPr>
                      <w:rFonts w:ascii="Times New Roman" w:hAnsi="Times New Roman"/>
                      <w:b/>
                      <w:bCs/>
                      <w:color w:val="000000"/>
                      <w:szCs w:val="21"/>
                    </w:rPr>
                  </w:pPr>
                  <w:r>
                    <w:rPr>
                      <w:rFonts w:ascii="Times New Roman" w:hAnsi="Times New Roman"/>
                      <w:b/>
                      <w:bCs/>
                      <w:color w:val="000000"/>
                      <w:szCs w:val="21"/>
                    </w:rPr>
                    <w:t>实施要求</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olor w:val="000000"/>
                      <w:szCs w:val="21"/>
                      <w:lang w:val="en-US" w:eastAsia="zh-CN"/>
                    </w:rPr>
                  </w:pPr>
                  <w:r>
                    <w:rPr>
                      <w:rFonts w:hint="eastAsia"/>
                      <w:color w:val="000000"/>
                      <w:szCs w:val="21"/>
                      <w:lang w:val="en-US" w:eastAsia="zh-CN"/>
                    </w:rPr>
                    <w:t>1</w:t>
                  </w:r>
                </w:p>
              </w:tc>
              <w:tc>
                <w:tcPr>
                  <w:tcW w:w="2073" w:type="dxa"/>
                  <w:noWrap w:val="0"/>
                  <w:vAlign w:val="center"/>
                </w:tcPr>
                <w:p>
                  <w:pPr>
                    <w:jc w:val="center"/>
                    <w:rPr>
                      <w:rFonts w:hint="default" w:ascii="Times New Roman" w:hAnsi="Times New Roman" w:eastAsia="宋体"/>
                      <w:color w:val="000000"/>
                      <w:szCs w:val="21"/>
                      <w:lang w:val="en-US" w:eastAsia="zh-CN"/>
                    </w:rPr>
                  </w:pPr>
                  <w:r>
                    <w:rPr>
                      <w:rFonts w:hint="eastAsia"/>
                      <w:color w:val="000000"/>
                      <w:szCs w:val="21"/>
                      <w:lang w:val="en-US" w:eastAsia="zh-CN"/>
                    </w:rPr>
                    <w:t>生产车间</w:t>
                  </w:r>
                </w:p>
              </w:tc>
              <w:tc>
                <w:tcPr>
                  <w:tcW w:w="2259" w:type="dxa"/>
                  <w:noWrap w:val="0"/>
                  <w:vAlign w:val="center"/>
                </w:tcPr>
                <w:p>
                  <w:pPr>
                    <w:jc w:val="center"/>
                    <w:rPr>
                      <w:rFonts w:hint="default" w:ascii="Times New Roman" w:hAnsi="Times New Roman" w:eastAsia="宋体"/>
                      <w:color w:val="000000"/>
                      <w:szCs w:val="21"/>
                      <w:lang w:val="en-US" w:eastAsia="zh-CN"/>
                    </w:rPr>
                  </w:pPr>
                  <w:r>
                    <w:rPr>
                      <w:rFonts w:hint="eastAsia"/>
                      <w:color w:val="000000"/>
                      <w:szCs w:val="21"/>
                      <w:lang w:val="en-US" w:eastAsia="zh-CN"/>
                    </w:rPr>
                    <w:t>车间地面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一般</w:t>
                  </w:r>
                </w:p>
              </w:tc>
              <w:tc>
                <w:tcPr>
                  <w:tcW w:w="1554" w:type="dxa"/>
                  <w:vMerge w:val="restart"/>
                  <w:noWrap w:val="0"/>
                  <w:vAlign w:val="center"/>
                </w:tcPr>
                <w:p>
                  <w:pPr>
                    <w:jc w:val="center"/>
                    <w:rPr>
                      <w:rFonts w:ascii="Times New Roman" w:hAnsi="Times New Roman"/>
                      <w:color w:val="000000"/>
                      <w:szCs w:val="21"/>
                    </w:rPr>
                  </w:pPr>
                  <w:r>
                    <w:rPr>
                      <w:rFonts w:ascii="Times New Roman" w:hAnsi="Times New Roman"/>
                      <w:color w:val="000000"/>
                      <w:szCs w:val="21"/>
                    </w:rPr>
                    <w:t>等效粘土防渗层Mb≥1.5m，渗透系数K≤10</w:t>
                  </w:r>
                  <w:r>
                    <w:rPr>
                      <w:rFonts w:ascii="Times New Roman" w:hAnsi="Times New Roman"/>
                      <w:color w:val="000000"/>
                      <w:szCs w:val="21"/>
                      <w:vertAlign w:val="superscript"/>
                    </w:rPr>
                    <w:t>-7</w:t>
                  </w:r>
                  <w:r>
                    <w:rPr>
                      <w:rFonts w:ascii="Times New Roman" w:hAnsi="Times New Roman"/>
                      <w:color w:val="000000"/>
                      <w:szCs w:val="21"/>
                    </w:rPr>
                    <w:t>cm/s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olor w:val="000000"/>
                      <w:szCs w:val="21"/>
                      <w:lang w:eastAsia="zh-CN"/>
                    </w:rPr>
                  </w:pPr>
                  <w:r>
                    <w:rPr>
                      <w:rFonts w:hint="eastAsia"/>
                      <w:color w:val="000000"/>
                      <w:szCs w:val="21"/>
                      <w:lang w:val="en-US" w:eastAsia="zh-CN"/>
                    </w:rPr>
                    <w:t>2</w:t>
                  </w:r>
                </w:p>
              </w:tc>
              <w:tc>
                <w:tcPr>
                  <w:tcW w:w="2073" w:type="dxa"/>
                  <w:noWrap w:val="0"/>
                  <w:vAlign w:val="center"/>
                </w:tcPr>
                <w:p>
                  <w:pPr>
                    <w:jc w:val="center"/>
                    <w:rPr>
                      <w:rFonts w:hint="eastAsia" w:ascii="Times New Roman" w:hAnsi="Times New Roman" w:eastAsia="宋体"/>
                      <w:color w:val="000000"/>
                      <w:szCs w:val="21"/>
                      <w:lang w:eastAsia="zh-CN"/>
                    </w:rPr>
                  </w:pPr>
                  <w:r>
                    <w:rPr>
                      <w:rFonts w:ascii="Times New Roman" w:hAnsi="Times New Roman"/>
                      <w:color w:val="000000"/>
                      <w:szCs w:val="21"/>
                    </w:rPr>
                    <w:t>一般固废</w:t>
                  </w:r>
                  <w:r>
                    <w:rPr>
                      <w:rFonts w:hint="eastAsia"/>
                      <w:color w:val="000000"/>
                      <w:szCs w:val="21"/>
                      <w:lang w:val="en-US" w:eastAsia="zh-CN"/>
                    </w:rPr>
                    <w:t>库</w:t>
                  </w:r>
                </w:p>
              </w:tc>
              <w:tc>
                <w:tcPr>
                  <w:tcW w:w="2259" w:type="dxa"/>
                  <w:noWrap w:val="0"/>
                  <w:vAlign w:val="center"/>
                </w:tcPr>
                <w:p>
                  <w:pPr>
                    <w:jc w:val="center"/>
                    <w:rPr>
                      <w:rFonts w:ascii="Times New Roman" w:hAnsi="Times New Roman"/>
                      <w:color w:val="000000"/>
                      <w:szCs w:val="21"/>
                    </w:rPr>
                  </w:pPr>
                  <w:r>
                    <w:rPr>
                      <w:rFonts w:ascii="Times New Roman" w:hAnsi="Times New Roman"/>
                      <w:color w:val="000000"/>
                      <w:szCs w:val="21"/>
                    </w:rPr>
                    <w:t>固废区地面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一般</w:t>
                  </w:r>
                </w:p>
              </w:tc>
              <w:tc>
                <w:tcPr>
                  <w:tcW w:w="1554" w:type="dxa"/>
                  <w:vMerge w:val="continue"/>
                  <w:noWrap w:val="0"/>
                  <w:vAlign w:val="center"/>
                </w:tcPr>
                <w:p>
                  <w:pPr>
                    <w:jc w:val="center"/>
                    <w:rPr>
                      <w:rFonts w:ascii="Times New Roman" w:hAnsi="Times New Roman"/>
                      <w:color w:val="000000"/>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olor w:val="000000"/>
                      <w:szCs w:val="21"/>
                      <w:lang w:val="en-US" w:eastAsia="zh-CN"/>
                    </w:rPr>
                    <w:t>3</w:t>
                  </w:r>
                </w:p>
              </w:tc>
              <w:tc>
                <w:tcPr>
                  <w:tcW w:w="2073" w:type="dxa"/>
                  <w:noWrap w:val="0"/>
                  <w:vAlign w:val="center"/>
                </w:tcPr>
                <w:p>
                  <w:pPr>
                    <w:jc w:val="center"/>
                    <w:rPr>
                      <w:rFonts w:hint="default" w:ascii="Times New Roman" w:hAnsi="Times New Roman" w:eastAsia="宋体"/>
                      <w:color w:val="auto"/>
                      <w:szCs w:val="21"/>
                      <w:lang w:val="en-US" w:eastAsia="zh-CN"/>
                    </w:rPr>
                  </w:pPr>
                  <w:r>
                    <w:rPr>
                      <w:rFonts w:hint="eastAsia"/>
                      <w:color w:val="auto"/>
                      <w:szCs w:val="21"/>
                      <w:lang w:val="en-US" w:eastAsia="zh-CN"/>
                    </w:rPr>
                    <w:t>材</w:t>
                  </w:r>
                  <w:r>
                    <w:rPr>
                      <w:rFonts w:hint="eastAsia" w:ascii="Times New Roman" w:hAnsi="Times New Roman"/>
                      <w:color w:val="auto"/>
                      <w:szCs w:val="21"/>
                      <w:lang w:val="en-US" w:eastAsia="zh-CN"/>
                    </w:rPr>
                    <w:t>料库</w:t>
                  </w:r>
                </w:p>
              </w:tc>
              <w:tc>
                <w:tcPr>
                  <w:tcW w:w="2259" w:type="dxa"/>
                  <w:noWrap w:val="0"/>
                  <w:vAlign w:val="center"/>
                </w:tcPr>
                <w:p>
                  <w:pPr>
                    <w:jc w:val="center"/>
                    <w:rPr>
                      <w:rFonts w:ascii="Times New Roman" w:hAnsi="Times New Roman"/>
                      <w:color w:val="auto"/>
                      <w:szCs w:val="21"/>
                    </w:rPr>
                  </w:pPr>
                  <w:r>
                    <w:rPr>
                      <w:rFonts w:hint="eastAsia" w:ascii="Times New Roman" w:hAnsi="Times New Roman"/>
                      <w:color w:val="auto"/>
                      <w:szCs w:val="21"/>
                      <w:lang w:val="en-US" w:eastAsia="zh-CN"/>
                    </w:rPr>
                    <w:t>仓库</w:t>
                  </w:r>
                  <w:r>
                    <w:rPr>
                      <w:rFonts w:ascii="Times New Roman" w:hAnsi="Times New Roman"/>
                      <w:color w:val="auto"/>
                      <w:szCs w:val="21"/>
                    </w:rPr>
                    <w:t>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一般</w:t>
                  </w:r>
                </w:p>
              </w:tc>
              <w:tc>
                <w:tcPr>
                  <w:tcW w:w="1554" w:type="dxa"/>
                  <w:vMerge w:val="continue"/>
                  <w:noWrap w:val="0"/>
                  <w:vAlign w:val="center"/>
                </w:tcPr>
                <w:p>
                  <w:pPr>
                    <w:jc w:val="center"/>
                    <w:rPr>
                      <w:rFonts w:ascii="Times New Roman" w:hAnsi="Times New Roman"/>
                      <w:color w:val="000000"/>
                      <w:szCs w:val="21"/>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9" w:hRule="atLeast"/>
                <w:tblHeader/>
                <w:jc w:val="center"/>
              </w:trPr>
              <w:tc>
                <w:tcPr>
                  <w:tcW w:w="614" w:type="dxa"/>
                  <w:noWrap w:val="0"/>
                  <w:vAlign w:val="center"/>
                </w:tcPr>
                <w:p>
                  <w:pPr>
                    <w:spacing w:line="240" w:lineRule="atLeast"/>
                    <w:jc w:val="center"/>
                    <w:rPr>
                      <w:rFonts w:hint="eastAsia" w:ascii="Times New Roman" w:hAnsi="Times New Roman" w:eastAsia="宋体" w:cs="Times New Roman"/>
                      <w:color w:val="000000"/>
                      <w:kern w:val="2"/>
                      <w:sz w:val="21"/>
                      <w:szCs w:val="21"/>
                      <w:lang w:val="en-US" w:eastAsia="zh-CN" w:bidi="ar-SA"/>
                    </w:rPr>
                  </w:pPr>
                  <w:r>
                    <w:rPr>
                      <w:rFonts w:hint="eastAsia" w:ascii="Times New Roman" w:hAnsi="Times New Roman"/>
                      <w:color w:val="000000"/>
                      <w:szCs w:val="21"/>
                      <w:lang w:val="en-US" w:eastAsia="zh-CN"/>
                    </w:rPr>
                    <w:t>4</w:t>
                  </w:r>
                </w:p>
              </w:tc>
              <w:tc>
                <w:tcPr>
                  <w:tcW w:w="2073" w:type="dxa"/>
                  <w:noWrap w:val="0"/>
                  <w:vAlign w:val="center"/>
                </w:tcPr>
                <w:p>
                  <w:pPr>
                    <w:jc w:val="center"/>
                    <w:rPr>
                      <w:rFonts w:hint="eastAsia" w:ascii="Times New Roman" w:hAnsi="Times New Roman" w:eastAsia="宋体"/>
                      <w:color w:val="000000"/>
                      <w:szCs w:val="21"/>
                      <w:lang w:eastAsia="zh-CN"/>
                    </w:rPr>
                  </w:pPr>
                  <w:r>
                    <w:rPr>
                      <w:rFonts w:ascii="Times New Roman" w:hAnsi="Times New Roman"/>
                      <w:color w:val="000000"/>
                      <w:szCs w:val="21"/>
                    </w:rPr>
                    <w:t>危废暂存</w:t>
                  </w:r>
                  <w:r>
                    <w:rPr>
                      <w:rFonts w:hint="eastAsia"/>
                      <w:color w:val="000000"/>
                      <w:szCs w:val="21"/>
                      <w:lang w:val="en-US" w:eastAsia="zh-CN"/>
                    </w:rPr>
                    <w:t>间</w:t>
                  </w:r>
                </w:p>
              </w:tc>
              <w:tc>
                <w:tcPr>
                  <w:tcW w:w="2259" w:type="dxa"/>
                  <w:noWrap w:val="0"/>
                  <w:vAlign w:val="center"/>
                </w:tcPr>
                <w:p>
                  <w:pPr>
                    <w:jc w:val="center"/>
                    <w:rPr>
                      <w:rFonts w:ascii="Times New Roman" w:hAnsi="Times New Roman"/>
                      <w:color w:val="000000"/>
                      <w:szCs w:val="21"/>
                    </w:rPr>
                  </w:pPr>
                  <w:r>
                    <w:rPr>
                      <w:rFonts w:ascii="Times New Roman" w:hAnsi="Times New Roman"/>
                      <w:color w:val="000000"/>
                      <w:szCs w:val="21"/>
                    </w:rPr>
                    <w:t>仓库地面</w:t>
                  </w:r>
                </w:p>
              </w:tc>
              <w:tc>
                <w:tcPr>
                  <w:tcW w:w="1217" w:type="dxa"/>
                  <w:noWrap w:val="0"/>
                  <w:vAlign w:val="center"/>
                </w:tcPr>
                <w:p>
                  <w:pPr>
                    <w:jc w:val="center"/>
                    <w:rPr>
                      <w:rFonts w:ascii="Times New Roman" w:hAnsi="Times New Roman"/>
                      <w:color w:val="000000"/>
                      <w:szCs w:val="21"/>
                    </w:rPr>
                  </w:pPr>
                  <w:r>
                    <w:rPr>
                      <w:rFonts w:ascii="Times New Roman" w:hAnsi="Times New Roman"/>
                      <w:color w:val="000000"/>
                      <w:szCs w:val="21"/>
                    </w:rPr>
                    <w:t>重点</w:t>
                  </w:r>
                </w:p>
              </w:tc>
              <w:tc>
                <w:tcPr>
                  <w:tcW w:w="1554" w:type="dxa"/>
                  <w:vMerge w:val="restart"/>
                  <w:noWrap w:val="0"/>
                  <w:vAlign w:val="center"/>
                </w:tcPr>
                <w:p>
                  <w:pPr>
                    <w:jc w:val="center"/>
                    <w:rPr>
                      <w:rFonts w:ascii="Times New Roman" w:hAnsi="Times New Roman"/>
                      <w:color w:val="000000"/>
                      <w:szCs w:val="21"/>
                    </w:rPr>
                  </w:pPr>
                  <w:r>
                    <w:rPr>
                      <w:rFonts w:ascii="Times New Roman" w:hAnsi="Times New Roman"/>
                      <w:color w:val="000000"/>
                      <w:szCs w:val="21"/>
                    </w:rPr>
                    <w:t>等效黏土防渗层Mb≥6.0m，K≤1×</w:t>
                  </w:r>
                </w:p>
                <w:p>
                  <w:pPr>
                    <w:jc w:val="center"/>
                    <w:rPr>
                      <w:rFonts w:ascii="Times New Roman" w:hAnsi="Times New Roman"/>
                      <w:color w:val="000000"/>
                      <w:szCs w:val="21"/>
                    </w:rPr>
                  </w:pPr>
                  <w:r>
                    <w:rPr>
                      <w:rFonts w:ascii="Times New Roman" w:hAnsi="Times New Roman"/>
                      <w:color w:val="000000"/>
                      <w:szCs w:val="21"/>
                    </w:rPr>
                    <w:t>10</w:t>
                  </w:r>
                  <w:r>
                    <w:rPr>
                      <w:rFonts w:ascii="Times New Roman" w:hAnsi="Times New Roman"/>
                      <w:color w:val="000000"/>
                      <w:szCs w:val="21"/>
                      <w:vertAlign w:val="superscript"/>
                    </w:rPr>
                    <w:t>-7</w:t>
                  </w:r>
                  <w:r>
                    <w:rPr>
                      <w:rFonts w:ascii="Times New Roman" w:hAnsi="Times New Roman"/>
                      <w:color w:val="000000"/>
                      <w:szCs w:val="21"/>
                    </w:rPr>
                    <w:t>cm/s</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3" w:hRule="atLeast"/>
                <w:tblHeader/>
                <w:jc w:val="center"/>
              </w:trPr>
              <w:tc>
                <w:tcPr>
                  <w:tcW w:w="614" w:type="dxa"/>
                  <w:noWrap w:val="0"/>
                  <w:vAlign w:val="center"/>
                </w:tcPr>
                <w:p>
                  <w:pPr>
                    <w:spacing w:line="240" w:lineRule="atLeast"/>
                    <w:jc w:val="center"/>
                    <w:rPr>
                      <w:rFonts w:hint="default" w:ascii="Times New Roman" w:hAnsi="Times New Roman" w:eastAsia="宋体"/>
                      <w:color w:val="000000"/>
                      <w:szCs w:val="21"/>
                      <w:lang w:val="en-US" w:eastAsia="zh-CN"/>
                    </w:rPr>
                  </w:pPr>
                  <w:r>
                    <w:rPr>
                      <w:rFonts w:hint="eastAsia"/>
                      <w:color w:val="000000"/>
                      <w:szCs w:val="21"/>
                      <w:lang w:val="en-US" w:eastAsia="zh-CN"/>
                    </w:rPr>
                    <w:t>5</w:t>
                  </w:r>
                </w:p>
              </w:tc>
              <w:tc>
                <w:tcPr>
                  <w:tcW w:w="2073" w:type="dxa"/>
                  <w:noWrap w:val="0"/>
                  <w:vAlign w:val="center"/>
                </w:tcPr>
                <w:p>
                  <w:pPr>
                    <w:jc w:val="center"/>
                    <w:rPr>
                      <w:rFonts w:ascii="Times New Roman" w:hAnsi="Times New Roman"/>
                      <w:color w:val="000000"/>
                      <w:szCs w:val="21"/>
                    </w:rPr>
                  </w:pPr>
                  <w:r>
                    <w:rPr>
                      <w:rFonts w:hint="eastAsia"/>
                      <w:color w:val="000000"/>
                      <w:szCs w:val="21"/>
                      <w:lang w:val="en-US" w:eastAsia="zh-CN"/>
                    </w:rPr>
                    <w:t>混合水</w:t>
                  </w:r>
                  <w:r>
                    <w:rPr>
                      <w:rFonts w:hint="eastAsia" w:ascii="Times New Roman" w:hAnsi="Times New Roman"/>
                      <w:color w:val="000000"/>
                      <w:szCs w:val="21"/>
                    </w:rPr>
                    <w:t>池</w:t>
                  </w:r>
                </w:p>
              </w:tc>
              <w:tc>
                <w:tcPr>
                  <w:tcW w:w="2259" w:type="dxa"/>
                  <w:noWrap w:val="0"/>
                  <w:vAlign w:val="center"/>
                </w:tcPr>
                <w:p>
                  <w:pPr>
                    <w:jc w:val="center"/>
                    <w:rPr>
                      <w:rFonts w:ascii="Times New Roman" w:hAnsi="Times New Roman"/>
                      <w:color w:val="000000"/>
                      <w:szCs w:val="21"/>
                    </w:rPr>
                  </w:pPr>
                  <w:r>
                    <w:rPr>
                      <w:rFonts w:hint="eastAsia" w:ascii="Times New Roman" w:hAnsi="Times New Roman"/>
                      <w:color w:val="000000"/>
                      <w:szCs w:val="21"/>
                    </w:rPr>
                    <w:t>池底底面</w:t>
                  </w:r>
                </w:p>
              </w:tc>
              <w:tc>
                <w:tcPr>
                  <w:tcW w:w="1217" w:type="dxa"/>
                  <w:noWrap w:val="0"/>
                  <w:vAlign w:val="center"/>
                </w:tcPr>
                <w:p>
                  <w:pPr>
                    <w:jc w:val="center"/>
                    <w:rPr>
                      <w:rFonts w:ascii="Times New Roman" w:hAnsi="Times New Roman"/>
                      <w:color w:val="000000"/>
                      <w:szCs w:val="21"/>
                    </w:rPr>
                  </w:pPr>
                  <w:r>
                    <w:rPr>
                      <w:rFonts w:hint="eastAsia" w:ascii="Times New Roman" w:hAnsi="Times New Roman"/>
                      <w:color w:val="000000"/>
                      <w:szCs w:val="21"/>
                    </w:rPr>
                    <w:t>重点</w:t>
                  </w:r>
                </w:p>
              </w:tc>
              <w:tc>
                <w:tcPr>
                  <w:tcW w:w="1554" w:type="dxa"/>
                  <w:vMerge w:val="continue"/>
                  <w:noWrap w:val="0"/>
                  <w:vAlign w:val="center"/>
                </w:tcPr>
                <w:p>
                  <w:pPr>
                    <w:jc w:val="center"/>
                    <w:rPr>
                      <w:rFonts w:ascii="Times New Roman" w:hAnsi="Times New Roman"/>
                      <w:color w:val="000000"/>
                      <w:szCs w:val="21"/>
                    </w:rPr>
                  </w:pPr>
                </w:p>
              </w:tc>
            </w:tr>
          </w:tbl>
          <w:p>
            <w:pPr>
              <w:ind w:firstLine="420" w:firstLineChars="200"/>
              <w:rPr>
                <w:rFonts w:ascii="Times New Roman" w:hAnsi="Times New Roman"/>
                <w:color w:val="000000"/>
              </w:rPr>
            </w:pPr>
          </w:p>
          <w:p>
            <w:pPr>
              <w:pStyle w:val="67"/>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项目重点防渗区防渗措施为：混凝土+2mmHDPE 土工膜+混凝土结构形式，防渗结构层渗透系数不应大于1.0×10</w:t>
            </w:r>
            <w:r>
              <w:rPr>
                <w:rFonts w:ascii="Times New Roman" w:hAnsi="Times New Roman"/>
                <w:color w:val="000000"/>
                <w:sz w:val="24"/>
                <w:szCs w:val="24"/>
                <w:vertAlign w:val="superscript"/>
              </w:rPr>
              <w:t>-10</w:t>
            </w:r>
            <w:r>
              <w:rPr>
                <w:rFonts w:ascii="Times New Roman" w:hAnsi="Times New Roman"/>
                <w:color w:val="000000"/>
                <w:sz w:val="24"/>
                <w:szCs w:val="24"/>
              </w:rPr>
              <w:t>cm/s，土工膜（厚度不宜小于1.5mm）。</w:t>
            </w:r>
          </w:p>
          <w:p>
            <w:pPr>
              <w:pStyle w:val="67"/>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此外还要加强管理，提高操作人员技术水平，完善管理机制，建立严格的生产管理制度，遵守操作规程，防止各防渗水池内污水溢出漫流。项目采取以上措施后，可最大程度的减少项目污染物的排放对地下水的影响。</w:t>
            </w:r>
          </w:p>
          <w:p>
            <w:pPr>
              <w:pStyle w:val="67"/>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综上所述，在做好生产区等构筑物的防渗工作的前提下，加强管理，项目不会对地下水环境产生不利影响。</w:t>
            </w:r>
          </w:p>
          <w:p>
            <w:pPr>
              <w:spacing w:line="360" w:lineRule="auto"/>
              <w:ind w:firstLine="482" w:firstLineChars="200"/>
              <w:rPr>
                <w:b/>
                <w:color w:val="000000"/>
                <w:sz w:val="24"/>
              </w:rPr>
            </w:pPr>
            <w:r>
              <w:rPr>
                <w:rFonts w:hint="eastAsia"/>
                <w:b/>
                <w:color w:val="000000"/>
                <w:sz w:val="24"/>
              </w:rPr>
              <w:t>七、环境风险分析</w:t>
            </w:r>
          </w:p>
          <w:p>
            <w:pPr>
              <w:spacing w:line="360" w:lineRule="auto"/>
              <w:ind w:firstLine="480" w:firstLineChars="200"/>
              <w:rPr>
                <w:color w:val="000000"/>
                <w:sz w:val="24"/>
              </w:rPr>
            </w:pPr>
            <w:r>
              <w:rPr>
                <w:color w:val="000000"/>
                <w:sz w:val="24"/>
              </w:rPr>
              <w:t>环境风险防范意识是企业安全生产的前提和保障，本次评价仅对项目潜在的危险源和可能造成的污染事故及环境影响进行简单分析、评价，并提出防止事故措施，以达到降低风险，减少危害的目的。</w:t>
            </w:r>
          </w:p>
          <w:p>
            <w:pPr>
              <w:pStyle w:val="14"/>
              <w:spacing w:before="0" w:beforeAutospacing="0" w:after="0" w:line="360" w:lineRule="auto"/>
              <w:ind w:left="0" w:leftChars="0" w:firstLine="480" w:firstLineChars="200"/>
              <w:rPr>
                <w:color w:val="000000"/>
                <w:sz w:val="24"/>
                <w:szCs w:val="24"/>
              </w:rPr>
            </w:pPr>
            <w:r>
              <w:rPr>
                <w:color w:val="000000"/>
                <w:sz w:val="24"/>
                <w:szCs w:val="24"/>
              </w:rPr>
              <w:t>（1）环境风险评价等级判定依据</w:t>
            </w:r>
          </w:p>
          <w:p>
            <w:pPr>
              <w:pStyle w:val="12"/>
              <w:spacing w:line="360" w:lineRule="auto"/>
              <w:ind w:firstLine="480" w:firstLineChars="200"/>
              <w:rPr>
                <w:rFonts w:ascii="Times New Roman" w:hAnsi="Times New Roman"/>
                <w:color w:val="000000"/>
                <w:sz w:val="24"/>
                <w:szCs w:val="24"/>
              </w:rPr>
            </w:pPr>
            <w:r>
              <w:rPr>
                <w:rFonts w:ascii="Times New Roman" w:hAnsi="Times New Roman"/>
                <w:color w:val="000000"/>
                <w:sz w:val="24"/>
                <w:szCs w:val="24"/>
              </w:rPr>
              <w:t>依据《建设项目环境风险评价技术导则》（HJ169-2018），需对项目环境风险评价划分工作等级，划分依据见</w:t>
            </w:r>
            <w:r>
              <w:rPr>
                <w:rFonts w:hint="eastAsia" w:ascii="Times New Roman" w:hAnsi="Times New Roman"/>
                <w:color w:val="000000"/>
                <w:sz w:val="24"/>
                <w:szCs w:val="24"/>
              </w:rPr>
              <w:t>下表</w:t>
            </w:r>
            <w:r>
              <w:rPr>
                <w:rFonts w:ascii="Times New Roman" w:hAnsi="Times New Roman"/>
                <w:color w:val="000000"/>
                <w:sz w:val="24"/>
                <w:szCs w:val="24"/>
              </w:rPr>
              <w:t>。</w:t>
            </w:r>
          </w:p>
          <w:p>
            <w:pPr>
              <w:pStyle w:val="12"/>
              <w:spacing w:line="440" w:lineRule="exact"/>
              <w:ind w:firstLine="482" w:firstLineChars="200"/>
              <w:jc w:val="center"/>
              <w:rPr>
                <w:rFonts w:ascii="Times New Roman" w:hAnsi="Times New Roman"/>
                <w:color w:val="000000"/>
                <w:sz w:val="24"/>
                <w:szCs w:val="24"/>
              </w:rPr>
            </w:pPr>
            <w:r>
              <w:rPr>
                <w:rFonts w:ascii="Times New Roman" w:hAnsi="Times New Roman"/>
                <w:b/>
                <w:color w:val="000000"/>
                <w:sz w:val="24"/>
                <w:szCs w:val="24"/>
              </w:rPr>
              <w:t>表4-</w:t>
            </w:r>
            <w:r>
              <w:rPr>
                <w:rFonts w:hint="eastAsia" w:ascii="Times New Roman" w:hAnsi="Times New Roman"/>
                <w:b/>
                <w:color w:val="000000"/>
                <w:sz w:val="24"/>
                <w:szCs w:val="24"/>
                <w:lang w:val="en-US" w:eastAsia="zh-CN"/>
              </w:rPr>
              <w:t>8</w:t>
            </w:r>
            <w:r>
              <w:rPr>
                <w:rFonts w:ascii="Times New Roman" w:hAnsi="Times New Roman"/>
                <w:b/>
                <w:color w:val="000000"/>
                <w:sz w:val="24"/>
                <w:szCs w:val="24"/>
              </w:rPr>
              <w:t xml:space="preserve">  建设项目环境风险评价工作等级判别表</w:t>
            </w:r>
          </w:p>
          <w:tbl>
            <w:tblPr>
              <w:tblStyle w:val="26"/>
              <w:tblW w:w="5000" w:type="pct"/>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394"/>
              <w:gridCol w:w="1527"/>
              <w:gridCol w:w="1803"/>
              <w:gridCol w:w="1565"/>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op w:val="single" w:color="auto" w:sz="4" w:space="0"/>
                    <w:left w:val="nil"/>
                    <w:bottom w:val="single" w:color="auto" w:sz="4" w:space="0"/>
                    <w:right w:val="single" w:color="auto" w:sz="4" w:space="0"/>
                  </w:tcBorders>
                  <w:vAlign w:val="center"/>
                </w:tcPr>
                <w:p>
                  <w:pPr>
                    <w:pStyle w:val="94"/>
                    <w:spacing w:before="0"/>
                    <w:ind w:firstLine="0"/>
                    <w:jc w:val="center"/>
                    <w:rPr>
                      <w:rFonts w:ascii="Times New Roman" w:hAnsi="Times New Roman"/>
                      <w:b/>
                      <w:color w:val="000000"/>
                      <w:sz w:val="21"/>
                      <w:szCs w:val="21"/>
                    </w:rPr>
                  </w:pPr>
                  <w:r>
                    <w:rPr>
                      <w:rFonts w:ascii="Times New Roman" w:hAnsi="Times New Roman"/>
                      <w:b/>
                      <w:color w:val="000000"/>
                      <w:sz w:val="21"/>
                      <w:szCs w:val="21"/>
                    </w:rPr>
                    <w:t>环境风险潜势</w:t>
                  </w:r>
                </w:p>
              </w:tc>
              <w:tc>
                <w:tcPr>
                  <w:tcW w:w="88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b/>
                      <w:color w:val="000000"/>
                      <w:sz w:val="21"/>
                      <w:szCs w:val="21"/>
                    </w:rPr>
                  </w:pPr>
                  <w:r>
                    <w:rPr>
                      <w:rFonts w:ascii="Times New Roman" w:hAnsi="Times New Roman"/>
                      <w:color w:val="000000"/>
                      <w:sz w:val="21"/>
                      <w:szCs w:val="21"/>
                    </w:rPr>
                    <w:t>IV、IV</w:t>
                  </w:r>
                  <w:r>
                    <w:rPr>
                      <w:rFonts w:ascii="Times New Roman" w:hAnsi="Times New Roman"/>
                      <w:color w:val="000000"/>
                      <w:sz w:val="21"/>
                      <w:szCs w:val="21"/>
                      <w:vertAlign w:val="superscript"/>
                    </w:rPr>
                    <w:t>+</w:t>
                  </w:r>
                </w:p>
              </w:tc>
              <w:tc>
                <w:tcPr>
                  <w:tcW w:w="971"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b/>
                      <w:color w:val="000000"/>
                      <w:sz w:val="21"/>
                      <w:szCs w:val="21"/>
                    </w:rPr>
                  </w:pPr>
                  <w:r>
                    <w:rPr>
                      <w:rFonts w:ascii="Times New Roman" w:hAnsi="Times New Roman"/>
                      <w:color w:val="000000"/>
                      <w:sz w:val="21"/>
                      <w:szCs w:val="21"/>
                    </w:rPr>
                    <w:t>Ⅲ</w:t>
                  </w:r>
                </w:p>
              </w:tc>
              <w:tc>
                <w:tcPr>
                  <w:tcW w:w="114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bCs/>
                      <w:color w:val="000000"/>
                      <w:sz w:val="21"/>
                      <w:szCs w:val="21"/>
                    </w:rPr>
                  </w:pPr>
                  <w:r>
                    <w:rPr>
                      <w:rFonts w:ascii="Times New Roman" w:hAnsi="Times New Roman"/>
                      <w:bCs/>
                      <w:color w:val="000000"/>
                      <w:sz w:val="21"/>
                      <w:szCs w:val="21"/>
                    </w:rPr>
                    <w:t>П</w:t>
                  </w:r>
                </w:p>
              </w:tc>
              <w:tc>
                <w:tcPr>
                  <w:tcW w:w="995" w:type="pct"/>
                  <w:tcBorders>
                    <w:top w:val="single" w:color="auto" w:sz="4" w:space="0"/>
                    <w:left w:val="single" w:color="auto" w:sz="4" w:space="0"/>
                    <w:bottom w:val="single" w:color="auto" w:sz="4" w:space="0"/>
                    <w:right w:val="nil"/>
                  </w:tcBorders>
                  <w:vAlign w:val="center"/>
                </w:tcPr>
                <w:p>
                  <w:pPr>
                    <w:pStyle w:val="94"/>
                    <w:spacing w:before="0"/>
                    <w:ind w:firstLine="0"/>
                    <w:jc w:val="center"/>
                    <w:rPr>
                      <w:rFonts w:ascii="Times New Roman" w:hAnsi="Times New Roman"/>
                      <w:bCs/>
                      <w:color w:val="000000"/>
                      <w:sz w:val="21"/>
                      <w:szCs w:val="21"/>
                    </w:rPr>
                  </w:pPr>
                  <w:r>
                    <w:rPr>
                      <w:rFonts w:ascii="Times New Roman" w:hAnsi="Times New Roman"/>
                      <w:bCs/>
                      <w:color w:val="000000"/>
                      <w:sz w:val="21"/>
                      <w:szCs w:val="21"/>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op w:val="single" w:color="auto" w:sz="4" w:space="0"/>
                    <w:left w:val="nil"/>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评价工作等级</w:t>
                  </w:r>
                </w:p>
              </w:tc>
              <w:tc>
                <w:tcPr>
                  <w:tcW w:w="88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一</w:t>
                  </w:r>
                </w:p>
              </w:tc>
              <w:tc>
                <w:tcPr>
                  <w:tcW w:w="971"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二</w:t>
                  </w:r>
                </w:p>
              </w:tc>
              <w:tc>
                <w:tcPr>
                  <w:tcW w:w="1147" w:type="pct"/>
                  <w:tcBorders>
                    <w:top w:val="single" w:color="auto" w:sz="4" w:space="0"/>
                    <w:left w:val="single" w:color="auto" w:sz="4" w:space="0"/>
                    <w:bottom w:val="single" w:color="auto" w:sz="4" w:space="0"/>
                    <w:right w:val="single" w:color="auto" w:sz="4" w:space="0"/>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三</w:t>
                  </w:r>
                </w:p>
              </w:tc>
              <w:tc>
                <w:tcPr>
                  <w:tcW w:w="995" w:type="pct"/>
                  <w:tcBorders>
                    <w:top w:val="single" w:color="auto" w:sz="4" w:space="0"/>
                    <w:left w:val="single" w:color="auto" w:sz="4" w:space="0"/>
                    <w:bottom w:val="single" w:color="auto" w:sz="4" w:space="0"/>
                    <w:right w:val="nil"/>
                  </w:tcBorders>
                  <w:vAlign w:val="center"/>
                </w:tcPr>
                <w:p>
                  <w:pPr>
                    <w:pStyle w:val="94"/>
                    <w:spacing w:before="0"/>
                    <w:ind w:firstLine="0"/>
                    <w:jc w:val="center"/>
                    <w:rPr>
                      <w:rFonts w:ascii="Times New Roman" w:hAnsi="Times New Roman"/>
                      <w:color w:val="000000"/>
                      <w:sz w:val="21"/>
                      <w:szCs w:val="21"/>
                    </w:rPr>
                  </w:pPr>
                  <w:r>
                    <w:rPr>
                      <w:rFonts w:ascii="Times New Roman" w:hAnsi="Times New Roman"/>
                      <w:color w:val="000000"/>
                      <w:sz w:val="21"/>
                      <w:szCs w:val="21"/>
                    </w:rPr>
                    <w:t>简单分析</w:t>
                  </w:r>
                </w:p>
              </w:tc>
            </w:tr>
          </w:tbl>
          <w:p>
            <w:pPr>
              <w:pStyle w:val="14"/>
              <w:spacing w:before="0" w:beforeAutospacing="0" w:after="0"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（2）环境风险潜势确定</w:t>
            </w:r>
          </w:p>
          <w:p>
            <w:pPr>
              <w:pStyle w:val="14"/>
              <w:spacing w:before="0" w:beforeAutospacing="0" w:after="0" w:line="360" w:lineRule="auto"/>
              <w:ind w:left="0" w:leftChars="0" w:firstLine="468" w:firstLineChars="195"/>
              <w:rPr>
                <w:rFonts w:ascii="Times New Roman" w:hAnsi="Times New Roman" w:cs="Times New Roman"/>
                <w:color w:val="000000"/>
                <w:sz w:val="24"/>
                <w:szCs w:val="24"/>
              </w:rPr>
            </w:pPr>
            <w:r>
              <w:rPr>
                <w:rFonts w:ascii="Times New Roman" w:hAnsi="Times New Roman" w:cs="Times New Roman"/>
                <w:color w:val="000000"/>
                <w:sz w:val="24"/>
                <w:szCs w:val="24"/>
              </w:rPr>
              <w:t>环境风险潜势是根据建设项目涉及的物质和工艺系统的危险性及其所在地的环境敏感程度，结合事故情形下环境影响途径，对建设项目潜在环境危害程度的一种量化形式。环境风险潜势划分依据见</w:t>
            </w:r>
            <w:r>
              <w:rPr>
                <w:rFonts w:hint="eastAsia" w:ascii="Times New Roman" w:hAnsi="Times New Roman" w:cs="Times New Roman"/>
                <w:color w:val="000000"/>
                <w:sz w:val="24"/>
                <w:szCs w:val="24"/>
              </w:rPr>
              <w:t>下表</w:t>
            </w:r>
            <w:r>
              <w:rPr>
                <w:rFonts w:ascii="Times New Roman" w:hAnsi="Times New Roman" w:cs="Times New Roman"/>
                <w:color w:val="000000"/>
                <w:sz w:val="24"/>
                <w:szCs w:val="24"/>
              </w:rPr>
              <w:t>。</w:t>
            </w:r>
          </w:p>
          <w:p>
            <w:pPr>
              <w:pStyle w:val="12"/>
              <w:spacing w:line="440" w:lineRule="exact"/>
              <w:ind w:firstLine="482" w:firstLineChars="200"/>
              <w:jc w:val="center"/>
              <w:rPr>
                <w:rFonts w:ascii="Times New Roman" w:hAnsi="Times New Roman"/>
                <w:color w:val="000000"/>
                <w:sz w:val="24"/>
                <w:szCs w:val="24"/>
              </w:rPr>
            </w:pPr>
            <w:r>
              <w:rPr>
                <w:rFonts w:ascii="Times New Roman" w:hAnsi="Times New Roman"/>
                <w:b/>
                <w:color w:val="000000"/>
                <w:sz w:val="24"/>
                <w:szCs w:val="24"/>
              </w:rPr>
              <w:t>表4-</w:t>
            </w:r>
            <w:r>
              <w:rPr>
                <w:rFonts w:hint="eastAsia" w:ascii="Times New Roman" w:hAnsi="Times New Roman"/>
                <w:b/>
                <w:color w:val="000000"/>
                <w:sz w:val="24"/>
                <w:szCs w:val="24"/>
                <w:lang w:val="en-US" w:eastAsia="zh-CN"/>
              </w:rPr>
              <w:t xml:space="preserve">9  </w:t>
            </w:r>
            <w:r>
              <w:rPr>
                <w:rFonts w:ascii="Times New Roman" w:hAnsi="Times New Roman"/>
                <w:b/>
                <w:color w:val="000000"/>
                <w:sz w:val="24"/>
                <w:szCs w:val="24"/>
              </w:rPr>
              <w:t>建设项目环境风险潜势划分</w:t>
            </w:r>
          </w:p>
          <w:tbl>
            <w:tblPr>
              <w:tblStyle w:val="26"/>
              <w:tblW w:w="4873" w:type="pct"/>
              <w:tblInd w:w="113"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54"/>
              <w:gridCol w:w="1240"/>
              <w:gridCol w:w="1487"/>
              <w:gridCol w:w="1749"/>
              <w:gridCol w:w="152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vMerge w:val="restart"/>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环境敏感程度E</w:t>
                  </w:r>
                </w:p>
              </w:tc>
              <w:tc>
                <w:tcPr>
                  <w:tcW w:w="6005" w:type="dxa"/>
                  <w:gridSpan w:val="4"/>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危险物质及工艺系统危险性P</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vMerge w:val="continue"/>
                  <w:tcBorders>
                    <w:top w:val="single" w:color="auto" w:sz="4" w:space="0"/>
                    <w:left w:val="nil"/>
                    <w:bottom w:val="single" w:color="auto" w:sz="4" w:space="0"/>
                    <w:right w:val="single" w:color="auto" w:sz="4" w:space="0"/>
                  </w:tcBorders>
                  <w:vAlign w:val="center"/>
                </w:tcPr>
                <w:p>
                  <w:pPr>
                    <w:widowControl/>
                    <w:jc w:val="left"/>
                    <w:rPr>
                      <w:b/>
                      <w:color w:val="000000"/>
                      <w:szCs w:val="21"/>
                    </w:rPr>
                  </w:pP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极高危害</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高度危害</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中度危害</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b/>
                      <w:color w:val="000000"/>
                      <w:sz w:val="21"/>
                      <w:szCs w:val="21"/>
                    </w:rPr>
                  </w:pPr>
                  <w:r>
                    <w:rPr>
                      <w:rFonts w:ascii="Times New Roman" w:hAnsi="Times New Roman"/>
                      <w:b/>
                      <w:color w:val="000000"/>
                      <w:sz w:val="21"/>
                      <w:szCs w:val="21"/>
                    </w:rPr>
                    <w:t>轻度危害</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环境高度敏感区</w:t>
                  </w: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IV</w:t>
                  </w:r>
                  <w:r>
                    <w:rPr>
                      <w:rFonts w:ascii="Times New Roman" w:hAnsi="Times New Roman"/>
                      <w:color w:val="000000"/>
                      <w:sz w:val="21"/>
                      <w:szCs w:val="21"/>
                      <w:vertAlign w:val="superscript"/>
                    </w:rPr>
                    <w:t>+</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IV</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环境中度敏感区</w:t>
                  </w: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IV</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Ⅱ</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4" w:type="dxa"/>
                  <w:tcBorders>
                    <w:top w:val="single" w:color="auto" w:sz="4" w:space="0"/>
                    <w:left w:val="nil"/>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环境低度敏感区</w:t>
                  </w:r>
                </w:p>
              </w:tc>
              <w:tc>
                <w:tcPr>
                  <w:tcW w:w="1240"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487"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Ⅲ</w:t>
                  </w:r>
                </w:p>
              </w:tc>
              <w:tc>
                <w:tcPr>
                  <w:tcW w:w="1749" w:type="dxa"/>
                  <w:tcBorders>
                    <w:top w:val="single" w:color="auto" w:sz="4" w:space="0"/>
                    <w:left w:val="single" w:color="auto" w:sz="4" w:space="0"/>
                    <w:bottom w:val="single" w:color="auto" w:sz="4" w:space="0"/>
                    <w:right w:val="single" w:color="auto" w:sz="4" w:space="0"/>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color w:val="000000"/>
                      <w:sz w:val="21"/>
                      <w:szCs w:val="21"/>
                    </w:rPr>
                    <w:t>Ⅱ</w:t>
                  </w:r>
                </w:p>
              </w:tc>
              <w:tc>
                <w:tcPr>
                  <w:tcW w:w="1529" w:type="dxa"/>
                  <w:tcBorders>
                    <w:top w:val="single" w:color="auto" w:sz="4" w:space="0"/>
                    <w:left w:val="single" w:color="auto" w:sz="4" w:space="0"/>
                    <w:bottom w:val="single" w:color="auto" w:sz="4" w:space="0"/>
                    <w:right w:val="nil"/>
                  </w:tcBorders>
                  <w:vAlign w:val="center"/>
                </w:tcPr>
                <w:p>
                  <w:pPr>
                    <w:pStyle w:val="94"/>
                    <w:spacing w:before="0" w:line="340" w:lineRule="exact"/>
                    <w:ind w:firstLine="0"/>
                    <w:jc w:val="center"/>
                    <w:rPr>
                      <w:rFonts w:ascii="Times New Roman" w:hAnsi="Times New Roman"/>
                      <w:color w:val="000000"/>
                      <w:sz w:val="21"/>
                      <w:szCs w:val="21"/>
                    </w:rPr>
                  </w:pPr>
                  <w:r>
                    <w:rPr>
                      <w:rFonts w:ascii="Times New Roman" w:hAnsi="Times New Roman"/>
                      <w:b/>
                      <w:bCs/>
                      <w:color w:val="000000"/>
                      <w:sz w:val="21"/>
                      <w:szCs w:val="21"/>
                    </w:rPr>
                    <w:t>Ⅰ</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59" w:type="dxa"/>
                  <w:gridSpan w:val="5"/>
                  <w:tcBorders>
                    <w:top w:val="single" w:color="auto" w:sz="4" w:space="0"/>
                    <w:left w:val="nil"/>
                    <w:bottom w:val="single" w:color="auto" w:sz="4" w:space="0"/>
                    <w:right w:val="nil"/>
                  </w:tcBorders>
                  <w:vAlign w:val="center"/>
                </w:tcPr>
                <w:p>
                  <w:pPr>
                    <w:pStyle w:val="94"/>
                    <w:spacing w:before="0" w:line="340" w:lineRule="exact"/>
                    <w:ind w:firstLine="0"/>
                    <w:rPr>
                      <w:rFonts w:ascii="Times New Roman" w:hAnsi="Times New Roman"/>
                      <w:color w:val="000000"/>
                      <w:sz w:val="21"/>
                      <w:szCs w:val="21"/>
                    </w:rPr>
                  </w:pPr>
                  <w:r>
                    <w:rPr>
                      <w:rFonts w:ascii="Times New Roman" w:hAnsi="Times New Roman"/>
                      <w:color w:val="000000"/>
                      <w:sz w:val="21"/>
                      <w:szCs w:val="21"/>
                    </w:rPr>
                    <w:t>注：IV</w:t>
                  </w:r>
                  <w:r>
                    <w:rPr>
                      <w:rFonts w:ascii="Times New Roman" w:hAnsi="Times New Roman"/>
                      <w:color w:val="000000"/>
                      <w:sz w:val="21"/>
                      <w:szCs w:val="21"/>
                      <w:vertAlign w:val="superscript"/>
                    </w:rPr>
                    <w:t>+</w:t>
                  </w:r>
                  <w:r>
                    <w:rPr>
                      <w:rFonts w:ascii="Times New Roman" w:hAnsi="Times New Roman"/>
                      <w:color w:val="000000"/>
                      <w:sz w:val="21"/>
                      <w:szCs w:val="21"/>
                    </w:rPr>
                    <w:t>为极高环境风险</w:t>
                  </w:r>
                </w:p>
              </w:tc>
            </w:tr>
          </w:tbl>
          <w:p>
            <w:pPr>
              <w:pStyle w:val="14"/>
              <w:spacing w:after="0" w:line="360" w:lineRule="auto"/>
              <w:ind w:left="0" w:leftChars="0" w:firstLine="480" w:firstLineChars="200"/>
              <w:rPr>
                <w:color w:val="000000"/>
                <w:sz w:val="24"/>
                <w:szCs w:val="24"/>
              </w:rPr>
            </w:pPr>
            <w:r>
              <w:rPr>
                <w:color w:val="000000"/>
                <w:sz w:val="24"/>
                <w:szCs w:val="24"/>
              </w:rPr>
              <w:t>经调查，本项目涉及</w:t>
            </w:r>
            <w:r>
              <w:rPr>
                <w:rFonts w:hint="eastAsia"/>
                <w:color w:val="000000"/>
                <w:sz w:val="24"/>
                <w:szCs w:val="24"/>
              </w:rPr>
              <w:t>的风险</w:t>
            </w:r>
            <w:r>
              <w:rPr>
                <w:color w:val="000000"/>
                <w:sz w:val="24"/>
                <w:szCs w:val="24"/>
              </w:rPr>
              <w:t>物质</w:t>
            </w:r>
            <w:r>
              <w:rPr>
                <w:rFonts w:hint="eastAsia"/>
                <w:color w:val="000000"/>
                <w:sz w:val="24"/>
                <w:szCs w:val="24"/>
              </w:rPr>
              <w:t>为润滑油</w:t>
            </w:r>
            <w:r>
              <w:rPr>
                <w:color w:val="000000"/>
                <w:sz w:val="24"/>
                <w:szCs w:val="24"/>
              </w:rPr>
              <w:t>。</w:t>
            </w:r>
          </w:p>
          <w:p>
            <w:pPr>
              <w:spacing w:line="360" w:lineRule="auto"/>
              <w:ind w:firstLine="480" w:firstLineChars="200"/>
              <w:rPr>
                <w:bCs/>
                <w:color w:val="000000"/>
                <w:sz w:val="24"/>
              </w:rPr>
            </w:pPr>
            <w:r>
              <w:rPr>
                <w:rFonts w:hint="eastAsia"/>
                <w:bCs/>
                <w:color w:val="000000"/>
                <w:sz w:val="24"/>
              </w:rPr>
              <w:t>通过查询《建设项目环境风险评价技术导则》（</w:t>
            </w:r>
            <w:r>
              <w:rPr>
                <w:bCs/>
                <w:color w:val="000000"/>
                <w:sz w:val="24"/>
              </w:rPr>
              <w:t>HJ/T169-2018</w:t>
            </w:r>
            <w:r>
              <w:rPr>
                <w:rFonts w:hint="eastAsia"/>
                <w:bCs/>
                <w:color w:val="000000"/>
                <w:sz w:val="24"/>
              </w:rPr>
              <w:t>）中附录</w:t>
            </w:r>
            <w:r>
              <w:rPr>
                <w:bCs/>
                <w:color w:val="000000"/>
                <w:sz w:val="24"/>
              </w:rPr>
              <w:t>B</w:t>
            </w:r>
            <w:r>
              <w:rPr>
                <w:rFonts w:hint="eastAsia"/>
                <w:bCs/>
                <w:color w:val="000000"/>
                <w:sz w:val="24"/>
              </w:rPr>
              <w:t>的表</w:t>
            </w:r>
            <w:r>
              <w:rPr>
                <w:bCs/>
                <w:color w:val="000000"/>
                <w:sz w:val="24"/>
              </w:rPr>
              <w:t>B1</w:t>
            </w:r>
            <w:r>
              <w:rPr>
                <w:rFonts w:hint="eastAsia"/>
                <w:bCs/>
                <w:color w:val="000000"/>
                <w:sz w:val="24"/>
              </w:rPr>
              <w:t>和表</w:t>
            </w:r>
            <w:r>
              <w:rPr>
                <w:bCs/>
                <w:color w:val="000000"/>
                <w:sz w:val="24"/>
              </w:rPr>
              <w:t>B2</w:t>
            </w:r>
            <w:r>
              <w:rPr>
                <w:rFonts w:hint="eastAsia"/>
                <w:bCs/>
                <w:color w:val="000000"/>
                <w:sz w:val="24"/>
              </w:rPr>
              <w:t>计算风险物质的</w:t>
            </w:r>
            <w:r>
              <w:rPr>
                <w:bCs/>
                <w:color w:val="000000"/>
                <w:sz w:val="24"/>
              </w:rPr>
              <w:t>Q</w:t>
            </w:r>
            <w:r>
              <w:rPr>
                <w:rFonts w:hint="eastAsia"/>
                <w:bCs/>
                <w:color w:val="000000"/>
                <w:sz w:val="24"/>
              </w:rPr>
              <w:t>值。</w:t>
            </w:r>
            <w:r>
              <w:rPr>
                <w:bCs/>
                <w:color w:val="000000"/>
                <w:sz w:val="24"/>
              </w:rPr>
              <w:t xml:space="preserve"> </w:t>
            </w:r>
          </w:p>
          <w:p>
            <w:pPr>
              <w:spacing w:line="360" w:lineRule="auto"/>
              <w:ind w:firstLine="480" w:firstLineChars="200"/>
              <w:rPr>
                <w:bCs/>
                <w:color w:val="000000"/>
                <w:sz w:val="24"/>
              </w:rPr>
            </w:pPr>
            <w:r>
              <w:rPr>
                <w:rFonts w:hint="eastAsia"/>
                <w:bCs/>
                <w:color w:val="000000"/>
                <w:sz w:val="24"/>
              </w:rPr>
              <w:t>计算结果如下表所示：</w:t>
            </w:r>
          </w:p>
          <w:p>
            <w:pPr>
              <w:jc w:val="center"/>
              <w:rPr>
                <w:b/>
                <w:bCs/>
                <w:color w:val="000000"/>
                <w:sz w:val="24"/>
              </w:rPr>
            </w:pPr>
            <w:r>
              <w:rPr>
                <w:rFonts w:hint="eastAsia"/>
                <w:b/>
                <w:bCs/>
                <w:color w:val="000000"/>
                <w:sz w:val="24"/>
              </w:rPr>
              <w:t>表</w:t>
            </w:r>
            <w:r>
              <w:rPr>
                <w:b/>
                <w:bCs/>
                <w:color w:val="000000"/>
                <w:sz w:val="24"/>
              </w:rPr>
              <w:t>4-</w:t>
            </w:r>
            <w:r>
              <w:rPr>
                <w:rFonts w:hint="eastAsia"/>
                <w:b/>
                <w:bCs/>
                <w:color w:val="000000"/>
                <w:sz w:val="24"/>
                <w:lang w:val="en-US" w:eastAsia="zh-CN"/>
              </w:rPr>
              <w:t>10</w:t>
            </w:r>
            <w:r>
              <w:rPr>
                <w:b/>
                <w:bCs/>
                <w:color w:val="000000"/>
                <w:sz w:val="24"/>
              </w:rPr>
              <w:t xml:space="preserve"> </w:t>
            </w:r>
            <w:r>
              <w:rPr>
                <w:rFonts w:hint="eastAsia"/>
                <w:b/>
                <w:bCs/>
                <w:color w:val="000000"/>
                <w:sz w:val="24"/>
              </w:rPr>
              <w:t>建设项目</w:t>
            </w:r>
            <w:r>
              <w:rPr>
                <w:b/>
                <w:bCs/>
                <w:color w:val="000000"/>
                <w:sz w:val="24"/>
              </w:rPr>
              <w:t>Q</w:t>
            </w:r>
            <w:r>
              <w:rPr>
                <w:rFonts w:hint="eastAsia"/>
                <w:b/>
                <w:bCs/>
                <w:color w:val="000000"/>
                <w:sz w:val="24"/>
              </w:rPr>
              <w:t>值确定表</w:t>
            </w:r>
          </w:p>
          <w:tbl>
            <w:tblPr>
              <w:tblStyle w:val="26"/>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004"/>
              <w:gridCol w:w="1305"/>
              <w:gridCol w:w="1294"/>
              <w:gridCol w:w="1122"/>
              <w:gridCol w:w="1133"/>
              <w:gridCol w:w="1123"/>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序号</w:t>
                  </w:r>
                </w:p>
              </w:tc>
              <w:tc>
                <w:tcPr>
                  <w:tcW w:w="639"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物质名称</w:t>
                  </w:r>
                </w:p>
              </w:tc>
              <w:tc>
                <w:tcPr>
                  <w:tcW w:w="830"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存储位置</w:t>
                  </w:r>
                </w:p>
              </w:tc>
              <w:tc>
                <w:tcPr>
                  <w:tcW w:w="823"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最大储存量t</w:t>
                  </w:r>
                </w:p>
              </w:tc>
              <w:tc>
                <w:tcPr>
                  <w:tcW w:w="714"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临界量t</w:t>
                  </w:r>
                </w:p>
              </w:tc>
              <w:tc>
                <w:tcPr>
                  <w:tcW w:w="720" w:type="pct"/>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存储方式</w:t>
                  </w:r>
                </w:p>
              </w:tc>
              <w:tc>
                <w:tcPr>
                  <w:tcW w:w="714" w:type="pct"/>
                  <w:tcBorders>
                    <w:top w:val="single" w:color="auto" w:sz="4" w:space="0"/>
                    <w:left w:val="nil"/>
                    <w:bottom w:val="single" w:color="auto" w:sz="4" w:space="0"/>
                  </w:tcBorders>
                  <w:vAlign w:val="center"/>
                </w:tcPr>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该种危险</w:t>
                  </w:r>
                </w:p>
                <w:p>
                  <w:pPr>
                    <w:jc w:val="center"/>
                    <w:rPr>
                      <w:rFonts w:hint="eastAsia" w:ascii="宋体" w:hAnsi="宋体" w:eastAsia="宋体" w:cs="宋体"/>
                      <w:b/>
                      <w:bCs w:val="0"/>
                      <w:color w:val="000000"/>
                      <w:szCs w:val="21"/>
                    </w:rPr>
                  </w:pPr>
                  <w:r>
                    <w:rPr>
                      <w:rFonts w:hint="eastAsia" w:ascii="宋体" w:hAnsi="宋体" w:eastAsia="宋体" w:cs="宋体"/>
                      <w:b/>
                      <w:bCs w:val="0"/>
                      <w:color w:val="000000"/>
                      <w:szCs w:val="21"/>
                    </w:rPr>
                    <w:t>物质Q值</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jc w:val="center"/>
                    <w:rPr>
                      <w:bCs/>
                      <w:color w:val="000000"/>
                      <w:szCs w:val="21"/>
                    </w:rPr>
                  </w:pPr>
                  <w:r>
                    <w:rPr>
                      <w:bCs/>
                      <w:color w:val="000000"/>
                      <w:szCs w:val="21"/>
                    </w:rPr>
                    <w:t>1</w:t>
                  </w:r>
                </w:p>
              </w:tc>
              <w:tc>
                <w:tcPr>
                  <w:tcW w:w="639" w:type="pct"/>
                  <w:tcBorders>
                    <w:top w:val="single" w:color="auto" w:sz="4" w:space="0"/>
                    <w:left w:val="nil"/>
                    <w:bottom w:val="single" w:color="auto" w:sz="4" w:space="0"/>
                    <w:right w:val="single" w:color="auto" w:sz="4" w:space="0"/>
                  </w:tcBorders>
                  <w:vAlign w:val="center"/>
                </w:tcPr>
                <w:p>
                  <w:pPr>
                    <w:spacing w:line="320" w:lineRule="exact"/>
                    <w:jc w:val="center"/>
                    <w:rPr>
                      <w:rFonts w:hint="default" w:eastAsia="宋体"/>
                      <w:bCs/>
                      <w:color w:val="000000"/>
                      <w:szCs w:val="21"/>
                      <w:lang w:val="en-US" w:eastAsia="zh-CN"/>
                    </w:rPr>
                  </w:pPr>
                  <w:r>
                    <w:rPr>
                      <w:rFonts w:hint="eastAsia"/>
                      <w:bCs/>
                      <w:color w:val="000000"/>
                      <w:szCs w:val="21"/>
                      <w:lang w:val="en-US" w:eastAsia="zh-CN"/>
                    </w:rPr>
                    <w:t>润滑油</w:t>
                  </w:r>
                </w:p>
              </w:tc>
              <w:tc>
                <w:tcPr>
                  <w:tcW w:w="830" w:type="pct"/>
                  <w:tcBorders>
                    <w:top w:val="nil"/>
                    <w:left w:val="nil"/>
                    <w:right w:val="single" w:color="auto" w:sz="4" w:space="0"/>
                  </w:tcBorders>
                  <w:vAlign w:val="center"/>
                </w:tcPr>
                <w:p>
                  <w:pPr>
                    <w:spacing w:line="320" w:lineRule="exact"/>
                    <w:jc w:val="center"/>
                    <w:rPr>
                      <w:bCs/>
                      <w:color w:val="000000"/>
                      <w:szCs w:val="21"/>
                    </w:rPr>
                  </w:pPr>
                  <w:r>
                    <w:rPr>
                      <w:rFonts w:hint="eastAsia"/>
                      <w:bCs/>
                      <w:color w:val="000000"/>
                      <w:szCs w:val="21"/>
                    </w:rPr>
                    <w:t>原料区</w:t>
                  </w:r>
                </w:p>
              </w:tc>
              <w:tc>
                <w:tcPr>
                  <w:tcW w:w="823" w:type="pct"/>
                  <w:tcBorders>
                    <w:top w:val="single" w:color="auto" w:sz="4" w:space="0"/>
                    <w:left w:val="nil"/>
                    <w:bottom w:val="single" w:color="auto" w:sz="4" w:space="0"/>
                    <w:right w:val="single" w:color="auto" w:sz="4" w:space="0"/>
                  </w:tcBorders>
                  <w:vAlign w:val="center"/>
                </w:tcPr>
                <w:p>
                  <w:pPr>
                    <w:spacing w:line="320" w:lineRule="exact"/>
                    <w:jc w:val="center"/>
                    <w:rPr>
                      <w:rFonts w:hint="default" w:eastAsia="宋体"/>
                      <w:bCs/>
                      <w:color w:val="000000"/>
                      <w:szCs w:val="21"/>
                      <w:lang w:val="en-US" w:eastAsia="zh-CN"/>
                    </w:rPr>
                  </w:pPr>
                  <w:r>
                    <w:rPr>
                      <w:rFonts w:hint="eastAsia"/>
                      <w:bCs/>
                      <w:color w:val="000000"/>
                      <w:szCs w:val="21"/>
                    </w:rPr>
                    <w:t>0.</w:t>
                  </w:r>
                  <w:r>
                    <w:rPr>
                      <w:rFonts w:hint="eastAsia"/>
                      <w:bCs/>
                      <w:color w:val="000000"/>
                      <w:szCs w:val="21"/>
                      <w:lang w:val="en-US" w:eastAsia="zh-CN"/>
                    </w:rPr>
                    <w:t>25</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2</w:t>
                  </w:r>
                  <w:r>
                    <w:rPr>
                      <w:bCs/>
                      <w:color w:val="000000"/>
                      <w:szCs w:val="21"/>
                    </w:rPr>
                    <w:t>500</w:t>
                  </w:r>
                </w:p>
              </w:tc>
              <w:tc>
                <w:tcPr>
                  <w:tcW w:w="720"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桶装</w:t>
                  </w:r>
                </w:p>
              </w:tc>
              <w:tc>
                <w:tcPr>
                  <w:tcW w:w="714" w:type="pct"/>
                  <w:tcBorders>
                    <w:top w:val="single" w:color="auto" w:sz="4" w:space="0"/>
                    <w:left w:val="nil"/>
                    <w:bottom w:val="single" w:color="auto" w:sz="4" w:space="0"/>
                  </w:tcBorders>
                  <w:vAlign w:val="center"/>
                </w:tcPr>
                <w:p>
                  <w:pPr>
                    <w:spacing w:line="320" w:lineRule="exact"/>
                    <w:jc w:val="center"/>
                    <w:rPr>
                      <w:rFonts w:hint="eastAsia" w:eastAsia="宋体"/>
                      <w:bCs/>
                      <w:color w:val="auto"/>
                      <w:szCs w:val="21"/>
                      <w:lang w:eastAsia="zh-CN"/>
                    </w:rPr>
                  </w:pPr>
                  <w:r>
                    <w:rPr>
                      <w:rFonts w:hint="eastAsia"/>
                      <w:bCs/>
                      <w:color w:val="auto"/>
                      <w:szCs w:val="21"/>
                    </w:rPr>
                    <w:t>0</w:t>
                  </w:r>
                  <w:r>
                    <w:rPr>
                      <w:bCs/>
                      <w:color w:val="auto"/>
                      <w:szCs w:val="21"/>
                    </w:rPr>
                    <w:t>.00</w:t>
                  </w:r>
                  <w:r>
                    <w:rPr>
                      <w:rFonts w:hint="eastAsia"/>
                      <w:bCs/>
                      <w:color w:val="auto"/>
                      <w:szCs w:val="21"/>
                    </w:rPr>
                    <w:t>0</w:t>
                  </w:r>
                  <w:r>
                    <w:rPr>
                      <w:rFonts w:hint="eastAsia"/>
                      <w:bCs/>
                      <w:color w:val="auto"/>
                      <w:szCs w:val="21"/>
                      <w:lang w:val="en-US" w:eastAsia="zh-CN"/>
                    </w:rPr>
                    <w:t>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spacing w:line="320" w:lineRule="exact"/>
                    <w:jc w:val="center"/>
                    <w:rPr>
                      <w:bCs/>
                      <w:color w:val="000000"/>
                      <w:szCs w:val="21"/>
                    </w:rPr>
                  </w:pPr>
                  <w:r>
                    <w:rPr>
                      <w:bCs/>
                      <w:color w:val="000000"/>
                      <w:szCs w:val="21"/>
                    </w:rPr>
                    <w:t>2</w:t>
                  </w:r>
                </w:p>
              </w:tc>
              <w:tc>
                <w:tcPr>
                  <w:tcW w:w="639"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color w:val="000000"/>
                      <w:kern w:val="0"/>
                      <w:szCs w:val="21"/>
                      <w:lang w:val="en-US" w:eastAsia="zh-CN"/>
                    </w:rPr>
                    <w:t>废</w:t>
                  </w:r>
                  <w:r>
                    <w:rPr>
                      <w:rFonts w:hint="eastAsia"/>
                      <w:color w:val="000000"/>
                      <w:kern w:val="0"/>
                      <w:szCs w:val="21"/>
                    </w:rPr>
                    <w:t>油</w:t>
                  </w:r>
                </w:p>
              </w:tc>
              <w:tc>
                <w:tcPr>
                  <w:tcW w:w="830" w:type="pct"/>
                  <w:tcBorders>
                    <w:left w:val="nil"/>
                    <w:right w:val="single" w:color="auto" w:sz="4" w:space="0"/>
                  </w:tcBorders>
                  <w:vAlign w:val="center"/>
                </w:tcPr>
                <w:p>
                  <w:pPr>
                    <w:widowControl/>
                    <w:jc w:val="left"/>
                    <w:rPr>
                      <w:rFonts w:hint="default" w:eastAsia="宋体"/>
                      <w:bCs/>
                      <w:color w:val="000000"/>
                      <w:szCs w:val="21"/>
                      <w:lang w:val="en-US" w:eastAsia="zh-CN"/>
                    </w:rPr>
                  </w:pPr>
                  <w:r>
                    <w:rPr>
                      <w:rFonts w:hint="eastAsia"/>
                      <w:bCs/>
                      <w:color w:val="000000"/>
                      <w:szCs w:val="21"/>
                      <w:lang w:val="en-US" w:eastAsia="zh-CN"/>
                    </w:rPr>
                    <w:t>危废暂存间</w:t>
                  </w:r>
                </w:p>
              </w:tc>
              <w:tc>
                <w:tcPr>
                  <w:tcW w:w="823" w:type="pct"/>
                  <w:tcBorders>
                    <w:top w:val="single" w:color="auto" w:sz="4" w:space="0"/>
                    <w:left w:val="nil"/>
                    <w:bottom w:val="single" w:color="auto" w:sz="4" w:space="0"/>
                    <w:right w:val="single" w:color="auto" w:sz="4" w:space="0"/>
                  </w:tcBorders>
                  <w:vAlign w:val="center"/>
                </w:tcPr>
                <w:p>
                  <w:pPr>
                    <w:spacing w:line="320" w:lineRule="exact"/>
                    <w:jc w:val="center"/>
                    <w:rPr>
                      <w:rFonts w:hint="default" w:eastAsia="宋体"/>
                      <w:bCs/>
                      <w:color w:val="000000"/>
                      <w:szCs w:val="21"/>
                      <w:lang w:val="en-US" w:eastAsia="zh-CN"/>
                    </w:rPr>
                  </w:pPr>
                  <w:r>
                    <w:rPr>
                      <w:rFonts w:hint="eastAsia"/>
                      <w:bCs/>
                      <w:color w:val="auto"/>
                      <w:szCs w:val="21"/>
                    </w:rPr>
                    <w:t>0.</w:t>
                  </w:r>
                  <w:r>
                    <w:rPr>
                      <w:rFonts w:hint="eastAsia"/>
                      <w:bCs/>
                      <w:color w:val="auto"/>
                      <w:szCs w:val="21"/>
                      <w:lang w:val="en-US" w:eastAsia="zh-CN"/>
                    </w:rPr>
                    <w:t>15</w:t>
                  </w:r>
                </w:p>
              </w:tc>
              <w:tc>
                <w:tcPr>
                  <w:tcW w:w="714"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2</w:t>
                  </w:r>
                  <w:r>
                    <w:rPr>
                      <w:bCs/>
                      <w:color w:val="000000"/>
                      <w:szCs w:val="21"/>
                    </w:rPr>
                    <w:t>500</w:t>
                  </w:r>
                </w:p>
              </w:tc>
              <w:tc>
                <w:tcPr>
                  <w:tcW w:w="720" w:type="pct"/>
                  <w:tcBorders>
                    <w:top w:val="single" w:color="auto" w:sz="4" w:space="0"/>
                    <w:left w:val="nil"/>
                    <w:bottom w:val="single" w:color="auto" w:sz="4" w:space="0"/>
                    <w:right w:val="single" w:color="auto" w:sz="4" w:space="0"/>
                  </w:tcBorders>
                  <w:vAlign w:val="center"/>
                </w:tcPr>
                <w:p>
                  <w:pPr>
                    <w:spacing w:line="320" w:lineRule="exact"/>
                    <w:jc w:val="center"/>
                    <w:rPr>
                      <w:bCs/>
                      <w:color w:val="000000"/>
                      <w:szCs w:val="21"/>
                    </w:rPr>
                  </w:pPr>
                  <w:r>
                    <w:rPr>
                      <w:bCs/>
                      <w:color w:val="000000"/>
                      <w:szCs w:val="21"/>
                    </w:rPr>
                    <w:t>桶装</w:t>
                  </w:r>
                </w:p>
              </w:tc>
              <w:tc>
                <w:tcPr>
                  <w:tcW w:w="714" w:type="pct"/>
                  <w:tcBorders>
                    <w:top w:val="single" w:color="auto" w:sz="4" w:space="0"/>
                    <w:left w:val="nil"/>
                    <w:bottom w:val="single" w:color="auto" w:sz="4" w:space="0"/>
                  </w:tcBorders>
                  <w:vAlign w:val="center"/>
                </w:tcPr>
                <w:p>
                  <w:pPr>
                    <w:spacing w:line="320" w:lineRule="exact"/>
                    <w:jc w:val="center"/>
                    <w:rPr>
                      <w:rFonts w:hint="default"/>
                      <w:bCs/>
                      <w:color w:val="auto"/>
                      <w:szCs w:val="21"/>
                      <w:lang w:val="en-US"/>
                    </w:rPr>
                  </w:pPr>
                  <w:r>
                    <w:rPr>
                      <w:rFonts w:hint="eastAsia"/>
                      <w:bCs/>
                      <w:color w:val="auto"/>
                      <w:szCs w:val="21"/>
                    </w:rPr>
                    <w:t>0</w:t>
                  </w:r>
                  <w:r>
                    <w:rPr>
                      <w:bCs/>
                      <w:color w:val="auto"/>
                      <w:szCs w:val="21"/>
                    </w:rPr>
                    <w:t>.000</w:t>
                  </w:r>
                  <w:r>
                    <w:rPr>
                      <w:rFonts w:hint="eastAsia"/>
                      <w:bCs/>
                      <w:color w:val="auto"/>
                      <w:szCs w:val="21"/>
                      <w:lang w:val="en-US" w:eastAsia="zh-CN"/>
                    </w:rPr>
                    <w:t>06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57" w:type="pct"/>
                  <w:tcBorders>
                    <w:top w:val="single" w:color="auto" w:sz="4" w:space="0"/>
                    <w:bottom w:val="single" w:color="auto" w:sz="4" w:space="0"/>
                    <w:right w:val="single" w:color="auto" w:sz="4" w:space="0"/>
                  </w:tcBorders>
                  <w:vAlign w:val="center"/>
                </w:tcPr>
                <w:p>
                  <w:pPr>
                    <w:spacing w:line="320" w:lineRule="exact"/>
                    <w:jc w:val="center"/>
                    <w:rPr>
                      <w:bCs/>
                      <w:color w:val="000000"/>
                      <w:szCs w:val="21"/>
                    </w:rPr>
                  </w:pPr>
                  <w:r>
                    <w:rPr>
                      <w:rFonts w:hint="eastAsia"/>
                      <w:bCs/>
                      <w:color w:val="000000"/>
                      <w:szCs w:val="21"/>
                    </w:rPr>
                    <w:t>合计</w:t>
                  </w:r>
                </w:p>
              </w:tc>
              <w:tc>
                <w:tcPr>
                  <w:tcW w:w="3727" w:type="pct"/>
                  <w:gridSpan w:val="5"/>
                  <w:tcBorders>
                    <w:top w:val="single" w:color="auto" w:sz="4" w:space="0"/>
                    <w:left w:val="nil"/>
                    <w:bottom w:val="single" w:color="auto" w:sz="4" w:space="0"/>
                    <w:right w:val="single" w:color="auto" w:sz="4" w:space="0"/>
                  </w:tcBorders>
                  <w:vAlign w:val="center"/>
                </w:tcPr>
                <w:p>
                  <w:pPr>
                    <w:jc w:val="center"/>
                    <w:rPr>
                      <w:bCs/>
                      <w:color w:val="000000"/>
                      <w:szCs w:val="21"/>
                    </w:rPr>
                  </w:pPr>
                </w:p>
              </w:tc>
              <w:tc>
                <w:tcPr>
                  <w:tcW w:w="714" w:type="pct"/>
                  <w:tcBorders>
                    <w:top w:val="single" w:color="auto" w:sz="4" w:space="0"/>
                    <w:left w:val="nil"/>
                    <w:bottom w:val="single" w:color="auto" w:sz="4" w:space="0"/>
                  </w:tcBorders>
                  <w:vAlign w:val="center"/>
                </w:tcPr>
                <w:p>
                  <w:pPr>
                    <w:spacing w:line="320" w:lineRule="exact"/>
                    <w:jc w:val="center"/>
                    <w:rPr>
                      <w:rFonts w:hint="default" w:eastAsia="宋体"/>
                      <w:bCs/>
                      <w:color w:val="auto"/>
                      <w:szCs w:val="21"/>
                      <w:lang w:val="en-US" w:eastAsia="zh-CN"/>
                    </w:rPr>
                  </w:pPr>
                  <w:r>
                    <w:rPr>
                      <w:rFonts w:hint="eastAsia"/>
                      <w:bCs/>
                      <w:color w:val="auto"/>
                      <w:szCs w:val="21"/>
                    </w:rPr>
                    <w:t>0</w:t>
                  </w:r>
                  <w:r>
                    <w:rPr>
                      <w:bCs/>
                      <w:color w:val="auto"/>
                      <w:szCs w:val="21"/>
                    </w:rPr>
                    <w:t>.0</w:t>
                  </w:r>
                  <w:r>
                    <w:rPr>
                      <w:rFonts w:hint="eastAsia"/>
                      <w:bCs/>
                      <w:color w:val="auto"/>
                      <w:szCs w:val="21"/>
                      <w:lang w:val="en-US" w:eastAsia="zh-CN"/>
                    </w:rPr>
                    <w:t>0016</w:t>
                  </w:r>
                </w:p>
              </w:tc>
            </w:tr>
          </w:tbl>
          <w:p>
            <w:pPr>
              <w:pStyle w:val="14"/>
              <w:spacing w:after="0" w:line="360" w:lineRule="auto"/>
              <w:ind w:left="0" w:leftChars="0" w:firstLine="480" w:firstLineChars="200"/>
            </w:pPr>
            <w:r>
              <w:rPr>
                <w:rFonts w:hint="eastAsia"/>
                <w:bCs/>
                <w:color w:val="000000"/>
                <w:sz w:val="24"/>
                <w:szCs w:val="24"/>
              </w:rPr>
              <w:t>由上表可知，本项目厂界内最大存在总量中各危险物质实际量与临界量比值之和为</w:t>
            </w:r>
            <w:r>
              <w:rPr>
                <w:bCs/>
                <w:color w:val="000000"/>
                <w:sz w:val="24"/>
                <w:szCs w:val="24"/>
              </w:rPr>
              <w:t>0.0</w:t>
            </w:r>
            <w:r>
              <w:rPr>
                <w:rFonts w:hint="eastAsia"/>
                <w:bCs/>
                <w:color w:val="000000"/>
                <w:sz w:val="24"/>
                <w:szCs w:val="24"/>
                <w:lang w:val="en-US" w:eastAsia="zh-CN"/>
              </w:rPr>
              <w:t>0016</w:t>
            </w:r>
            <w:r>
              <w:rPr>
                <w:rFonts w:hint="eastAsia"/>
                <w:bCs/>
                <w:color w:val="000000"/>
                <w:sz w:val="24"/>
                <w:szCs w:val="24"/>
              </w:rPr>
              <w:t>。</w:t>
            </w:r>
            <w:r>
              <w:rPr>
                <w:color w:val="000000"/>
                <w:sz w:val="24"/>
                <w:szCs w:val="24"/>
              </w:rPr>
              <w:t>依据《建设项目环境风险评价技术导则》（HJ169-2018）附录C中“临界量比值Q＜1时，环境风险潜势为Ⅰ”，</w:t>
            </w:r>
            <w:r>
              <w:rPr>
                <w:color w:val="000000"/>
                <w:kern w:val="0"/>
                <w:sz w:val="24"/>
                <w:szCs w:val="24"/>
              </w:rPr>
              <w:t>本项目风险潜势为Ⅰ，仅进行简单分析。</w:t>
            </w:r>
          </w:p>
          <w:p>
            <w:pPr>
              <w:spacing w:line="360" w:lineRule="auto"/>
              <w:ind w:firstLine="470" w:firstLineChars="196"/>
              <w:rPr>
                <w:rFonts w:hint="eastAsia"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项目化学品使用量相对较少，且根据同类型国内企业实际运行情况，项目运行中此类危险物质泄漏风险事故概率较低。润滑油由专门的密闭容器包装，暂存量较小，使用过程中采取了收集处理措施，且都处于车间内，自然挥发对周边空气环境空气影响较小。项目针对危废库采取防渗措施，故正常运营过程中润滑油不会发生泄漏，对周边地表水、地下水或土壤环境影响较小。</w:t>
            </w:r>
          </w:p>
          <w:p>
            <w:pPr>
              <w:spacing w:line="360" w:lineRule="auto"/>
              <w:ind w:firstLine="470" w:firstLineChars="196"/>
              <w:rPr>
                <w:rFonts w:hint="eastAsia" w:ascii="Times New Roman" w:hAnsi="Times New Roman" w:cs="Times New Roman"/>
                <w:color w:val="000000"/>
                <w:sz w:val="24"/>
                <w:lang w:val="en-US" w:eastAsia="zh-CN"/>
              </w:rPr>
            </w:pPr>
            <w:r>
              <w:rPr>
                <w:rFonts w:hint="eastAsia" w:ascii="Times New Roman" w:hAnsi="Times New Roman" w:cs="Times New Roman"/>
                <w:color w:val="000000"/>
                <w:sz w:val="24"/>
                <w:lang w:val="en-US" w:eastAsia="zh-CN"/>
              </w:rPr>
              <w:t>建设单位应加强厂区防火管理、完善事故应急预案，采取妥善的风险防范措施，本项目环境风险在可接受的范围内。</w:t>
            </w:r>
          </w:p>
          <w:p>
            <w:pPr>
              <w:spacing w:line="360" w:lineRule="auto"/>
              <w:ind w:firstLine="482" w:firstLineChars="200"/>
              <w:rPr>
                <w:b/>
                <w:sz w:val="24"/>
              </w:rPr>
            </w:pPr>
            <w:r>
              <w:rPr>
                <w:rFonts w:hint="eastAsia"/>
                <w:b/>
                <w:sz w:val="24"/>
              </w:rPr>
              <w:t>八</w:t>
            </w:r>
            <w:r>
              <w:rPr>
                <w:b/>
                <w:sz w:val="24"/>
              </w:rPr>
              <w:t>、环境管理及监测计划</w:t>
            </w:r>
          </w:p>
          <w:p>
            <w:pPr>
              <w:spacing w:line="360" w:lineRule="auto"/>
              <w:ind w:firstLine="470" w:firstLineChars="196"/>
              <w:rPr>
                <w:rFonts w:hint="eastAsia"/>
                <w:color w:val="000000"/>
                <w:sz w:val="24"/>
              </w:rPr>
            </w:pPr>
            <w:r>
              <w:rPr>
                <w:color w:val="000000"/>
                <w:sz w:val="24"/>
              </w:rPr>
              <w:t>（1）环境管理机构设置</w:t>
            </w:r>
          </w:p>
          <w:p>
            <w:pPr>
              <w:spacing w:line="360" w:lineRule="auto"/>
              <w:ind w:firstLine="470" w:firstLineChars="196"/>
              <w:rPr>
                <w:color w:val="000000"/>
                <w:sz w:val="24"/>
              </w:rPr>
            </w:pPr>
            <w:r>
              <w:rPr>
                <w:color w:val="000000"/>
                <w:sz w:val="24"/>
              </w:rPr>
              <w:t>为了本工程在运营期能更好地执行和遵守国家、省及地方的有关环境保护法律、法规、政策及标准，接受地方环境保护主管部门的环境监督，调整和制订环境规划和目标，进行一切与改善环境有关的管理活动，同时对工程施工及运营期产生的污染物进行监测、分析、了解工程对环境的影响状况，公司应设置专职的环境管理人员，参与项目的环保设施“三同时”管理，同时需负责产生污染防治设施运行管理。由于环保工作政策性强，涉及多学科、综合性知识，建议该项目的专职环境管理人员选用具备环保专业知识并有一定工作经验的专业人员担任。</w:t>
            </w:r>
          </w:p>
          <w:p>
            <w:pPr>
              <w:spacing w:line="360" w:lineRule="auto"/>
              <w:ind w:firstLine="470" w:firstLineChars="196"/>
              <w:rPr>
                <w:color w:val="000000"/>
                <w:sz w:val="24"/>
              </w:rPr>
            </w:pPr>
            <w:r>
              <w:rPr>
                <w:color w:val="000000"/>
                <w:sz w:val="24"/>
              </w:rPr>
              <w:t>（2）环境管理制度</w:t>
            </w:r>
          </w:p>
          <w:p>
            <w:pPr>
              <w:spacing w:line="360" w:lineRule="auto"/>
              <w:ind w:firstLine="470" w:firstLineChars="196"/>
              <w:rPr>
                <w:color w:val="000000"/>
                <w:sz w:val="24"/>
              </w:rPr>
            </w:pPr>
            <w:r>
              <w:rPr>
                <w:color w:val="000000"/>
                <w:sz w:val="24"/>
              </w:rPr>
              <w:t>贯彻执行“三同时”制度：设计单位必须将环境保护设施与主体工程同时设计，工程建设单位必须保证防治污染及其它公害的设施与主体工程项目同时施工、同时投入运行，工程竣工后，经验收合格后，方可投入运行。</w:t>
            </w:r>
          </w:p>
          <w:p>
            <w:pPr>
              <w:spacing w:line="360" w:lineRule="auto"/>
              <w:ind w:firstLine="470" w:firstLineChars="196"/>
              <w:rPr>
                <w:color w:val="000000"/>
                <w:sz w:val="24"/>
              </w:rPr>
            </w:pPr>
            <w:r>
              <w:rPr>
                <w:color w:val="000000"/>
                <w:sz w:val="24"/>
              </w:rPr>
              <w:t>执行排污申报登记：按照国家和地方环境保护规定，企业应及时向当地环境保护部门进行污染物排放申报登记。经环保部门批准后，方可按分配的指标排放。</w:t>
            </w:r>
          </w:p>
          <w:p>
            <w:pPr>
              <w:spacing w:line="360" w:lineRule="auto"/>
              <w:ind w:firstLine="470" w:firstLineChars="196"/>
              <w:rPr>
                <w:color w:val="000000"/>
                <w:sz w:val="24"/>
              </w:rPr>
            </w:pPr>
            <w:r>
              <w:rPr>
                <w:color w:val="000000"/>
                <w:sz w:val="24"/>
              </w:rPr>
              <w:t>环保设施运行管理制度：应建立环保设施定期检查制度和污染治理措施岗位责任制，实行污染治理岗位运行记录制度，以确保污染治理设施稳定高效运行。当污染治理设施发生故障时，应及时组织抢修，并根据实际情况采取相应措施，防止污染事故的发生。</w:t>
            </w:r>
          </w:p>
          <w:p>
            <w:pPr>
              <w:spacing w:line="360" w:lineRule="auto"/>
              <w:ind w:firstLine="470" w:firstLineChars="196"/>
              <w:rPr>
                <w:color w:val="000000"/>
                <w:sz w:val="24"/>
              </w:rPr>
            </w:pPr>
            <w:r>
              <w:rPr>
                <w:color w:val="000000"/>
                <w:sz w:val="24"/>
              </w:rPr>
              <w:t>建立企业环保档案：企业应对废气</w:t>
            </w:r>
            <w:r>
              <w:rPr>
                <w:rFonts w:hint="eastAsia"/>
                <w:color w:val="000000"/>
                <w:sz w:val="24"/>
                <w:lang w:eastAsia="zh-CN"/>
              </w:rPr>
              <w:t>、</w:t>
            </w:r>
            <w:r>
              <w:rPr>
                <w:rFonts w:hint="eastAsia"/>
                <w:color w:val="000000"/>
                <w:sz w:val="24"/>
                <w:lang w:val="en-US" w:eastAsia="zh-CN"/>
              </w:rPr>
              <w:t>噪声</w:t>
            </w:r>
            <w:r>
              <w:rPr>
                <w:color w:val="000000"/>
                <w:sz w:val="24"/>
              </w:rPr>
              <w:t>等进行定期监测，建立污染源档案，发现污染物非正常排放，应分析原因并及时采取相应措施，以控制污染影响的范围和程度。</w:t>
            </w:r>
          </w:p>
          <w:p>
            <w:pPr>
              <w:spacing w:line="360" w:lineRule="auto"/>
              <w:ind w:firstLine="470" w:firstLineChars="196"/>
              <w:rPr>
                <w:color w:val="000000"/>
                <w:sz w:val="24"/>
              </w:rPr>
            </w:pPr>
            <w:r>
              <w:rPr>
                <w:color w:val="000000"/>
                <w:sz w:val="24"/>
              </w:rPr>
              <w:t>（3）环境监测计划</w:t>
            </w:r>
          </w:p>
          <w:p>
            <w:pPr>
              <w:spacing w:line="360" w:lineRule="auto"/>
              <w:ind w:firstLine="470" w:firstLineChars="196"/>
              <w:rPr>
                <w:color w:val="000000"/>
                <w:sz w:val="24"/>
              </w:rPr>
            </w:pPr>
            <w:r>
              <w:rPr>
                <w:rFonts w:hint="eastAsia"/>
                <w:color w:val="000000"/>
                <w:sz w:val="24"/>
              </w:rPr>
              <w:t>参照《排污单位自行监测技术指南总则》（HJ819-2017）的相关要求，排污单位可自行或委托第三方监测机构开展监测工作，并安排专人专职对监测数据进行记录、整理、统计和分析。排污单位对监测结果的真实性、准确性、完整性负责。</w:t>
            </w:r>
          </w:p>
          <w:p>
            <w:pPr>
              <w:spacing w:line="360" w:lineRule="auto"/>
              <w:ind w:firstLine="470" w:firstLineChars="196"/>
              <w:rPr>
                <w:rFonts w:hint="default" w:eastAsia="宋体"/>
                <w:color w:val="000000"/>
                <w:sz w:val="24"/>
                <w:lang w:val="en-US" w:eastAsia="zh-CN"/>
              </w:rPr>
            </w:pPr>
            <w:r>
              <w:rPr>
                <w:color w:val="000000"/>
                <w:sz w:val="24"/>
              </w:rPr>
              <w:t>本项目运营期环境监测计划见下表</w:t>
            </w:r>
            <w:r>
              <w:rPr>
                <w:rFonts w:hint="eastAsia"/>
                <w:color w:val="000000"/>
                <w:sz w:val="24"/>
                <w:lang w:eastAsia="zh-CN"/>
              </w:rPr>
              <w:t>。</w:t>
            </w:r>
          </w:p>
          <w:p>
            <w:pPr>
              <w:adjustRightInd w:val="0"/>
              <w:snapToGrid w:val="0"/>
              <w:spacing w:line="480" w:lineRule="exact"/>
              <w:jc w:val="center"/>
              <w:textAlignment w:val="baseline"/>
              <w:rPr>
                <w:b/>
                <w:color w:val="000000"/>
                <w:sz w:val="24"/>
              </w:rPr>
            </w:pPr>
            <w:r>
              <w:rPr>
                <w:b/>
                <w:color w:val="000000"/>
                <w:sz w:val="24"/>
              </w:rPr>
              <w:t>表4-</w:t>
            </w:r>
            <w:r>
              <w:rPr>
                <w:rFonts w:hint="eastAsia"/>
                <w:b/>
                <w:color w:val="000000"/>
                <w:sz w:val="24"/>
                <w:lang w:val="en-US" w:eastAsia="zh-CN"/>
              </w:rPr>
              <w:t>11</w:t>
            </w:r>
            <w:r>
              <w:rPr>
                <w:b/>
                <w:color w:val="000000"/>
                <w:sz w:val="24"/>
              </w:rPr>
              <w:t xml:space="preserve">  项目运营期环境监测计划一览表</w:t>
            </w:r>
          </w:p>
          <w:tbl>
            <w:tblPr>
              <w:tblStyle w:val="26"/>
              <w:tblW w:w="7858" w:type="dxa"/>
              <w:jc w:val="center"/>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7"/>
              <w:gridCol w:w="1395"/>
              <w:gridCol w:w="1785"/>
              <w:gridCol w:w="1680"/>
              <w:gridCol w:w="1405"/>
              <w:gridCol w:w="1236"/>
            </w:tblGrid>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 w:type="pct"/>
                  <w:tcBorders>
                    <w:bottom w:val="single" w:color="auto" w:sz="4" w:space="0"/>
                    <w:right w:val="single" w:color="auto" w:sz="4" w:space="0"/>
                  </w:tcBorders>
                  <w:vAlign w:val="center"/>
                </w:tcPr>
                <w:p>
                  <w:pPr>
                    <w:snapToGrid w:val="0"/>
                    <w:jc w:val="center"/>
                    <w:rPr>
                      <w:b/>
                      <w:color w:val="000000"/>
                      <w:szCs w:val="21"/>
                    </w:rPr>
                  </w:pPr>
                  <w:r>
                    <w:rPr>
                      <w:b/>
                      <w:color w:val="000000"/>
                      <w:szCs w:val="21"/>
                    </w:rPr>
                    <w:t>时段</w:t>
                  </w:r>
                </w:p>
              </w:tc>
              <w:tc>
                <w:tcPr>
                  <w:tcW w:w="887"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rFonts w:hint="eastAsia"/>
                      <w:b/>
                      <w:color w:val="000000"/>
                      <w:szCs w:val="21"/>
                      <w:lang w:val="en-US" w:eastAsia="zh-CN"/>
                    </w:rPr>
                    <w:t>排放</w:t>
                  </w:r>
                  <w:r>
                    <w:rPr>
                      <w:b/>
                      <w:color w:val="000000"/>
                      <w:szCs w:val="21"/>
                    </w:rPr>
                    <w:t>类型</w:t>
                  </w:r>
                </w:p>
              </w:tc>
              <w:tc>
                <w:tcPr>
                  <w:tcW w:w="1135"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b/>
                      <w:color w:val="000000"/>
                      <w:szCs w:val="21"/>
                    </w:rPr>
                    <w:t>监测位置</w:t>
                  </w:r>
                </w:p>
              </w:tc>
              <w:tc>
                <w:tcPr>
                  <w:tcW w:w="1068"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b/>
                      <w:color w:val="000000"/>
                      <w:szCs w:val="21"/>
                    </w:rPr>
                    <w:t>监测项目</w:t>
                  </w:r>
                </w:p>
              </w:tc>
              <w:tc>
                <w:tcPr>
                  <w:tcW w:w="893" w:type="pct"/>
                  <w:tcBorders>
                    <w:left w:val="single" w:color="auto" w:sz="4" w:space="0"/>
                    <w:bottom w:val="single" w:color="auto" w:sz="4" w:space="0"/>
                    <w:right w:val="single" w:color="auto" w:sz="4" w:space="0"/>
                  </w:tcBorders>
                  <w:vAlign w:val="center"/>
                </w:tcPr>
                <w:p>
                  <w:pPr>
                    <w:snapToGrid w:val="0"/>
                    <w:jc w:val="center"/>
                    <w:rPr>
                      <w:b/>
                      <w:color w:val="000000"/>
                      <w:szCs w:val="21"/>
                    </w:rPr>
                  </w:pPr>
                  <w:r>
                    <w:rPr>
                      <w:b/>
                      <w:color w:val="000000"/>
                      <w:szCs w:val="21"/>
                    </w:rPr>
                    <w:t>频次</w:t>
                  </w:r>
                </w:p>
              </w:tc>
              <w:tc>
                <w:tcPr>
                  <w:tcW w:w="786" w:type="pct"/>
                  <w:tcBorders>
                    <w:left w:val="single" w:color="auto" w:sz="4" w:space="0"/>
                    <w:bottom w:val="single" w:color="auto" w:sz="4" w:space="0"/>
                  </w:tcBorders>
                  <w:vAlign w:val="center"/>
                </w:tcPr>
                <w:p>
                  <w:pPr>
                    <w:snapToGrid w:val="0"/>
                    <w:jc w:val="center"/>
                    <w:rPr>
                      <w:b/>
                      <w:color w:val="000000"/>
                      <w:szCs w:val="21"/>
                    </w:rPr>
                  </w:pPr>
                  <w:r>
                    <w:rPr>
                      <w:b/>
                      <w:bCs/>
                      <w:color w:val="000000"/>
                      <w:szCs w:val="21"/>
                    </w:rPr>
                    <w:t>监测方法</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227" w:type="pct"/>
                  <w:vMerge w:val="restart"/>
                  <w:tcBorders>
                    <w:top w:val="nil"/>
                    <w:right w:val="single" w:color="auto" w:sz="4" w:space="0"/>
                  </w:tcBorders>
                  <w:vAlign w:val="center"/>
                </w:tcPr>
                <w:p>
                  <w:pPr>
                    <w:widowControl/>
                    <w:jc w:val="left"/>
                    <w:rPr>
                      <w:rFonts w:hint="default" w:eastAsia="宋体"/>
                      <w:color w:val="000000"/>
                      <w:szCs w:val="21"/>
                      <w:lang w:val="en-US" w:eastAsia="zh-CN"/>
                    </w:rPr>
                  </w:pPr>
                  <w:r>
                    <w:rPr>
                      <w:rFonts w:hint="eastAsia"/>
                      <w:color w:val="000000"/>
                      <w:szCs w:val="21"/>
                      <w:lang w:val="en-US" w:eastAsia="zh-CN"/>
                    </w:rPr>
                    <w:t>运营期</w:t>
                  </w:r>
                </w:p>
              </w:tc>
              <w:tc>
                <w:tcPr>
                  <w:tcW w:w="887" w:type="pct"/>
                  <w:tcBorders>
                    <w:top w:val="nil"/>
                    <w:left w:val="single" w:color="auto" w:sz="4" w:space="0"/>
                    <w:bottom w:val="single" w:color="auto" w:sz="4" w:space="0"/>
                    <w:right w:val="single" w:color="auto" w:sz="4" w:space="0"/>
                  </w:tcBorders>
                  <w:vAlign w:val="center"/>
                </w:tcPr>
                <w:p>
                  <w:pPr>
                    <w:widowControl/>
                    <w:jc w:val="left"/>
                    <w:rPr>
                      <w:rFonts w:hint="eastAsia" w:eastAsia="宋体"/>
                      <w:color w:val="000000"/>
                      <w:szCs w:val="21"/>
                      <w:lang w:val="en-US" w:eastAsia="zh-CN"/>
                    </w:rPr>
                  </w:pPr>
                  <w:r>
                    <w:rPr>
                      <w:rFonts w:hint="eastAsia"/>
                      <w:color w:val="000000"/>
                      <w:szCs w:val="21"/>
                      <w:lang w:val="en-US" w:eastAsia="zh-CN"/>
                    </w:rPr>
                    <w:t>无组织废气</w:t>
                  </w:r>
                </w:p>
              </w:tc>
              <w:tc>
                <w:tcPr>
                  <w:tcW w:w="1135"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FF0000"/>
                      <w:szCs w:val="21"/>
                    </w:rPr>
                  </w:pPr>
                  <w:r>
                    <w:rPr>
                      <w:color w:val="000000"/>
                      <w:kern w:val="0"/>
                      <w:szCs w:val="21"/>
                    </w:rPr>
                    <w:t>厂界无组织监控点</w:t>
                  </w:r>
                </w:p>
              </w:tc>
              <w:tc>
                <w:tcPr>
                  <w:tcW w:w="1068" w:type="pct"/>
                  <w:tcBorders>
                    <w:top w:val="single" w:color="auto" w:sz="4" w:space="0"/>
                    <w:left w:val="single" w:color="auto" w:sz="4" w:space="0"/>
                    <w:bottom w:val="single" w:color="auto" w:sz="4" w:space="0"/>
                    <w:right w:val="single" w:color="auto" w:sz="4" w:space="0"/>
                  </w:tcBorders>
                  <w:vAlign w:val="center"/>
                </w:tcPr>
                <w:p>
                  <w:pPr>
                    <w:ind w:left="-105" w:leftChars="-50" w:right="-105" w:rightChars="-50"/>
                    <w:jc w:val="center"/>
                    <w:rPr>
                      <w:color w:val="000000"/>
                      <w:szCs w:val="21"/>
                    </w:rPr>
                  </w:pPr>
                  <w:r>
                    <w:rPr>
                      <w:color w:val="000000"/>
                      <w:szCs w:val="21"/>
                    </w:rPr>
                    <w:t>颗粒物</w:t>
                  </w:r>
                </w:p>
              </w:tc>
              <w:tc>
                <w:tcPr>
                  <w:tcW w:w="893"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szCs w:val="21"/>
                    </w:rPr>
                  </w:pPr>
                  <w:r>
                    <w:rPr>
                      <w:color w:val="000000"/>
                      <w:szCs w:val="21"/>
                    </w:rPr>
                    <w:t>每年一次</w:t>
                  </w:r>
                </w:p>
              </w:tc>
              <w:tc>
                <w:tcPr>
                  <w:tcW w:w="786" w:type="pct"/>
                  <w:vMerge w:val="restart"/>
                  <w:tcBorders>
                    <w:top w:val="nil"/>
                    <w:left w:val="single" w:color="auto" w:sz="4" w:space="0"/>
                  </w:tcBorders>
                  <w:vAlign w:val="center"/>
                </w:tcPr>
                <w:p>
                  <w:pPr>
                    <w:widowControl/>
                    <w:jc w:val="left"/>
                    <w:rPr>
                      <w:color w:val="000000"/>
                      <w:szCs w:val="21"/>
                    </w:rPr>
                  </w:pPr>
                  <w:r>
                    <w:rPr>
                      <w:bCs/>
                      <w:color w:val="000000"/>
                      <w:szCs w:val="21"/>
                    </w:rPr>
                    <w:t>采用国家规定最新监测方法与标准</w:t>
                  </w: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 w:type="pct"/>
                  <w:vMerge w:val="continue"/>
                  <w:tcBorders>
                    <w:top w:val="nil"/>
                    <w:bottom w:val="single" w:color="auto" w:sz="4" w:space="0"/>
                    <w:right w:val="single" w:color="auto" w:sz="4" w:space="0"/>
                  </w:tcBorders>
                  <w:vAlign w:val="center"/>
                </w:tcPr>
                <w:p>
                  <w:pPr>
                    <w:widowControl/>
                    <w:jc w:val="left"/>
                    <w:rPr>
                      <w:color w:val="000000"/>
                      <w:szCs w:val="21"/>
                    </w:rPr>
                  </w:pPr>
                </w:p>
              </w:tc>
              <w:tc>
                <w:tcPr>
                  <w:tcW w:w="887" w:type="pct"/>
                  <w:tcBorders>
                    <w:top w:val="single" w:color="auto" w:sz="4" w:space="0"/>
                    <w:left w:val="single" w:color="auto" w:sz="4" w:space="0"/>
                    <w:bottom w:val="single" w:color="auto" w:sz="4" w:space="0"/>
                    <w:right w:val="single" w:color="auto" w:sz="4" w:space="0"/>
                  </w:tcBorders>
                  <w:vAlign w:val="center"/>
                </w:tcPr>
                <w:p>
                  <w:pPr>
                    <w:snapToGrid w:val="0"/>
                    <w:jc w:val="center"/>
                    <w:rPr>
                      <w:color w:val="000000"/>
                      <w:szCs w:val="21"/>
                    </w:rPr>
                  </w:pPr>
                  <w:r>
                    <w:rPr>
                      <w:color w:val="000000"/>
                      <w:szCs w:val="21"/>
                    </w:rPr>
                    <w:t>噪声</w:t>
                  </w:r>
                </w:p>
              </w:tc>
              <w:tc>
                <w:tcPr>
                  <w:tcW w:w="1135"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FF0000"/>
                      <w:kern w:val="0"/>
                      <w:sz w:val="21"/>
                      <w:szCs w:val="21"/>
                      <w:lang w:val="en-US" w:eastAsia="zh-CN" w:bidi="ar-SA"/>
                    </w:rPr>
                  </w:pPr>
                  <w:r>
                    <w:rPr>
                      <w:color w:val="000000"/>
                      <w:kern w:val="0"/>
                      <w:szCs w:val="21"/>
                    </w:rPr>
                    <w:t>项目四周厂界</w:t>
                  </w:r>
                </w:p>
              </w:tc>
              <w:tc>
                <w:tcPr>
                  <w:tcW w:w="1068"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连续等效A声级</w:t>
                  </w:r>
                </w:p>
              </w:tc>
              <w:tc>
                <w:tcPr>
                  <w:tcW w:w="893" w:type="pct"/>
                  <w:tcBorders>
                    <w:top w:val="single" w:color="auto" w:sz="4" w:space="0"/>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color w:val="000000"/>
                      <w:kern w:val="0"/>
                      <w:sz w:val="21"/>
                      <w:szCs w:val="21"/>
                      <w:lang w:val="en-US" w:eastAsia="zh-CN" w:bidi="ar-SA"/>
                    </w:rPr>
                  </w:pPr>
                  <w:r>
                    <w:rPr>
                      <w:color w:val="000000"/>
                      <w:kern w:val="0"/>
                      <w:szCs w:val="21"/>
                    </w:rPr>
                    <w:t>每季度一次</w:t>
                  </w:r>
                </w:p>
              </w:tc>
              <w:tc>
                <w:tcPr>
                  <w:tcW w:w="786" w:type="pct"/>
                  <w:vMerge w:val="continue"/>
                  <w:tcBorders>
                    <w:top w:val="nil"/>
                    <w:left w:val="single" w:color="auto" w:sz="4" w:space="0"/>
                    <w:bottom w:val="single" w:color="auto" w:sz="4" w:space="0"/>
                  </w:tcBorders>
                  <w:vAlign w:val="center"/>
                </w:tcPr>
                <w:p>
                  <w:pPr>
                    <w:widowControl/>
                    <w:jc w:val="left"/>
                    <w:rPr>
                      <w:color w:val="000000"/>
                      <w:szCs w:val="21"/>
                    </w:rPr>
                  </w:pPr>
                </w:p>
              </w:tc>
            </w:tr>
            <w:tr>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7" w:type="pct"/>
                  <w:vMerge w:val="continue"/>
                  <w:tcBorders>
                    <w:top w:val="nil"/>
                    <w:right w:val="single" w:color="auto" w:sz="4" w:space="0"/>
                  </w:tcBorders>
                  <w:vAlign w:val="center"/>
                </w:tcPr>
                <w:p>
                  <w:pPr>
                    <w:widowControl/>
                    <w:jc w:val="left"/>
                    <w:rPr>
                      <w:color w:val="000000"/>
                      <w:szCs w:val="21"/>
                    </w:rPr>
                  </w:pPr>
                </w:p>
              </w:tc>
              <w:tc>
                <w:tcPr>
                  <w:tcW w:w="887" w:type="pct"/>
                  <w:tcBorders>
                    <w:top w:val="single" w:color="auto" w:sz="4" w:space="0"/>
                    <w:left w:val="single" w:color="auto" w:sz="4" w:space="0"/>
                    <w:right w:val="single" w:color="auto" w:sz="4" w:space="0"/>
                  </w:tcBorders>
                  <w:vAlign w:val="center"/>
                </w:tcPr>
                <w:p>
                  <w:pPr>
                    <w:snapToGrid w:val="0"/>
                    <w:jc w:val="center"/>
                    <w:rPr>
                      <w:color w:val="000000"/>
                      <w:szCs w:val="21"/>
                    </w:rPr>
                  </w:pPr>
                  <w:r>
                    <w:rPr>
                      <w:color w:val="000000"/>
                      <w:szCs w:val="21"/>
                    </w:rPr>
                    <w:t>固废</w:t>
                  </w:r>
                </w:p>
              </w:tc>
              <w:tc>
                <w:tcPr>
                  <w:tcW w:w="1135" w:type="pct"/>
                  <w:tcBorders>
                    <w:top w:val="single" w:color="auto" w:sz="4" w:space="0"/>
                    <w:left w:val="single" w:color="auto" w:sz="4" w:space="0"/>
                    <w:right w:val="single" w:color="auto" w:sz="4" w:space="0"/>
                  </w:tcBorders>
                  <w:vAlign w:val="center"/>
                </w:tcPr>
                <w:p>
                  <w:pPr>
                    <w:snapToGrid w:val="0"/>
                    <w:jc w:val="center"/>
                    <w:rPr>
                      <w:color w:val="FF0000"/>
                      <w:szCs w:val="21"/>
                    </w:rPr>
                  </w:pPr>
                  <w:r>
                    <w:rPr>
                      <w:color w:val="auto"/>
                      <w:szCs w:val="21"/>
                    </w:rPr>
                    <w:t>统计各类固废量</w:t>
                  </w:r>
                </w:p>
              </w:tc>
              <w:tc>
                <w:tcPr>
                  <w:tcW w:w="1068" w:type="pct"/>
                  <w:tcBorders>
                    <w:top w:val="single" w:color="auto" w:sz="4" w:space="0"/>
                    <w:left w:val="single" w:color="auto" w:sz="4" w:space="0"/>
                    <w:right w:val="single" w:color="auto" w:sz="4" w:space="0"/>
                  </w:tcBorders>
                  <w:vAlign w:val="center"/>
                </w:tcPr>
                <w:p>
                  <w:pPr>
                    <w:snapToGrid w:val="0"/>
                    <w:jc w:val="center"/>
                    <w:rPr>
                      <w:color w:val="000000"/>
                      <w:szCs w:val="21"/>
                    </w:rPr>
                  </w:pPr>
                  <w:r>
                    <w:rPr>
                      <w:color w:val="000000"/>
                      <w:szCs w:val="21"/>
                    </w:rPr>
                    <w:t>统计固废种类、处置方式及去向</w:t>
                  </w:r>
                </w:p>
              </w:tc>
              <w:tc>
                <w:tcPr>
                  <w:tcW w:w="893" w:type="pct"/>
                  <w:tcBorders>
                    <w:top w:val="single" w:color="auto" w:sz="4" w:space="0"/>
                    <w:left w:val="single" w:color="auto" w:sz="4" w:space="0"/>
                    <w:right w:val="single" w:color="auto" w:sz="4" w:space="0"/>
                  </w:tcBorders>
                  <w:vAlign w:val="center"/>
                </w:tcPr>
                <w:p>
                  <w:pPr>
                    <w:snapToGrid w:val="0"/>
                    <w:jc w:val="center"/>
                    <w:rPr>
                      <w:color w:val="000000"/>
                      <w:szCs w:val="21"/>
                    </w:rPr>
                  </w:pPr>
                  <w:r>
                    <w:rPr>
                      <w:color w:val="000000"/>
                      <w:szCs w:val="21"/>
                    </w:rPr>
                    <w:t>每月统计一次</w:t>
                  </w:r>
                </w:p>
              </w:tc>
              <w:tc>
                <w:tcPr>
                  <w:tcW w:w="786" w:type="pct"/>
                  <w:vMerge w:val="continue"/>
                  <w:tcBorders>
                    <w:top w:val="nil"/>
                    <w:left w:val="single" w:color="auto" w:sz="4" w:space="0"/>
                  </w:tcBorders>
                  <w:vAlign w:val="center"/>
                </w:tcPr>
                <w:p>
                  <w:pPr>
                    <w:widowControl/>
                    <w:jc w:val="left"/>
                    <w:rPr>
                      <w:color w:val="000000"/>
                      <w:szCs w:val="21"/>
                    </w:rPr>
                  </w:pPr>
                </w:p>
              </w:tc>
            </w:tr>
          </w:tbl>
          <w:p>
            <w:pPr>
              <w:spacing w:line="440" w:lineRule="exact"/>
              <w:ind w:firstLine="482" w:firstLineChars="200"/>
              <w:rPr>
                <w:b/>
                <w:color w:val="000000"/>
                <w:sz w:val="24"/>
              </w:rPr>
            </w:pPr>
            <w:r>
              <w:rPr>
                <w:rFonts w:hint="eastAsia"/>
                <w:b/>
                <w:color w:val="000000"/>
                <w:sz w:val="24"/>
              </w:rPr>
              <w:t>九</w:t>
            </w:r>
            <w:r>
              <w:rPr>
                <w:b/>
                <w:color w:val="000000"/>
                <w:sz w:val="24"/>
              </w:rPr>
              <w:t>、环保投资</w:t>
            </w:r>
          </w:p>
          <w:p>
            <w:pPr>
              <w:spacing w:line="400" w:lineRule="exact"/>
              <w:ind w:firstLine="480" w:firstLineChars="200"/>
              <w:rPr>
                <w:color w:val="000000"/>
                <w:sz w:val="24"/>
              </w:rPr>
            </w:pPr>
            <w:r>
              <w:rPr>
                <w:color w:val="000000"/>
                <w:sz w:val="24"/>
              </w:rPr>
              <w:t>该项目环保投资</w:t>
            </w:r>
            <w:r>
              <w:rPr>
                <w:rFonts w:hint="eastAsia"/>
                <w:color w:val="000000"/>
                <w:sz w:val="24"/>
                <w:lang w:val="en-US" w:eastAsia="zh-CN"/>
              </w:rPr>
              <w:t>9.5</w:t>
            </w:r>
            <w:r>
              <w:rPr>
                <w:color w:val="000000"/>
                <w:sz w:val="24"/>
              </w:rPr>
              <w:t>万元，占本项目总投资</w:t>
            </w:r>
            <w:r>
              <w:rPr>
                <w:rFonts w:hint="eastAsia"/>
                <w:color w:val="000000"/>
                <w:sz w:val="24"/>
                <w:lang w:val="en-US" w:eastAsia="zh-CN"/>
              </w:rPr>
              <w:t>3500</w:t>
            </w:r>
            <w:r>
              <w:rPr>
                <w:color w:val="000000"/>
                <w:sz w:val="24"/>
              </w:rPr>
              <w:t>万元的的</w:t>
            </w:r>
            <w:r>
              <w:rPr>
                <w:rFonts w:hint="eastAsia"/>
                <w:color w:val="000000"/>
                <w:sz w:val="24"/>
              </w:rPr>
              <w:t>0.</w:t>
            </w:r>
            <w:r>
              <w:rPr>
                <w:rFonts w:hint="eastAsia"/>
                <w:color w:val="000000"/>
                <w:sz w:val="24"/>
                <w:lang w:val="en-US" w:eastAsia="zh-CN"/>
              </w:rPr>
              <w:t>27</w:t>
            </w:r>
            <w:r>
              <w:rPr>
                <w:color w:val="000000"/>
                <w:sz w:val="24"/>
              </w:rPr>
              <w:t>%，具体见</w:t>
            </w:r>
            <w:r>
              <w:rPr>
                <w:rFonts w:hint="eastAsia"/>
                <w:color w:val="000000"/>
                <w:sz w:val="24"/>
              </w:rPr>
              <w:t>下</w:t>
            </w:r>
            <w:r>
              <w:rPr>
                <w:color w:val="000000"/>
                <w:sz w:val="24"/>
              </w:rPr>
              <w:t>表：</w:t>
            </w:r>
          </w:p>
          <w:p>
            <w:pPr>
              <w:spacing w:line="400" w:lineRule="exact"/>
              <w:jc w:val="center"/>
              <w:rPr>
                <w:b/>
                <w:bCs/>
                <w:color w:val="000000"/>
                <w:kern w:val="0"/>
                <w:sz w:val="24"/>
              </w:rPr>
            </w:pPr>
            <w:r>
              <w:rPr>
                <w:b/>
                <w:bCs/>
                <w:color w:val="000000"/>
                <w:sz w:val="24"/>
              </w:rPr>
              <w:t>表4-</w:t>
            </w:r>
            <w:r>
              <w:rPr>
                <w:rFonts w:hint="eastAsia"/>
                <w:b/>
                <w:bCs/>
                <w:color w:val="000000"/>
                <w:sz w:val="24"/>
                <w:lang w:val="en-US" w:eastAsia="zh-CN"/>
              </w:rPr>
              <w:t>12</w:t>
            </w:r>
            <w:r>
              <w:rPr>
                <w:b/>
                <w:bCs/>
                <w:color w:val="000000"/>
                <w:sz w:val="24"/>
              </w:rPr>
              <w:t xml:space="preserve"> </w:t>
            </w:r>
            <w:r>
              <w:rPr>
                <w:b/>
                <w:bCs/>
                <w:color w:val="000000"/>
                <w:kern w:val="0"/>
                <w:sz w:val="24"/>
              </w:rPr>
              <w:t>建设项目环保措施投资一览表  单位：万元</w:t>
            </w:r>
          </w:p>
          <w:tbl>
            <w:tblPr>
              <w:tblStyle w:val="26"/>
              <w:tblW w:w="5000" w:type="pct"/>
              <w:jc w:val="center"/>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99"/>
              <w:gridCol w:w="4223"/>
              <w:gridCol w:w="530"/>
              <w:gridCol w:w="2206"/>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572" w:type="pct"/>
                  <w:tcBorders>
                    <w:top w:val="single" w:color="auto" w:sz="8" w:space="0"/>
                    <w:left w:val="nil"/>
                    <w:bottom w:val="single" w:color="auto" w:sz="4" w:space="0"/>
                    <w:right w:val="single" w:color="auto" w:sz="4" w:space="0"/>
                  </w:tcBorders>
                  <w:vAlign w:val="center"/>
                </w:tcPr>
                <w:p>
                  <w:pPr>
                    <w:spacing w:line="340" w:lineRule="exact"/>
                    <w:jc w:val="center"/>
                    <w:rPr>
                      <w:rFonts w:hint="eastAsia" w:eastAsia="宋体"/>
                      <w:b/>
                      <w:color w:val="000000"/>
                      <w:szCs w:val="21"/>
                      <w:lang w:eastAsia="zh-CN"/>
                    </w:rPr>
                  </w:pPr>
                  <w:r>
                    <w:rPr>
                      <w:rFonts w:hint="eastAsia"/>
                      <w:b/>
                      <w:color w:val="000000"/>
                      <w:szCs w:val="21"/>
                      <w:lang w:val="en-US" w:eastAsia="zh-CN"/>
                    </w:rPr>
                    <w:t>污染源</w:t>
                  </w:r>
                </w:p>
              </w:tc>
              <w:tc>
                <w:tcPr>
                  <w:tcW w:w="2687" w:type="pct"/>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hint="default" w:eastAsia="宋体"/>
                      <w:b/>
                      <w:color w:val="000000"/>
                      <w:szCs w:val="21"/>
                      <w:lang w:val="en-US" w:eastAsia="zh-CN"/>
                    </w:rPr>
                  </w:pPr>
                  <w:r>
                    <w:rPr>
                      <w:rFonts w:hint="eastAsia"/>
                      <w:b/>
                      <w:color w:val="000000"/>
                      <w:szCs w:val="21"/>
                      <w:lang w:val="en-US" w:eastAsia="zh-CN"/>
                    </w:rPr>
                    <w:t>处理设施名称</w:t>
                  </w:r>
                </w:p>
              </w:tc>
              <w:tc>
                <w:tcPr>
                  <w:tcW w:w="337"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b/>
                      <w:color w:val="000000"/>
                      <w:szCs w:val="21"/>
                    </w:rPr>
                  </w:pPr>
                  <w:r>
                    <w:rPr>
                      <w:b/>
                      <w:color w:val="000000"/>
                      <w:szCs w:val="21"/>
                    </w:rPr>
                    <w:t>投资</w:t>
                  </w:r>
                </w:p>
              </w:tc>
              <w:tc>
                <w:tcPr>
                  <w:tcW w:w="1403" w:type="pct"/>
                  <w:tcBorders>
                    <w:top w:val="single" w:color="auto" w:sz="8" w:space="0"/>
                    <w:left w:val="single" w:color="auto" w:sz="4" w:space="0"/>
                    <w:bottom w:val="single" w:color="auto" w:sz="4" w:space="0"/>
                    <w:right w:val="nil"/>
                  </w:tcBorders>
                  <w:vAlign w:val="center"/>
                </w:tcPr>
                <w:p>
                  <w:pPr>
                    <w:spacing w:line="340" w:lineRule="exact"/>
                    <w:ind w:left="-108" w:right="-108"/>
                    <w:jc w:val="center"/>
                    <w:rPr>
                      <w:b/>
                      <w:color w:val="000000"/>
                      <w:szCs w:val="21"/>
                    </w:rPr>
                  </w:pPr>
                  <w:r>
                    <w:rPr>
                      <w:rFonts w:ascii="Times New Roman" w:hAnsi="Times New Roman"/>
                      <w:szCs w:val="21"/>
                    </w:rPr>
                    <w:t>治理效果</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572" w:type="pct"/>
                  <w:tcBorders>
                    <w:top w:val="single" w:color="auto" w:sz="4" w:space="0"/>
                    <w:left w:val="nil"/>
                    <w:bottom w:val="single" w:color="auto" w:sz="4" w:space="0"/>
                    <w:right w:val="single" w:color="auto" w:sz="4" w:space="0"/>
                  </w:tcBorders>
                  <w:vAlign w:val="center"/>
                </w:tcPr>
                <w:p>
                  <w:pPr>
                    <w:spacing w:line="340" w:lineRule="exact"/>
                    <w:ind w:left="-63" w:leftChars="-30" w:right="-63" w:rightChars="-30"/>
                    <w:jc w:val="center"/>
                    <w:rPr>
                      <w:rFonts w:hint="eastAsia" w:eastAsia="宋体"/>
                      <w:color w:val="000000"/>
                      <w:szCs w:val="21"/>
                      <w:lang w:eastAsia="zh-CN"/>
                    </w:rPr>
                  </w:pPr>
                  <w:r>
                    <w:rPr>
                      <w:color w:val="000000"/>
                      <w:szCs w:val="21"/>
                    </w:rPr>
                    <w:t>噪声</w:t>
                  </w:r>
                  <w:r>
                    <w:rPr>
                      <w:rFonts w:hint="eastAsia"/>
                      <w:color w:val="000000"/>
                      <w:szCs w:val="21"/>
                      <w:lang w:val="en-US" w:eastAsia="zh-CN"/>
                    </w:rPr>
                    <w:t>治理</w:t>
                  </w:r>
                </w:p>
              </w:tc>
              <w:tc>
                <w:tcPr>
                  <w:tcW w:w="2687" w:type="pct"/>
                  <w:tcBorders>
                    <w:top w:val="single" w:color="auto" w:sz="4" w:space="0"/>
                    <w:left w:val="single" w:color="auto" w:sz="4" w:space="0"/>
                    <w:bottom w:val="single" w:color="auto" w:sz="4" w:space="0"/>
                    <w:right w:val="single" w:color="auto" w:sz="4" w:space="0"/>
                  </w:tcBorders>
                  <w:vAlign w:val="center"/>
                </w:tcPr>
                <w:p>
                  <w:pPr>
                    <w:spacing w:line="340" w:lineRule="exact"/>
                    <w:ind w:left="-82" w:leftChars="-39" w:right="-189" w:rightChars="-90"/>
                    <w:jc w:val="center"/>
                    <w:rPr>
                      <w:color w:val="000000"/>
                      <w:szCs w:val="21"/>
                    </w:rPr>
                  </w:pPr>
                  <w:r>
                    <w:rPr>
                      <w:rFonts w:ascii="Times New Roman" w:hAnsi="Times New Roman" w:cs="Times New Roman"/>
                      <w:szCs w:val="21"/>
                    </w:rPr>
                    <w:t>优选低噪设备；设隔声、减震基座等</w:t>
                  </w:r>
                  <w:r>
                    <w:rPr>
                      <w:rFonts w:hint="eastAsia" w:ascii="Times New Roman" w:hAnsi="Times New Roman" w:cs="Times New Roman"/>
                      <w:szCs w:val="21"/>
                    </w:rPr>
                    <w:t>；加强厂区绿化；运输车辆不得超载超速，路过敏感点禁止鸣笛</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eastAsia="宋体"/>
                      <w:color w:val="000000"/>
                      <w:szCs w:val="21"/>
                      <w:lang w:eastAsia="zh-CN"/>
                    </w:rPr>
                  </w:pPr>
                  <w:r>
                    <w:rPr>
                      <w:rFonts w:hint="eastAsia"/>
                      <w:color w:val="000000"/>
                      <w:szCs w:val="21"/>
                      <w:lang w:val="en-US" w:eastAsia="zh-CN"/>
                    </w:rPr>
                    <w:t>3</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lang w:val="en-US" w:eastAsia="zh-CN"/>
                    </w:rPr>
                  </w:pPr>
                  <w:r>
                    <w:rPr>
                      <w:rFonts w:ascii="Times New Roman" w:hAnsi="Times New Roman"/>
                      <w:szCs w:val="22"/>
                    </w:rPr>
                    <w:t>满足《建筑施工场界环境噪声排放标准（GB12523-2011）中相关标准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572" w:type="pct"/>
                  <w:vMerge w:val="restart"/>
                  <w:tcBorders>
                    <w:top w:val="single" w:color="auto" w:sz="4" w:space="0"/>
                    <w:left w:val="nil"/>
                    <w:bottom w:val="single" w:color="auto" w:sz="4" w:space="0"/>
                    <w:right w:val="single" w:color="auto" w:sz="4" w:space="0"/>
                  </w:tcBorders>
                  <w:vAlign w:val="center"/>
                </w:tcPr>
                <w:p>
                  <w:pPr>
                    <w:spacing w:line="340" w:lineRule="exact"/>
                    <w:jc w:val="center"/>
                    <w:rPr>
                      <w:rFonts w:hint="eastAsia" w:eastAsia="宋体"/>
                      <w:color w:val="000000"/>
                      <w:szCs w:val="21"/>
                      <w:lang w:val="en-US" w:eastAsia="zh-CN"/>
                    </w:rPr>
                  </w:pPr>
                  <w:r>
                    <w:rPr>
                      <w:color w:val="000000"/>
                      <w:szCs w:val="21"/>
                    </w:rPr>
                    <w:t>固废</w:t>
                  </w:r>
                  <w:r>
                    <w:rPr>
                      <w:rFonts w:hint="eastAsia"/>
                      <w:color w:val="000000"/>
                      <w:szCs w:val="21"/>
                      <w:lang w:val="en-US" w:eastAsia="zh-CN"/>
                    </w:rPr>
                    <w:t>处理</w:t>
                  </w:r>
                </w:p>
              </w:tc>
              <w:tc>
                <w:tcPr>
                  <w:tcW w:w="2687"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color w:val="000000"/>
                      <w:szCs w:val="21"/>
                    </w:rPr>
                  </w:pPr>
                  <w:r>
                    <w:rPr>
                      <w:rFonts w:hint="eastAsia"/>
                      <w:color w:val="000000"/>
                      <w:szCs w:val="21"/>
                    </w:rPr>
                    <w:t>建设</w:t>
                  </w:r>
                  <w:r>
                    <w:rPr>
                      <w:color w:val="000000"/>
                      <w:szCs w:val="21"/>
                    </w:rPr>
                    <w:t>危废暂存间（</w:t>
                  </w:r>
                  <w:r>
                    <w:rPr>
                      <w:rFonts w:hint="eastAsia"/>
                      <w:color w:val="000000"/>
                      <w:szCs w:val="21"/>
                    </w:rPr>
                    <w:t>1</w:t>
                  </w:r>
                  <w:r>
                    <w:rPr>
                      <w:rFonts w:hint="eastAsia"/>
                      <w:color w:val="000000"/>
                      <w:szCs w:val="21"/>
                      <w:lang w:val="en-US" w:eastAsia="zh-CN"/>
                    </w:rPr>
                    <w:t>0</w:t>
                  </w:r>
                  <w:r>
                    <w:rPr>
                      <w:color w:val="000000"/>
                      <w:szCs w:val="21"/>
                    </w:rPr>
                    <w:t>m</w:t>
                  </w:r>
                  <w:r>
                    <w:rPr>
                      <w:color w:val="000000"/>
                      <w:szCs w:val="21"/>
                      <w:vertAlign w:val="superscript"/>
                    </w:rPr>
                    <w:t>2</w:t>
                  </w:r>
                  <w:r>
                    <w:rPr>
                      <w:color w:val="000000"/>
                      <w:szCs w:val="21"/>
                    </w:rPr>
                    <w:t>），并采取防雨、防腐、防渗等处理，危废收集后委托有危废处置资质的单位进行处理</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eastAsia="宋体"/>
                      <w:color w:val="000000"/>
                      <w:szCs w:val="21"/>
                      <w:lang w:eastAsia="zh-CN"/>
                    </w:rPr>
                  </w:pPr>
                  <w:r>
                    <w:rPr>
                      <w:rFonts w:hint="eastAsia"/>
                      <w:color w:val="000000"/>
                      <w:szCs w:val="21"/>
                      <w:lang w:val="en-US" w:eastAsia="zh-CN"/>
                    </w:rPr>
                    <w:t>1</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lang w:val="en-US" w:eastAsia="zh-CN"/>
                    </w:rPr>
                  </w:pPr>
                  <w:r>
                    <w:rPr>
                      <w:rFonts w:ascii="Times New Roman" w:hAnsi="Times New Roman"/>
                      <w:szCs w:val="22"/>
                    </w:rPr>
                    <w:t>符合危废暂存场所建设要求</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572" w:type="pct"/>
                  <w:vMerge w:val="continue"/>
                  <w:tcBorders>
                    <w:top w:val="single" w:color="auto" w:sz="4" w:space="0"/>
                    <w:left w:val="nil"/>
                    <w:bottom w:val="single" w:color="auto" w:sz="4" w:space="0"/>
                    <w:right w:val="single" w:color="auto" w:sz="4" w:space="0"/>
                  </w:tcBorders>
                  <w:vAlign w:val="center"/>
                </w:tcPr>
                <w:p>
                  <w:pPr>
                    <w:widowControl/>
                    <w:jc w:val="center"/>
                    <w:rPr>
                      <w:color w:val="000000"/>
                      <w:szCs w:val="21"/>
                    </w:rPr>
                  </w:pPr>
                </w:p>
              </w:tc>
              <w:tc>
                <w:tcPr>
                  <w:tcW w:w="2687"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eastAsia="宋体"/>
                      <w:color w:val="000000"/>
                      <w:szCs w:val="21"/>
                      <w:lang w:eastAsia="zh-CN"/>
                    </w:rPr>
                  </w:pPr>
                  <w:r>
                    <w:rPr>
                      <w:color w:val="000000"/>
                      <w:szCs w:val="21"/>
                    </w:rPr>
                    <w:t>收集后暂存一般固废暂存场所</w:t>
                  </w:r>
                  <w:r>
                    <w:rPr>
                      <w:rFonts w:hint="eastAsia"/>
                      <w:color w:val="000000"/>
                      <w:szCs w:val="21"/>
                    </w:rPr>
                    <w:t>（依托）</w:t>
                  </w:r>
                  <w:r>
                    <w:rPr>
                      <w:color w:val="000000"/>
                      <w:szCs w:val="21"/>
                    </w:rPr>
                    <w:t>，</w:t>
                  </w:r>
                  <w:r>
                    <w:rPr>
                      <w:rFonts w:hint="eastAsia"/>
                      <w:color w:val="000000"/>
                      <w:szCs w:val="21"/>
                      <w:lang w:val="en-US" w:eastAsia="zh-CN"/>
                    </w:rPr>
                    <w:t>外售</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0</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rPr>
                  </w:pPr>
                  <w:r>
                    <w:rPr>
                      <w:rFonts w:ascii="Times New Roman" w:hAnsi="Times New Roman"/>
                      <w:szCs w:val="21"/>
                    </w:rPr>
                    <w:t>符合环境卫生管理要求</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9" w:hRule="atLeast"/>
                <w:jc w:val="center"/>
              </w:trPr>
              <w:tc>
                <w:tcPr>
                  <w:tcW w:w="572"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rFonts w:hint="default"/>
                      <w:color w:val="000000"/>
                      <w:szCs w:val="21"/>
                      <w:lang w:val="en-US" w:eastAsia="zh-CN"/>
                    </w:rPr>
                  </w:pPr>
                  <w:r>
                    <w:rPr>
                      <w:rFonts w:hint="eastAsia"/>
                      <w:color w:val="000000"/>
                      <w:szCs w:val="21"/>
                      <w:lang w:val="en-US" w:eastAsia="zh-CN"/>
                    </w:rPr>
                    <w:t>粉尘处理</w:t>
                  </w:r>
                </w:p>
              </w:tc>
              <w:tc>
                <w:tcPr>
                  <w:tcW w:w="2687"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rFonts w:hint="default"/>
                      <w:color w:val="000000"/>
                      <w:szCs w:val="21"/>
                      <w:lang w:val="en-US" w:eastAsia="zh-CN"/>
                    </w:rPr>
                  </w:pPr>
                  <w:r>
                    <w:rPr>
                      <w:rFonts w:hint="eastAsia"/>
                      <w:color w:val="000000"/>
                      <w:szCs w:val="21"/>
                      <w:lang w:val="en-US" w:eastAsia="zh-CN"/>
                    </w:rPr>
                    <w:t>原料喷淋、堆场及车间喷淋</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default"/>
                      <w:color w:val="000000"/>
                      <w:szCs w:val="21"/>
                      <w:lang w:val="en-US" w:eastAsia="zh-CN"/>
                    </w:rPr>
                  </w:pPr>
                  <w:r>
                    <w:rPr>
                      <w:rFonts w:hint="eastAsia"/>
                      <w:color w:val="000000"/>
                      <w:szCs w:val="21"/>
                      <w:lang w:val="en-US" w:eastAsia="zh-CN"/>
                    </w:rPr>
                    <w:t>4</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default" w:ascii="Times New Roman" w:hAnsi="Times New Roman" w:eastAsia="宋体"/>
                      <w:szCs w:val="21"/>
                      <w:lang w:val="en-US" w:eastAsia="zh-CN"/>
                    </w:rPr>
                  </w:pPr>
                  <w:r>
                    <w:rPr>
                      <w:rFonts w:hint="eastAsia"/>
                      <w:szCs w:val="21"/>
                      <w:lang w:val="en-US" w:eastAsia="zh-CN"/>
                    </w:rPr>
                    <w:t>降低粉尘排放</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572"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rFonts w:hint="default" w:eastAsia="宋体"/>
                      <w:color w:val="000000"/>
                      <w:szCs w:val="21"/>
                      <w:lang w:val="en-US" w:eastAsia="zh-CN"/>
                    </w:rPr>
                  </w:pPr>
                  <w:r>
                    <w:rPr>
                      <w:rFonts w:hint="eastAsia"/>
                      <w:color w:val="000000"/>
                      <w:szCs w:val="21"/>
                      <w:lang w:val="en-US" w:eastAsia="zh-CN"/>
                    </w:rPr>
                    <w:t>污水处理与收集</w:t>
                  </w:r>
                </w:p>
              </w:tc>
              <w:tc>
                <w:tcPr>
                  <w:tcW w:w="2687"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rFonts w:hint="default" w:eastAsia="宋体"/>
                      <w:color w:val="000000"/>
                      <w:szCs w:val="21"/>
                      <w:lang w:val="en-US" w:eastAsia="zh-CN"/>
                    </w:rPr>
                  </w:pPr>
                  <w:r>
                    <w:rPr>
                      <w:rFonts w:hint="eastAsia"/>
                      <w:color w:val="000000"/>
                      <w:szCs w:val="21"/>
                      <w:lang w:val="en-US" w:eastAsia="zh-CN"/>
                    </w:rPr>
                    <w:t>依托现有污水处理系统，铺设污水管道</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default" w:eastAsia="宋体"/>
                      <w:color w:val="000000"/>
                      <w:szCs w:val="21"/>
                      <w:lang w:val="en-US" w:eastAsia="zh-CN"/>
                    </w:rPr>
                  </w:pPr>
                  <w:r>
                    <w:rPr>
                      <w:rFonts w:hint="eastAsia"/>
                      <w:color w:val="000000"/>
                      <w:szCs w:val="21"/>
                      <w:lang w:val="en-US" w:eastAsia="zh-CN"/>
                    </w:rPr>
                    <w:t>0.5</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rPr>
                  </w:pPr>
                  <w:r>
                    <w:rPr>
                      <w:rFonts w:ascii="Times New Roman" w:hAnsi="Times New Roman"/>
                      <w:szCs w:val="21"/>
                    </w:rPr>
                    <w:t>废水不外排</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572" w:type="pct"/>
                  <w:tcBorders>
                    <w:top w:val="single" w:color="auto" w:sz="4" w:space="0"/>
                    <w:left w:val="nil"/>
                    <w:bottom w:val="single" w:color="auto" w:sz="4" w:space="0"/>
                    <w:right w:val="single" w:color="auto" w:sz="4" w:space="0"/>
                  </w:tcBorders>
                  <w:vAlign w:val="center"/>
                </w:tcPr>
                <w:p>
                  <w:pPr>
                    <w:snapToGrid w:val="0"/>
                    <w:ind w:left="-63" w:leftChars="-30" w:right="-63" w:rightChars="-30"/>
                    <w:jc w:val="center"/>
                    <w:rPr>
                      <w:color w:val="000000"/>
                      <w:szCs w:val="21"/>
                    </w:rPr>
                  </w:pPr>
                  <w:r>
                    <w:rPr>
                      <w:color w:val="000000"/>
                      <w:szCs w:val="21"/>
                    </w:rPr>
                    <w:t>地下水</w:t>
                  </w:r>
                </w:p>
              </w:tc>
              <w:tc>
                <w:tcPr>
                  <w:tcW w:w="2687" w:type="pct"/>
                  <w:tcBorders>
                    <w:top w:val="single" w:color="auto" w:sz="4" w:space="0"/>
                    <w:left w:val="single" w:color="auto" w:sz="4" w:space="0"/>
                    <w:bottom w:val="single" w:color="auto" w:sz="4" w:space="0"/>
                    <w:right w:val="single" w:color="auto" w:sz="4" w:space="0"/>
                  </w:tcBorders>
                  <w:vAlign w:val="center"/>
                </w:tcPr>
                <w:p>
                  <w:pPr>
                    <w:adjustRightInd w:val="0"/>
                    <w:snapToGrid w:val="0"/>
                    <w:ind w:left="-63" w:leftChars="-30" w:right="-63" w:rightChars="-30"/>
                    <w:jc w:val="center"/>
                    <w:rPr>
                      <w:color w:val="000000"/>
                      <w:szCs w:val="21"/>
                    </w:rPr>
                  </w:pPr>
                  <w:r>
                    <w:rPr>
                      <w:color w:val="000000"/>
                      <w:szCs w:val="21"/>
                    </w:rPr>
                    <w:t>生产车间一般防渗，危废</w:t>
                  </w:r>
                  <w:r>
                    <w:rPr>
                      <w:rFonts w:hint="eastAsia"/>
                      <w:color w:val="000000"/>
                      <w:szCs w:val="21"/>
                      <w:lang w:val="en-US" w:eastAsia="zh-CN"/>
                    </w:rPr>
                    <w:t>暂存间</w:t>
                  </w:r>
                  <w:r>
                    <w:rPr>
                      <w:rFonts w:hint="eastAsia"/>
                      <w:color w:val="000000"/>
                      <w:szCs w:val="21"/>
                    </w:rPr>
                    <w:t>、</w:t>
                  </w:r>
                  <w:r>
                    <w:rPr>
                      <w:rFonts w:hint="eastAsia"/>
                      <w:color w:val="000000"/>
                      <w:szCs w:val="21"/>
                      <w:lang w:val="en-US" w:eastAsia="zh-CN"/>
                    </w:rPr>
                    <w:t>污水池</w:t>
                  </w:r>
                  <w:r>
                    <w:rPr>
                      <w:color w:val="000000"/>
                      <w:szCs w:val="21"/>
                    </w:rPr>
                    <w:t>重点防渗</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color w:val="000000"/>
                      <w:szCs w:val="21"/>
                    </w:rPr>
                  </w:pPr>
                  <w:r>
                    <w:rPr>
                      <w:rFonts w:hint="eastAsia"/>
                      <w:color w:val="000000"/>
                      <w:szCs w:val="21"/>
                    </w:rPr>
                    <w:t>1</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eastAsia"/>
                      <w:color w:val="000000"/>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7" w:hRule="atLeast"/>
                <w:jc w:val="center"/>
              </w:trPr>
              <w:tc>
                <w:tcPr>
                  <w:tcW w:w="3259" w:type="pct"/>
                  <w:gridSpan w:val="2"/>
                  <w:tcBorders>
                    <w:top w:val="single" w:color="auto" w:sz="4" w:space="0"/>
                    <w:left w:val="nil"/>
                    <w:bottom w:val="single" w:color="auto" w:sz="4" w:space="0"/>
                    <w:right w:val="single" w:color="auto" w:sz="4" w:space="0"/>
                  </w:tcBorders>
                  <w:vAlign w:val="center"/>
                </w:tcPr>
                <w:p>
                  <w:pPr>
                    <w:adjustRightInd w:val="0"/>
                    <w:snapToGrid w:val="0"/>
                    <w:ind w:left="-63" w:leftChars="-30" w:right="-63" w:rightChars="-30"/>
                    <w:jc w:val="center"/>
                    <w:rPr>
                      <w:color w:val="000000"/>
                      <w:szCs w:val="21"/>
                    </w:rPr>
                  </w:pPr>
                  <w:r>
                    <w:rPr>
                      <w:rFonts w:hint="eastAsia"/>
                      <w:color w:val="000000"/>
                      <w:szCs w:val="21"/>
                      <w:lang w:val="en-US" w:eastAsia="zh-CN"/>
                    </w:rPr>
                    <w:t>合计</w:t>
                  </w:r>
                </w:p>
              </w:tc>
              <w:tc>
                <w:tcPr>
                  <w:tcW w:w="337" w:type="pct"/>
                  <w:tcBorders>
                    <w:top w:val="single" w:color="auto" w:sz="4" w:space="0"/>
                    <w:left w:val="single" w:color="auto" w:sz="4" w:space="0"/>
                    <w:bottom w:val="single" w:color="auto" w:sz="4" w:space="0"/>
                    <w:right w:val="nil"/>
                  </w:tcBorders>
                  <w:vAlign w:val="center"/>
                </w:tcPr>
                <w:p>
                  <w:pPr>
                    <w:spacing w:line="340" w:lineRule="exact"/>
                    <w:jc w:val="center"/>
                    <w:rPr>
                      <w:rFonts w:hint="default" w:eastAsia="宋体"/>
                      <w:color w:val="000000"/>
                      <w:szCs w:val="21"/>
                      <w:lang w:val="en-US" w:eastAsia="zh-CN"/>
                    </w:rPr>
                  </w:pPr>
                  <w:r>
                    <w:rPr>
                      <w:rFonts w:hint="eastAsia"/>
                      <w:color w:val="000000"/>
                      <w:szCs w:val="21"/>
                      <w:lang w:val="en-US" w:eastAsia="zh-CN"/>
                    </w:rPr>
                    <w:t>9.5</w:t>
                  </w:r>
                </w:p>
              </w:tc>
              <w:tc>
                <w:tcPr>
                  <w:tcW w:w="1403" w:type="pct"/>
                  <w:tcBorders>
                    <w:top w:val="single" w:color="auto" w:sz="4" w:space="0"/>
                    <w:left w:val="single" w:color="auto" w:sz="4" w:space="0"/>
                    <w:bottom w:val="single" w:color="auto" w:sz="4" w:space="0"/>
                    <w:right w:val="nil"/>
                  </w:tcBorders>
                  <w:vAlign w:val="center"/>
                </w:tcPr>
                <w:p>
                  <w:pPr>
                    <w:spacing w:line="340" w:lineRule="exact"/>
                    <w:jc w:val="center"/>
                    <w:rPr>
                      <w:rFonts w:hint="default" w:eastAsia="宋体"/>
                      <w:color w:val="000000"/>
                      <w:szCs w:val="21"/>
                      <w:lang w:val="en-US" w:eastAsia="zh-CN"/>
                    </w:rPr>
                  </w:pPr>
                  <w:r>
                    <w:rPr>
                      <w:rFonts w:hint="eastAsia"/>
                      <w:color w:val="000000"/>
                      <w:szCs w:val="21"/>
                      <w:lang w:val="en-US" w:eastAsia="zh-CN"/>
                    </w:rPr>
                    <w:t>-</w:t>
                  </w:r>
                </w:p>
              </w:tc>
            </w:tr>
          </w:tbl>
          <w:p>
            <w:pPr>
              <w:rPr>
                <w:rFonts w:hint="eastAsia"/>
              </w:rPr>
            </w:pPr>
          </w:p>
          <w:p>
            <w:pPr>
              <w:pStyle w:val="31"/>
              <w:spacing w:line="360" w:lineRule="auto"/>
              <w:ind w:firstLine="482" w:firstLineChars="200"/>
              <w:jc w:val="left"/>
              <w:rPr>
                <w:rFonts w:ascii="Times New Roman" w:hAnsi="Times New Roman" w:cs="Times New Roman"/>
                <w:b/>
                <w:color w:val="000000" w:themeColor="text1"/>
                <w14:textFill>
                  <w14:solidFill>
                    <w14:schemeClr w14:val="tx1"/>
                  </w14:solidFill>
                </w14:textFill>
              </w:rPr>
            </w:pPr>
            <w:r>
              <w:rPr>
                <w:rFonts w:hint="eastAsia" w:ascii="Times New Roman" w:hAnsi="Times New Roman" w:cs="Times New Roman"/>
                <w:b/>
                <w:color w:val="000000" w:themeColor="text1"/>
                <w14:textFill>
                  <w14:solidFill>
                    <w14:schemeClr w14:val="tx1"/>
                  </w14:solidFill>
                </w14:textFill>
              </w:rPr>
              <w:t>十、三本账</w:t>
            </w:r>
          </w:p>
          <w:p>
            <w:pPr>
              <w:pStyle w:val="31"/>
              <w:spacing w:line="360" w:lineRule="auto"/>
              <w:rPr>
                <w:rFonts w:ascii="Times New Roman" w:hAnsi="Times New Roman" w:cs="Times New Roman"/>
                <w:b/>
                <w:color w:val="auto"/>
              </w:rPr>
            </w:pPr>
            <w:r>
              <w:rPr>
                <w:rFonts w:ascii="Times New Roman" w:hAnsi="Times New Roman" w:cs="Times New Roman"/>
                <w:b/>
                <w:color w:val="auto"/>
              </w:rPr>
              <w:t>表</w:t>
            </w:r>
            <w:r>
              <w:rPr>
                <w:rFonts w:hint="eastAsia" w:ascii="Times New Roman" w:hAnsi="Times New Roman" w:cs="Times New Roman"/>
                <w:b/>
                <w:color w:val="auto"/>
              </w:rPr>
              <w:t>4</w:t>
            </w:r>
            <w:r>
              <w:rPr>
                <w:rFonts w:ascii="Times New Roman" w:hAnsi="Times New Roman" w:cs="Times New Roman"/>
                <w:b/>
                <w:color w:val="auto"/>
              </w:rPr>
              <w:t>-</w:t>
            </w:r>
            <w:r>
              <w:rPr>
                <w:rFonts w:hint="eastAsia" w:ascii="Times New Roman" w:hAnsi="Times New Roman" w:cs="Times New Roman"/>
                <w:b/>
                <w:color w:val="auto"/>
                <w:lang w:val="en-US" w:eastAsia="zh-CN"/>
              </w:rPr>
              <w:t xml:space="preserve">13 </w:t>
            </w:r>
            <w:r>
              <w:rPr>
                <w:rFonts w:hint="eastAsia" w:ascii="Times New Roman" w:hAnsi="Times New Roman" w:cs="Times New Roman"/>
                <w:b/>
                <w:color w:val="auto"/>
              </w:rPr>
              <w:t>项目</w:t>
            </w:r>
            <w:r>
              <w:rPr>
                <w:rFonts w:ascii="Times New Roman" w:hAnsi="Times New Roman" w:cs="Times New Roman"/>
                <w:b/>
                <w:color w:val="auto"/>
              </w:rPr>
              <w:t>污染物排放量</w:t>
            </w:r>
            <w:r>
              <w:rPr>
                <w:rFonts w:hint="eastAsia" w:ascii="Times New Roman" w:hAnsi="Times New Roman" w:cs="Times New Roman"/>
                <w:b/>
                <w:color w:val="auto"/>
              </w:rPr>
              <w:t>三本账</w:t>
            </w:r>
            <w:r>
              <w:rPr>
                <w:rFonts w:ascii="Times New Roman" w:hAnsi="Times New Roman" w:cs="Times New Roman"/>
                <w:b/>
                <w:color w:val="auto"/>
              </w:rPr>
              <w:t xml:space="preserve">  单位：t/a</w:t>
            </w:r>
          </w:p>
          <w:tbl>
            <w:tblPr>
              <w:tblStyle w:val="26"/>
              <w:tblW w:w="5000" w:type="pct"/>
              <w:tblInd w:w="5"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8"/>
              <w:gridCol w:w="1858"/>
              <w:gridCol w:w="1329"/>
              <w:gridCol w:w="1724"/>
              <w:gridCol w:w="1159"/>
              <w:gridCol w:w="117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393"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种类</w:t>
                  </w:r>
                </w:p>
              </w:tc>
              <w:tc>
                <w:tcPr>
                  <w:tcW w:w="1182"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污染物名称</w:t>
                  </w:r>
                </w:p>
              </w:tc>
              <w:tc>
                <w:tcPr>
                  <w:tcW w:w="845" w:type="pct"/>
                  <w:vAlign w:val="center"/>
                </w:tcPr>
                <w:p>
                  <w:pPr>
                    <w:adjustRightInd w:val="0"/>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现有工程</w:t>
                  </w:r>
                </w:p>
                <w:p>
                  <w:pPr>
                    <w:adjustRightInd w:val="0"/>
                    <w:snapToGrid w:val="0"/>
                    <w:ind w:left="-107" w:leftChars="-51" w:right="-107" w:rightChars="-51"/>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排放量</w:t>
                  </w:r>
                </w:p>
              </w:tc>
              <w:tc>
                <w:tcPr>
                  <w:tcW w:w="1096" w:type="pct"/>
                  <w:vAlign w:val="center"/>
                </w:tcPr>
                <w:p>
                  <w:pPr>
                    <w:adjustRightInd w:val="0"/>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改扩建工程</w:t>
                  </w:r>
                </w:p>
                <w:p>
                  <w:pPr>
                    <w:adjustRightInd w:val="0"/>
                    <w:snapToGrid w:val="0"/>
                    <w:ind w:left="-107" w:leftChars="-51" w:right="-107" w:rightChars="-51"/>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w:t>
                  </w:r>
                </w:p>
              </w:tc>
              <w:tc>
                <w:tcPr>
                  <w:tcW w:w="737" w:type="pct"/>
                  <w:vAlign w:val="center"/>
                </w:tcPr>
                <w:p>
                  <w:pPr>
                    <w:adjustRightInd w:val="0"/>
                    <w:snapToGrid w:val="0"/>
                    <w:jc w:val="center"/>
                    <w:rPr>
                      <w:rFonts w:hint="eastAsia"/>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总体工程</w:t>
                  </w:r>
                </w:p>
                <w:p>
                  <w:pPr>
                    <w:adjustRightInd w:val="0"/>
                    <w:snapToGrid w:val="0"/>
                    <w:ind w:left="-107" w:leftChars="-51" w:right="-84" w:rightChars="-4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排放量</w:t>
                  </w:r>
                </w:p>
              </w:tc>
              <w:tc>
                <w:tcPr>
                  <w:tcW w:w="744" w:type="pct"/>
                  <w:vAlign w:val="center"/>
                </w:tcPr>
                <w:p>
                  <w:pPr>
                    <w:adjustRightInd w:val="0"/>
                    <w:snapToGrid w:val="0"/>
                    <w:jc w:val="center"/>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排放增减量</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废气</w:t>
                  </w:r>
                </w:p>
              </w:tc>
              <w:tc>
                <w:tcPr>
                  <w:tcW w:w="1182" w:type="pct"/>
                  <w:vAlign w:val="center"/>
                </w:tcPr>
                <w:p>
                  <w:pPr>
                    <w:adjustRightInd w:val="0"/>
                    <w:snapToGrid w:val="0"/>
                    <w:jc w:val="center"/>
                    <w:rPr>
                      <w:color w:val="000000" w:themeColor="text1"/>
                      <w:szCs w:val="21"/>
                      <w:vertAlign w:val="subscript"/>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845"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0.126</w:t>
                  </w:r>
                </w:p>
              </w:tc>
              <w:tc>
                <w:tcPr>
                  <w:tcW w:w="1096"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4.662</w:t>
                  </w:r>
                </w:p>
              </w:tc>
              <w:tc>
                <w:tcPr>
                  <w:tcW w:w="73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4.788</w:t>
                  </w:r>
                </w:p>
              </w:tc>
              <w:tc>
                <w:tcPr>
                  <w:tcW w:w="74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4.662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restart"/>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固废</w:t>
                  </w:r>
                </w:p>
              </w:tc>
              <w:tc>
                <w:tcPr>
                  <w:tcW w:w="1182" w:type="pct"/>
                  <w:vAlign w:val="center"/>
                </w:tcPr>
                <w:p>
                  <w:pPr>
                    <w:pStyle w:val="41"/>
                    <w:spacing w:beforeLines="0" w:afterLines="0" w:line="240" w:lineRule="auto"/>
                    <w:rPr>
                      <w:rFonts w:ascii="Times New Roman"/>
                      <w:color w:val="000000" w:themeColor="text1"/>
                      <w:szCs w:val="21"/>
                      <w14:textFill>
                        <w14:solidFill>
                          <w14:schemeClr w14:val="tx1"/>
                        </w14:solidFill>
                      </w14:textFill>
                    </w:rPr>
                  </w:pPr>
                  <w:r>
                    <w:rPr>
                      <w:rFonts w:ascii="Times New Roman"/>
                      <w:color w:val="000000"/>
                      <w:spacing w:val="4"/>
                      <w:kern w:val="18"/>
                      <w:szCs w:val="21"/>
                    </w:rPr>
                    <w:t>废油</w:t>
                  </w:r>
                </w:p>
              </w:tc>
              <w:tc>
                <w:tcPr>
                  <w:tcW w:w="845" w:type="pct"/>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eastAsia="宋体"/>
                      <w:szCs w:val="21"/>
                      <w:lang w:val="en-US" w:eastAsia="zh-CN"/>
                    </w:rPr>
                  </w:pPr>
                  <w:r>
                    <w:rPr>
                      <w:rFonts w:hint="eastAsia" w:ascii="Times New Roman"/>
                      <w:szCs w:val="21"/>
                      <w:lang w:val="en-US" w:eastAsia="zh-CN"/>
                    </w:rPr>
                    <w:t>0.15</w:t>
                  </w:r>
                </w:p>
              </w:tc>
              <w:tc>
                <w:tcPr>
                  <w:tcW w:w="73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0.15</w:t>
                  </w:r>
                </w:p>
              </w:tc>
              <w:tc>
                <w:tcPr>
                  <w:tcW w:w="74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ascii="Times New Roman"/>
                      <w:color w:val="000000" w:themeColor="text1"/>
                      <w:szCs w:val="21"/>
                      <w14:textFill>
                        <w14:solidFill>
                          <w14:schemeClr w14:val="tx1"/>
                        </w14:solidFill>
                      </w14:textFill>
                    </w:rPr>
                  </w:pPr>
                  <w:r>
                    <w:rPr>
                      <w:rFonts w:ascii="Times New Roman"/>
                      <w:color w:val="000000"/>
                      <w:spacing w:val="4"/>
                      <w:kern w:val="18"/>
                      <w:szCs w:val="21"/>
                    </w:rPr>
                    <w:t>废</w:t>
                  </w:r>
                  <w:r>
                    <w:rPr>
                      <w:rFonts w:hint="eastAsia" w:ascii="Times New Roman"/>
                      <w:color w:val="000000"/>
                      <w:spacing w:val="4"/>
                      <w:kern w:val="18"/>
                      <w:szCs w:val="21"/>
                      <w:lang w:val="en-US" w:eastAsia="zh-CN"/>
                    </w:rPr>
                    <w:t>油</w:t>
                  </w:r>
                  <w:r>
                    <w:rPr>
                      <w:rFonts w:ascii="Times New Roman"/>
                      <w:color w:val="000000"/>
                      <w:spacing w:val="4"/>
                      <w:kern w:val="18"/>
                      <w:szCs w:val="21"/>
                    </w:rPr>
                    <w:t>桶</w:t>
                  </w:r>
                </w:p>
              </w:tc>
              <w:tc>
                <w:tcPr>
                  <w:tcW w:w="845" w:type="pct"/>
                  <w:vAlign w:val="center"/>
                </w:tcPr>
                <w:p>
                  <w:pPr>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0.01</w:t>
                  </w:r>
                </w:p>
              </w:tc>
              <w:tc>
                <w:tcPr>
                  <w:tcW w:w="73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0.01</w:t>
                  </w:r>
                </w:p>
              </w:tc>
              <w:tc>
                <w:tcPr>
                  <w:tcW w:w="74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hint="eastAsia" w:ascii="Times New Roman"/>
                      <w:color w:val="000000"/>
                      <w:spacing w:val="4"/>
                      <w:kern w:val="18"/>
                      <w:szCs w:val="21"/>
                      <w:lang w:val="en-US" w:eastAsia="zh-CN"/>
                    </w:rPr>
                  </w:pPr>
                  <w:r>
                    <w:rPr>
                      <w:rFonts w:hint="eastAsia" w:ascii="Times New Roman"/>
                      <w:color w:val="000000"/>
                      <w:spacing w:val="4"/>
                      <w:kern w:val="18"/>
                      <w:szCs w:val="21"/>
                      <w:lang w:val="en-US" w:eastAsia="zh-CN"/>
                    </w:rPr>
                    <w:t>废含油手套、抹布</w:t>
                  </w:r>
                </w:p>
              </w:tc>
              <w:tc>
                <w:tcPr>
                  <w:tcW w:w="845" w:type="pct"/>
                  <w:vAlign w:val="center"/>
                </w:tcPr>
                <w:p>
                  <w:pPr>
                    <w:jc w:val="center"/>
                    <w:rPr>
                      <w:rFonts w:hint="default"/>
                      <w:color w:val="000000" w:themeColor="text1"/>
                      <w:szCs w:val="21"/>
                      <w:highlight w:val="none"/>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color w:val="000000"/>
                      <w:spacing w:val="4"/>
                      <w:kern w:val="18"/>
                      <w:szCs w:val="21"/>
                      <w:lang w:val="en-US" w:eastAsia="zh-CN"/>
                    </w:rPr>
                  </w:pPr>
                  <w:r>
                    <w:rPr>
                      <w:rFonts w:hint="eastAsia" w:ascii="Times New Roman"/>
                      <w:color w:val="000000"/>
                      <w:spacing w:val="4"/>
                      <w:kern w:val="18"/>
                      <w:szCs w:val="21"/>
                      <w:lang w:val="en-US" w:eastAsia="zh-CN"/>
                    </w:rPr>
                    <w:t>0.001</w:t>
                  </w:r>
                </w:p>
              </w:tc>
              <w:tc>
                <w:tcPr>
                  <w:tcW w:w="737" w:type="pct"/>
                  <w:vAlign w:val="center"/>
                </w:tcPr>
                <w:p>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0.001</w:t>
                  </w:r>
                </w:p>
              </w:tc>
              <w:tc>
                <w:tcPr>
                  <w:tcW w:w="744" w:type="pct"/>
                  <w:vAlign w:val="center"/>
                </w:tcPr>
                <w:p>
                  <w:pPr>
                    <w:adjustRightInd w:val="0"/>
                    <w:snapToGrid w:val="0"/>
                    <w:jc w:val="center"/>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0.001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hint="eastAsia" w:ascii="Times New Roman" w:eastAsia="宋体"/>
                      <w:color w:val="000000" w:themeColor="text1"/>
                      <w:szCs w:val="21"/>
                      <w:lang w:eastAsia="zh-CN"/>
                      <w14:textFill>
                        <w14:solidFill>
                          <w14:schemeClr w14:val="tx1"/>
                        </w14:solidFill>
                      </w14:textFill>
                    </w:rPr>
                  </w:pPr>
                  <w:r>
                    <w:rPr>
                      <w:rFonts w:hint="eastAsia" w:ascii="Times New Roman"/>
                      <w:color w:val="000000"/>
                      <w:spacing w:val="4"/>
                      <w:kern w:val="18"/>
                      <w:szCs w:val="21"/>
                      <w:lang w:val="en-US" w:eastAsia="zh-CN"/>
                    </w:rPr>
                    <w:t>沉渣</w:t>
                  </w:r>
                </w:p>
              </w:tc>
              <w:tc>
                <w:tcPr>
                  <w:tcW w:w="845" w:type="pct"/>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highlight w:val="none"/>
                      <w:lang w:val="en-US" w:eastAsia="zh-CN"/>
                      <w14:textFill>
                        <w14:solidFill>
                          <w14:schemeClr w14:val="tx1"/>
                        </w14:solidFill>
                      </w14:textFill>
                    </w:rPr>
                    <w:t>9878</w:t>
                  </w:r>
                </w:p>
              </w:tc>
              <w:tc>
                <w:tcPr>
                  <w:tcW w:w="1096" w:type="pct"/>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14142.31</w:t>
                  </w:r>
                </w:p>
              </w:tc>
              <w:tc>
                <w:tcPr>
                  <w:tcW w:w="73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24020.31</w:t>
                  </w:r>
                </w:p>
              </w:tc>
              <w:tc>
                <w:tcPr>
                  <w:tcW w:w="744"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w:t>
                  </w:r>
                  <w:r>
                    <w:rPr>
                      <w:rFonts w:hint="eastAsia"/>
                      <w:color w:val="000000" w:themeColor="text1"/>
                      <w:szCs w:val="21"/>
                      <w:lang w:val="en-US" w:eastAsia="zh-CN"/>
                      <w14:textFill>
                        <w14:solidFill>
                          <w14:schemeClr w14:val="tx1"/>
                        </w14:solidFill>
                      </w14:textFill>
                    </w:rPr>
                    <w:t>14142.31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Merge w:val="continue"/>
                  <w:vAlign w:val="center"/>
                </w:tcPr>
                <w:p>
                  <w:pPr>
                    <w:adjustRightInd w:val="0"/>
                    <w:snapToGrid w:val="0"/>
                    <w:jc w:val="center"/>
                    <w:rPr>
                      <w:color w:val="000000" w:themeColor="text1"/>
                      <w:szCs w:val="21"/>
                      <w14:textFill>
                        <w14:solidFill>
                          <w14:schemeClr w14:val="tx1"/>
                        </w14:solidFill>
                      </w14:textFill>
                    </w:rPr>
                  </w:pPr>
                </w:p>
              </w:tc>
              <w:tc>
                <w:tcPr>
                  <w:tcW w:w="1182" w:type="pct"/>
                  <w:vAlign w:val="center"/>
                </w:tcPr>
                <w:p>
                  <w:pPr>
                    <w:pStyle w:val="41"/>
                    <w:spacing w:beforeLines="0" w:afterLines="0" w:line="240" w:lineRule="auto"/>
                    <w:rPr>
                      <w:rFonts w:hint="eastAsia" w:ascii="Times New Roman"/>
                      <w:color w:val="000000"/>
                      <w:spacing w:val="4"/>
                      <w:kern w:val="18"/>
                      <w:szCs w:val="21"/>
                      <w:lang w:val="en-US" w:eastAsia="zh-CN"/>
                    </w:rPr>
                  </w:pPr>
                  <w:r>
                    <w:rPr>
                      <w:rFonts w:hint="default" w:ascii="Times New Roman" w:hAnsi="Times New Roman" w:eastAsia="宋体" w:cs="Times New Roman"/>
                      <w:color w:val="auto"/>
                      <w:spacing w:val="0"/>
                      <w:position w:val="0"/>
                      <w:sz w:val="21"/>
                      <w:szCs w:val="21"/>
                      <w:highlight w:val="none"/>
                      <w:lang w:val="en-US" w:eastAsia="zh-CN"/>
                    </w:rPr>
                    <w:t>碎石杂质</w:t>
                  </w:r>
                </w:p>
              </w:tc>
              <w:tc>
                <w:tcPr>
                  <w:tcW w:w="845" w:type="pct"/>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2870</w:t>
                  </w:r>
                </w:p>
              </w:tc>
              <w:tc>
                <w:tcPr>
                  <w:tcW w:w="1096" w:type="pct"/>
                  <w:vAlign w:val="center"/>
                </w:tcPr>
                <w:p>
                  <w:pPr>
                    <w:pStyle w:val="41"/>
                    <w:spacing w:beforeLines="0" w:afterLines="0" w:line="240" w:lineRule="auto"/>
                    <w:rPr>
                      <w:rFonts w:hint="eastAsia"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w:t>
                  </w:r>
                </w:p>
              </w:tc>
              <w:tc>
                <w:tcPr>
                  <w:tcW w:w="737" w:type="pct"/>
                  <w:vAlign w:val="center"/>
                </w:tcPr>
                <w:p>
                  <w:pPr>
                    <w:adjustRightInd w:val="0"/>
                    <w:snapToGrid w:val="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2878</w:t>
                  </w:r>
                </w:p>
              </w:tc>
              <w:tc>
                <w:tcPr>
                  <w:tcW w:w="744" w:type="pct"/>
                  <w:vAlign w:val="center"/>
                </w:tcPr>
                <w:p>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93" w:type="pct"/>
                  <w:vAlign w:val="center"/>
                </w:tcPr>
                <w:p>
                  <w:pPr>
                    <w:adjustRightInd w:val="0"/>
                    <w:snapToGrid w:val="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废水</w:t>
                  </w:r>
                </w:p>
              </w:tc>
              <w:tc>
                <w:tcPr>
                  <w:tcW w:w="1182" w:type="pct"/>
                  <w:vAlign w:val="center"/>
                </w:tcPr>
                <w:p>
                  <w:pPr>
                    <w:pStyle w:val="41"/>
                    <w:spacing w:beforeLines="0" w:afterLines="0" w:line="240" w:lineRule="auto"/>
                    <w:jc w:val="center"/>
                    <w:rPr>
                      <w:rFonts w:hint="default" w:ascii="Times New Roman" w:hAnsi="Times New Roman" w:eastAsia="宋体" w:cs="Times New Roman"/>
                      <w:color w:val="auto"/>
                      <w:spacing w:val="0"/>
                      <w:position w:val="0"/>
                      <w:sz w:val="21"/>
                      <w:szCs w:val="21"/>
                      <w:highlight w:val="none"/>
                      <w:lang w:val="en-US" w:eastAsia="zh-CN"/>
                    </w:rPr>
                  </w:pPr>
                  <w:r>
                    <w:rPr>
                      <w:rFonts w:hint="eastAsia" w:ascii="Times New Roman" w:cs="Times New Roman"/>
                      <w:color w:val="auto"/>
                      <w:spacing w:val="0"/>
                      <w:position w:val="0"/>
                      <w:sz w:val="21"/>
                      <w:szCs w:val="21"/>
                      <w:highlight w:val="none"/>
                      <w:lang w:val="en-US" w:eastAsia="zh-CN"/>
                    </w:rPr>
                    <w:t>/</w:t>
                  </w:r>
                </w:p>
              </w:tc>
              <w:tc>
                <w:tcPr>
                  <w:tcW w:w="845" w:type="pct"/>
                  <w:vAlign w:val="center"/>
                </w:tcPr>
                <w:p>
                  <w:pPr>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1096" w:type="pct"/>
                  <w:vAlign w:val="center"/>
                </w:tcPr>
                <w:p>
                  <w:pPr>
                    <w:pStyle w:val="41"/>
                    <w:spacing w:beforeLines="0" w:afterLines="0" w:line="240" w:lineRule="auto"/>
                    <w:rPr>
                      <w:rFonts w:hint="default" w:ascii="Times New Roman"/>
                      <w:color w:val="000000"/>
                      <w:spacing w:val="4"/>
                      <w:kern w:val="18"/>
                      <w:szCs w:val="21"/>
                      <w:lang w:val="en-US" w:eastAsia="zh-CN"/>
                    </w:rPr>
                  </w:pPr>
                  <w:r>
                    <w:rPr>
                      <w:rFonts w:hint="eastAsia" w:ascii="Times New Roman"/>
                      <w:color w:val="000000"/>
                      <w:spacing w:val="4"/>
                      <w:kern w:val="18"/>
                      <w:szCs w:val="21"/>
                      <w:lang w:val="en-US" w:eastAsia="zh-CN"/>
                    </w:rPr>
                    <w:t>0</w:t>
                  </w:r>
                </w:p>
              </w:tc>
              <w:tc>
                <w:tcPr>
                  <w:tcW w:w="737" w:type="pct"/>
                  <w:vAlign w:val="center"/>
                </w:tcPr>
                <w:p>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c>
                <w:tcPr>
                  <w:tcW w:w="744" w:type="pct"/>
                  <w:vAlign w:val="center"/>
                </w:tcPr>
                <w:p>
                  <w:pPr>
                    <w:adjustRightInd w:val="0"/>
                    <w:snapToGrid w:val="0"/>
                    <w:jc w:val="center"/>
                    <w:rPr>
                      <w:rFonts w:hint="default"/>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w:t>
                  </w:r>
                </w:p>
              </w:tc>
            </w:tr>
          </w:tbl>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p>
            <w:pPr>
              <w:adjustRightInd w:val="0"/>
              <w:snapToGrid w:val="0"/>
              <w:ind w:firstLine="382" w:firstLineChars="200"/>
              <w:rPr>
                <w:rFonts w:cs="宋体"/>
                <w:b/>
                <w:spacing w:val="-10"/>
                <w:szCs w:val="21"/>
              </w:rPr>
            </w:pPr>
          </w:p>
        </w:tc>
      </w:tr>
    </w:tbl>
    <w:p>
      <w:pPr>
        <w:adjustRightInd w:val="0"/>
        <w:snapToGrid w:val="0"/>
        <w:spacing w:line="360" w:lineRule="auto"/>
        <w:rPr>
          <w:rFonts w:cs="宋体"/>
          <w:b/>
          <w:kern w:val="0"/>
          <w:sz w:val="28"/>
          <w:szCs w:val="28"/>
        </w:rPr>
        <w:sectPr>
          <w:pgSz w:w="11907" w:h="16840"/>
          <w:pgMar w:top="1701" w:right="1531" w:bottom="2127" w:left="1531" w:header="851" w:footer="851" w:gutter="0"/>
          <w:cols w:space="720" w:num="1"/>
          <w:docGrid w:linePitch="312" w:charSpace="0"/>
        </w:sectPr>
      </w:pPr>
    </w:p>
    <w:p>
      <w:pPr>
        <w:pStyle w:val="24"/>
        <w:jc w:val="center"/>
        <w:outlineLvl w:val="0"/>
        <w:rPr>
          <w:rFonts w:ascii="Times New Roman" w:hAnsi="Times New Roman"/>
          <w:snapToGrid w:val="0"/>
          <w:sz w:val="30"/>
          <w:szCs w:val="30"/>
        </w:rPr>
      </w:pPr>
      <w:r>
        <w:rPr>
          <w:rFonts w:hint="eastAsia" w:ascii="Times New Roman" w:hAnsi="Times New Roman"/>
          <w:snapToGrid w:val="0"/>
          <w:sz w:val="30"/>
          <w:szCs w:val="30"/>
        </w:rPr>
        <w:t>五、</w:t>
      </w:r>
      <w:bookmarkStart w:id="1" w:name="_Hlk54167917"/>
      <w:r>
        <w:rPr>
          <w:rFonts w:hint="eastAsia" w:ascii="Times New Roman" w:hAnsi="Times New Roman"/>
          <w:snapToGrid w:val="0"/>
          <w:sz w:val="30"/>
          <w:szCs w:val="30"/>
        </w:rPr>
        <w:t>环境保护措施监督检查清单</w:t>
      </w:r>
      <w:bookmarkEnd w:id="1"/>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410"/>
        <w:gridCol w:w="1065"/>
        <w:gridCol w:w="1819"/>
        <w:gridCol w:w="33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tcBorders>
              <w:tl2br w:val="single" w:color="auto" w:sz="4" w:space="0"/>
            </w:tcBorders>
            <w:vAlign w:val="center"/>
          </w:tcPr>
          <w:p>
            <w:pPr>
              <w:adjustRightInd w:val="0"/>
              <w:snapToGrid w:val="0"/>
              <w:ind w:firstLine="840"/>
              <w:jc w:val="center"/>
              <w:rPr>
                <w:rFonts w:hint="eastAsia" w:ascii="宋体" w:hAnsi="宋体" w:eastAsia="宋体" w:cs="宋体"/>
                <w:b/>
                <w:bCs/>
                <w:sz w:val="21"/>
                <w:szCs w:val="21"/>
              </w:rPr>
            </w:pPr>
            <w:r>
              <w:rPr>
                <w:rFonts w:hint="eastAsia" w:ascii="宋体" w:hAnsi="宋体" w:eastAsia="宋体" w:cs="宋体"/>
                <w:b/>
                <w:bCs/>
                <w:sz w:val="21"/>
                <w:szCs w:val="21"/>
              </w:rPr>
              <w:t>内</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容</w:t>
            </w:r>
          </w:p>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要素</w:t>
            </w:r>
          </w:p>
        </w:tc>
        <w:tc>
          <w:tcPr>
            <w:tcW w:w="1410"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排放口(编号、名称)/污染源</w:t>
            </w:r>
          </w:p>
        </w:tc>
        <w:tc>
          <w:tcPr>
            <w:tcW w:w="1065"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污染物项目</w:t>
            </w:r>
          </w:p>
        </w:tc>
        <w:tc>
          <w:tcPr>
            <w:tcW w:w="1819"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环境保护措施</w:t>
            </w:r>
          </w:p>
        </w:tc>
        <w:tc>
          <w:tcPr>
            <w:tcW w:w="3305" w:type="dxa"/>
            <w:vAlign w:val="center"/>
          </w:tcPr>
          <w:p>
            <w:pPr>
              <w:adjustRightInd w:val="0"/>
              <w:snapToGrid w:val="0"/>
              <w:jc w:val="center"/>
              <w:rPr>
                <w:rFonts w:hint="eastAsia" w:ascii="宋体" w:hAnsi="宋体" w:eastAsia="宋体" w:cs="宋体"/>
                <w:b/>
                <w:bCs/>
                <w:sz w:val="21"/>
                <w:szCs w:val="21"/>
              </w:rPr>
            </w:pPr>
            <w:r>
              <w:rPr>
                <w:rFonts w:hint="eastAsia" w:ascii="宋体" w:hAnsi="宋体" w:eastAsia="宋体" w:cs="宋体"/>
                <w:b/>
                <w:bCs/>
                <w:sz w:val="21"/>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大气环境</w:t>
            </w:r>
          </w:p>
        </w:tc>
        <w:tc>
          <w:tcPr>
            <w:tcW w:w="1410" w:type="dxa"/>
            <w:vAlign w:val="center"/>
          </w:tcPr>
          <w:p>
            <w:pPr>
              <w:adjustRightInd w:val="0"/>
              <w:snapToGrid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车辆运输</w:t>
            </w:r>
          </w:p>
        </w:tc>
        <w:tc>
          <w:tcPr>
            <w:tcW w:w="106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洒水抑尘</w:t>
            </w:r>
          </w:p>
        </w:tc>
        <w:tc>
          <w:tcPr>
            <w:tcW w:w="3305" w:type="dxa"/>
            <w:vMerge w:val="restart"/>
            <w:vAlign w:val="center"/>
          </w:tcPr>
          <w:p>
            <w:pPr>
              <w:rPr>
                <w:rFonts w:hint="eastAsia" w:ascii="宋体" w:hAnsi="宋体" w:eastAsia="宋体" w:cs="宋体"/>
                <w:sz w:val="21"/>
                <w:szCs w:val="21"/>
              </w:rPr>
            </w:pPr>
            <w:r>
              <w:rPr>
                <w:rFonts w:hint="eastAsia" w:ascii="宋体" w:hAnsi="宋体" w:eastAsia="宋体" w:cs="宋体"/>
                <w:color w:val="000000"/>
                <w:spacing w:val="-11"/>
                <w:sz w:val="21"/>
                <w:szCs w:val="21"/>
              </w:rPr>
              <w:t>满足上海市《大气污染物综合排放标准》（DB 31/933-2015）表3厂界大气污染物监控点浓度限值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adjustRightInd w:val="0"/>
              <w:snapToGrid w:val="0"/>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装卸</w:t>
            </w:r>
          </w:p>
        </w:tc>
        <w:tc>
          <w:tcPr>
            <w:tcW w:w="106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lang w:val="en-US" w:eastAsia="zh-CN"/>
              </w:rPr>
              <w:t>洒水抑尘</w:t>
            </w:r>
          </w:p>
        </w:tc>
        <w:tc>
          <w:tcPr>
            <w:tcW w:w="3305" w:type="dxa"/>
            <w:vMerge w:val="continue"/>
            <w:vAlign w:val="center"/>
          </w:tcPr>
          <w:p>
            <w:pP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破碎</w:t>
            </w:r>
          </w:p>
        </w:tc>
        <w:tc>
          <w:tcPr>
            <w:tcW w:w="1065" w:type="dxa"/>
            <w:vAlign w:val="center"/>
          </w:tcPr>
          <w:p>
            <w:pPr>
              <w:adjustRightInd w:val="0"/>
              <w:snapToGrid w:val="0"/>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湿式破碎</w:t>
            </w: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筛分</w:t>
            </w:r>
          </w:p>
        </w:tc>
        <w:tc>
          <w:tcPr>
            <w:tcW w:w="1065" w:type="dxa"/>
            <w:vAlign w:val="center"/>
          </w:tcPr>
          <w:p>
            <w:pPr>
              <w:adjustRightInd w:val="0"/>
              <w:snapToGrid w:val="0"/>
              <w:jc w:val="center"/>
              <w:rPr>
                <w:rFonts w:hint="eastAsia" w:ascii="宋体" w:hAnsi="宋体" w:eastAsia="宋体" w:cs="宋体"/>
                <w:kern w:val="2"/>
                <w:sz w:val="21"/>
                <w:szCs w:val="21"/>
                <w:lang w:val="en-US" w:eastAsia="zh-CN" w:bidi="ar-SA"/>
              </w:rPr>
            </w:pPr>
            <w:r>
              <w:rPr>
                <w:rFonts w:hint="eastAsia" w:ascii="宋体" w:hAnsi="宋体" w:eastAsia="宋体" w:cs="宋体"/>
                <w:color w:val="000000"/>
                <w:sz w:val="21"/>
                <w:szCs w:val="21"/>
              </w:rPr>
              <w:t>颗粒物</w:t>
            </w:r>
          </w:p>
        </w:tc>
        <w:tc>
          <w:tcPr>
            <w:tcW w:w="1819" w:type="dxa"/>
            <w:vAlign w:val="center"/>
          </w:tcPr>
          <w:p>
            <w:pPr>
              <w:adjustRightInd w:val="0"/>
              <w:snapToGrid w:val="0"/>
              <w:jc w:val="center"/>
              <w:rPr>
                <w:rFonts w:hint="default" w:ascii="宋体" w:hAnsi="宋体" w:eastAsia="宋体" w:cs="宋体"/>
                <w:sz w:val="21"/>
                <w:szCs w:val="21"/>
                <w:lang w:val="en-US" w:eastAsia="zh-CN"/>
              </w:rPr>
            </w:pPr>
            <w:r>
              <w:rPr>
                <w:rFonts w:hint="eastAsia" w:ascii="宋体" w:hAnsi="宋体" w:cs="宋体"/>
                <w:sz w:val="21"/>
                <w:szCs w:val="21"/>
                <w:lang w:val="en-US" w:eastAsia="zh-CN"/>
              </w:rPr>
              <w:t>湿式筛分</w:t>
            </w: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声环境</w:t>
            </w: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lang w:val="en-US" w:eastAsia="zh-CN"/>
              </w:rPr>
              <w:t>头破</w:t>
            </w:r>
            <w:r>
              <w:rPr>
                <w:rFonts w:hint="eastAsia" w:ascii="宋体" w:hAnsi="宋体" w:eastAsia="宋体" w:cs="宋体"/>
                <w:color w:val="auto"/>
                <w:sz w:val="21"/>
                <w:szCs w:val="21"/>
              </w:rPr>
              <w:t>机</w:t>
            </w:r>
          </w:p>
        </w:tc>
        <w:tc>
          <w:tcPr>
            <w:tcW w:w="106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噪声</w:t>
            </w:r>
          </w:p>
        </w:tc>
        <w:tc>
          <w:tcPr>
            <w:tcW w:w="1819"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选用低噪声设备，隔声、建筑消声</w:t>
            </w:r>
          </w:p>
        </w:tc>
        <w:tc>
          <w:tcPr>
            <w:tcW w:w="3305" w:type="dxa"/>
            <w:vMerge w:val="restart"/>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厂界满足《工业企业厂界环境噪声排放标准》（GB12348-2008）中的3类标准，周边敏感点满足《工业企业厂界环境噪声排放标准》（GB12348-2008）中的2类标准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rPr>
              <w:t>圆锥破</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lang w:val="en-US" w:eastAsia="zh-CN"/>
              </w:rPr>
              <w:t>制砂机</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rPr>
              <w:t>振动筛</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bCs/>
                <w:color w:val="auto"/>
                <w:kern w:val="2"/>
                <w:sz w:val="21"/>
                <w:szCs w:val="21"/>
                <w:lang w:val="en-US" w:eastAsia="zh-CN" w:bidi="ar-SA"/>
              </w:rPr>
            </w:pPr>
            <w:r>
              <w:rPr>
                <w:rFonts w:hint="eastAsia" w:ascii="宋体" w:hAnsi="宋体" w:eastAsia="宋体" w:cs="宋体"/>
                <w:color w:val="auto"/>
                <w:sz w:val="21"/>
                <w:szCs w:val="21"/>
                <w:lang w:val="en-US" w:eastAsia="zh-CN"/>
              </w:rPr>
              <w:t>脱水机</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Merge w:val="continue"/>
            <w:vAlign w:val="center"/>
          </w:tcPr>
          <w:p>
            <w:pPr>
              <w:adjustRightInd w:val="0"/>
              <w:snapToGrid w:val="0"/>
              <w:jc w:val="center"/>
              <w:rPr>
                <w:rFonts w:hint="eastAsia" w:ascii="宋体" w:hAnsi="宋体" w:eastAsia="宋体" w:cs="宋体"/>
                <w:sz w:val="21"/>
                <w:szCs w:val="21"/>
              </w:rPr>
            </w:pPr>
          </w:p>
        </w:tc>
        <w:tc>
          <w:tcPr>
            <w:tcW w:w="1410" w:type="dxa"/>
            <w:vAlign w:val="center"/>
          </w:tcPr>
          <w:p>
            <w:pPr>
              <w:spacing w:line="240" w:lineRule="atLeast"/>
              <w:jc w:val="center"/>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洗砂机</w:t>
            </w:r>
          </w:p>
        </w:tc>
        <w:tc>
          <w:tcPr>
            <w:tcW w:w="1065" w:type="dxa"/>
            <w:vMerge w:val="continue"/>
            <w:vAlign w:val="center"/>
          </w:tcPr>
          <w:p>
            <w:pPr>
              <w:adjustRightInd w:val="0"/>
              <w:snapToGrid w:val="0"/>
              <w:jc w:val="center"/>
              <w:rPr>
                <w:rFonts w:hint="eastAsia" w:ascii="宋体" w:hAnsi="宋体" w:eastAsia="宋体" w:cs="宋体"/>
                <w:sz w:val="21"/>
                <w:szCs w:val="21"/>
              </w:rPr>
            </w:pPr>
          </w:p>
        </w:tc>
        <w:tc>
          <w:tcPr>
            <w:tcW w:w="1819" w:type="dxa"/>
            <w:vMerge w:val="continue"/>
            <w:vAlign w:val="center"/>
          </w:tcPr>
          <w:p>
            <w:pPr>
              <w:adjustRightInd w:val="0"/>
              <w:snapToGrid w:val="0"/>
              <w:jc w:val="center"/>
              <w:rPr>
                <w:rFonts w:hint="eastAsia" w:ascii="宋体" w:hAnsi="宋体" w:eastAsia="宋体" w:cs="宋体"/>
                <w:sz w:val="21"/>
                <w:szCs w:val="21"/>
              </w:rPr>
            </w:pPr>
          </w:p>
        </w:tc>
        <w:tc>
          <w:tcPr>
            <w:tcW w:w="3305" w:type="dxa"/>
            <w:vMerge w:val="continue"/>
            <w:vAlign w:val="center"/>
          </w:tcPr>
          <w:p>
            <w:pPr>
              <w:adjustRightInd w:val="0"/>
              <w:snapToGrid w:val="0"/>
              <w:jc w:val="center"/>
              <w:rPr>
                <w:rFonts w:hint="eastAsia" w:ascii="宋体" w:hAnsi="宋体" w:eastAsia="宋体" w:cs="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电磁辐射</w:t>
            </w:r>
          </w:p>
        </w:tc>
        <w:tc>
          <w:tcPr>
            <w:tcW w:w="1410" w:type="dxa"/>
            <w:vAlign w:val="center"/>
          </w:tcPr>
          <w:p>
            <w:pPr>
              <w:spacing w:line="240" w:lineRule="atLeast"/>
              <w:jc w:val="center"/>
              <w:rPr>
                <w:rFonts w:hint="eastAsia" w:ascii="宋体" w:hAnsi="宋体" w:eastAsia="宋体" w:cs="宋体"/>
                <w:color w:val="auto"/>
                <w:kern w:val="2"/>
                <w:sz w:val="21"/>
                <w:szCs w:val="21"/>
                <w:lang w:val="en-US" w:eastAsia="zh-CN" w:bidi="ar-SA"/>
              </w:rPr>
            </w:pPr>
            <w:r>
              <w:rPr>
                <w:rFonts w:hint="eastAsia" w:ascii="宋体" w:hAnsi="宋体" w:eastAsia="宋体" w:cs="宋体"/>
                <w:sz w:val="21"/>
                <w:szCs w:val="21"/>
              </w:rPr>
              <w:t>/</w:t>
            </w:r>
          </w:p>
        </w:tc>
        <w:tc>
          <w:tcPr>
            <w:tcW w:w="106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1819"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w:t>
            </w:r>
          </w:p>
        </w:tc>
        <w:tc>
          <w:tcPr>
            <w:tcW w:w="330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固体废物</w:t>
            </w:r>
          </w:p>
        </w:tc>
        <w:tc>
          <w:tcPr>
            <w:tcW w:w="7599" w:type="dxa"/>
            <w:gridSpan w:val="4"/>
            <w:vAlign w:val="center"/>
          </w:tcPr>
          <w:p>
            <w:pPr>
              <w:adjustRightInd w:val="0"/>
              <w:snapToGrid w:val="0"/>
              <w:rPr>
                <w:rFonts w:hint="eastAsia" w:ascii="宋体" w:hAnsi="宋体" w:eastAsia="宋体" w:cs="宋体"/>
                <w:sz w:val="21"/>
                <w:szCs w:val="21"/>
              </w:rPr>
            </w:pPr>
            <w:r>
              <w:rPr>
                <w:rFonts w:hint="eastAsia" w:ascii="宋体" w:hAnsi="宋体" w:eastAsia="宋体" w:cs="宋体"/>
                <w:color w:val="000000"/>
                <w:sz w:val="21"/>
                <w:szCs w:val="21"/>
                <w:lang w:val="en-US" w:eastAsia="zh-CN"/>
              </w:rPr>
              <w:t>沉淀池沉渣收集于一般固废库外售</w:t>
            </w:r>
            <w:r>
              <w:rPr>
                <w:rFonts w:hint="eastAsia" w:ascii="宋体" w:hAnsi="宋体" w:eastAsia="宋体" w:cs="宋体"/>
                <w:color w:val="000000"/>
                <w:sz w:val="21"/>
                <w:szCs w:val="21"/>
              </w:rPr>
              <w:t>处理；废</w:t>
            </w:r>
            <w:r>
              <w:rPr>
                <w:rFonts w:hint="eastAsia" w:ascii="宋体" w:hAnsi="宋体" w:eastAsia="宋体" w:cs="宋体"/>
                <w:color w:val="000000"/>
                <w:sz w:val="21"/>
                <w:szCs w:val="21"/>
                <w:lang w:val="en-US" w:eastAsia="zh-CN"/>
              </w:rPr>
              <w:t>油</w:t>
            </w:r>
            <w:r>
              <w:rPr>
                <w:rFonts w:hint="eastAsia" w:ascii="宋体" w:hAnsi="宋体" w:eastAsia="宋体" w:cs="宋体"/>
                <w:color w:val="000000"/>
                <w:sz w:val="21"/>
                <w:szCs w:val="21"/>
              </w:rPr>
              <w:t>桶、废油</w:t>
            </w:r>
            <w:r>
              <w:rPr>
                <w:rFonts w:hint="eastAsia" w:ascii="宋体" w:hAnsi="宋体" w:cs="宋体"/>
                <w:color w:val="000000"/>
                <w:sz w:val="21"/>
                <w:szCs w:val="21"/>
                <w:lang w:val="en-US" w:eastAsia="zh-CN"/>
              </w:rPr>
              <w:t>和废含油手套、抹布</w:t>
            </w:r>
            <w:r>
              <w:rPr>
                <w:rFonts w:hint="eastAsia" w:ascii="宋体" w:hAnsi="宋体" w:eastAsia="宋体" w:cs="宋体"/>
                <w:color w:val="000000"/>
                <w:sz w:val="21"/>
                <w:szCs w:val="21"/>
              </w:rPr>
              <w:t>收集后交由资质单位处理（危废暂存</w:t>
            </w:r>
            <w:r>
              <w:rPr>
                <w:rFonts w:hint="eastAsia" w:ascii="宋体" w:hAnsi="宋体" w:eastAsia="宋体" w:cs="宋体"/>
                <w:color w:val="000000"/>
                <w:sz w:val="21"/>
                <w:szCs w:val="21"/>
                <w:lang w:val="en-US" w:eastAsia="zh-CN"/>
              </w:rPr>
              <w:t>间</w:t>
            </w:r>
            <w:r>
              <w:rPr>
                <w:rFonts w:hint="eastAsia" w:ascii="宋体" w:hAnsi="宋体" w:eastAsia="宋体" w:cs="宋体"/>
                <w:color w:val="000000"/>
                <w:sz w:val="21"/>
                <w:szCs w:val="21"/>
              </w:rPr>
              <w:t>约1</w:t>
            </w:r>
            <w:r>
              <w:rPr>
                <w:rFonts w:hint="eastAsia" w:ascii="宋体" w:hAnsi="宋体" w:eastAsia="宋体" w:cs="宋体"/>
                <w:color w:val="000000"/>
                <w:sz w:val="21"/>
                <w:szCs w:val="21"/>
                <w:lang w:val="en-US" w:eastAsia="zh-CN"/>
              </w:rPr>
              <w:t>0</w:t>
            </w:r>
            <w:r>
              <w:rPr>
                <w:rFonts w:hint="eastAsia" w:ascii="宋体" w:hAnsi="宋体" w:eastAsia="宋体" w:cs="宋体"/>
                <w:color w:val="000000"/>
                <w:sz w:val="21"/>
                <w:szCs w:val="21"/>
              </w:rPr>
              <w:t>m</w:t>
            </w:r>
            <w:r>
              <w:rPr>
                <w:rFonts w:hint="eastAsia" w:ascii="宋体" w:hAnsi="宋体" w:eastAsia="宋体" w:cs="宋体"/>
                <w:color w:val="000000"/>
                <w:sz w:val="21"/>
                <w:szCs w:val="21"/>
                <w:vertAlign w:val="superscript"/>
              </w:rPr>
              <w:t>2</w:t>
            </w:r>
            <w:r>
              <w:rPr>
                <w:rFonts w:hint="eastAsia" w:ascii="宋体" w:hAnsi="宋体" w:eastAsia="宋体" w:cs="宋体"/>
                <w:color w:val="000000"/>
                <w:sz w:val="21"/>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土壤及地下水</w:t>
            </w:r>
          </w:p>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污染防治措施</w:t>
            </w:r>
          </w:p>
        </w:tc>
        <w:tc>
          <w:tcPr>
            <w:tcW w:w="7599" w:type="dxa"/>
            <w:gridSpan w:val="4"/>
            <w:vAlign w:val="center"/>
          </w:tcPr>
          <w:p>
            <w:pPr>
              <w:adjustRightInd w:val="0"/>
              <w:snapToGrid w:val="0"/>
              <w:rPr>
                <w:rFonts w:hint="eastAsia" w:ascii="宋体" w:hAnsi="宋体" w:eastAsia="宋体" w:cs="宋体"/>
                <w:sz w:val="21"/>
                <w:szCs w:val="21"/>
                <w:lang w:eastAsia="zh-CN"/>
              </w:rPr>
            </w:pPr>
            <w:r>
              <w:rPr>
                <w:rFonts w:hint="eastAsia" w:ascii="宋体" w:hAnsi="宋体" w:eastAsia="宋体" w:cs="宋体"/>
                <w:color w:val="000000"/>
                <w:sz w:val="21"/>
                <w:szCs w:val="21"/>
              </w:rPr>
              <w:t>一般固废</w:t>
            </w:r>
            <w:r>
              <w:rPr>
                <w:rFonts w:hint="eastAsia" w:ascii="宋体" w:hAnsi="宋体" w:eastAsia="宋体" w:cs="宋体"/>
                <w:color w:val="000000"/>
                <w:sz w:val="21"/>
                <w:szCs w:val="21"/>
                <w:lang w:val="en-US" w:eastAsia="zh-CN"/>
              </w:rPr>
              <w:t>库和</w:t>
            </w:r>
            <w:r>
              <w:rPr>
                <w:rFonts w:hint="eastAsia" w:ascii="宋体" w:hAnsi="宋体" w:eastAsia="宋体" w:cs="宋体"/>
                <w:color w:val="000000"/>
                <w:sz w:val="21"/>
                <w:szCs w:val="21"/>
              </w:rPr>
              <w:t>材料库</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lang w:val="en-US" w:eastAsia="zh-CN"/>
              </w:rPr>
              <w:t>生产车间为一般防渗，</w:t>
            </w:r>
            <w:r>
              <w:rPr>
                <w:rFonts w:hint="eastAsia" w:ascii="宋体" w:hAnsi="宋体" w:eastAsia="宋体" w:cs="宋体"/>
                <w:color w:val="000000"/>
                <w:sz w:val="21"/>
                <w:szCs w:val="21"/>
              </w:rPr>
              <w:t>危废暂存</w:t>
            </w:r>
            <w:r>
              <w:rPr>
                <w:rFonts w:hint="eastAsia" w:ascii="宋体" w:hAnsi="宋体" w:eastAsia="宋体" w:cs="宋体"/>
                <w:color w:val="000000"/>
                <w:sz w:val="21"/>
                <w:szCs w:val="21"/>
                <w:lang w:val="en-US" w:eastAsia="zh-CN"/>
              </w:rPr>
              <w:t>间和混合水</w:t>
            </w:r>
            <w:r>
              <w:rPr>
                <w:rFonts w:hint="eastAsia" w:ascii="宋体" w:hAnsi="宋体" w:eastAsia="宋体" w:cs="宋体"/>
                <w:color w:val="000000"/>
                <w:sz w:val="21"/>
                <w:szCs w:val="21"/>
              </w:rPr>
              <w:t>池为重点防渗</w:t>
            </w:r>
            <w:r>
              <w:rPr>
                <w:rFonts w:hint="eastAsia" w:ascii="宋体" w:hAnsi="宋体" w:eastAsia="宋体" w:cs="宋体"/>
                <w:color w:val="000000"/>
                <w:sz w:val="21"/>
                <w:szCs w:val="21"/>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z w:val="21"/>
                <w:szCs w:val="21"/>
              </w:rPr>
            </w:pPr>
            <w:r>
              <w:rPr>
                <w:rFonts w:hint="eastAsia" w:ascii="宋体" w:hAnsi="宋体" w:eastAsia="宋体" w:cs="宋体"/>
                <w:sz w:val="21"/>
                <w:szCs w:val="21"/>
              </w:rPr>
              <w:t>生态保护措施</w:t>
            </w:r>
          </w:p>
        </w:tc>
        <w:tc>
          <w:tcPr>
            <w:tcW w:w="7599" w:type="dxa"/>
            <w:gridSpan w:val="4"/>
            <w:vAlign w:val="center"/>
          </w:tcPr>
          <w:p>
            <w:pPr>
              <w:adjustRightInd w:val="0"/>
              <w:snapToGrid w:val="0"/>
              <w:rPr>
                <w:rFonts w:hint="eastAsia" w:ascii="宋体" w:hAnsi="宋体" w:eastAsia="宋体" w:cs="宋体"/>
                <w:sz w:val="21"/>
                <w:szCs w:val="21"/>
              </w:rPr>
            </w:pPr>
            <w:r>
              <w:rPr>
                <w:rFonts w:hint="eastAsia" w:ascii="宋体" w:hAnsi="宋体" w:eastAsia="宋体" w:cs="宋体"/>
                <w:sz w:val="21"/>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1225" w:type="dxa"/>
            <w:vAlign w:val="center"/>
          </w:tcPr>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环境风险</w:t>
            </w:r>
          </w:p>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防范措施</w:t>
            </w:r>
          </w:p>
        </w:tc>
        <w:tc>
          <w:tcPr>
            <w:tcW w:w="7599" w:type="dxa"/>
            <w:gridSpan w:val="4"/>
            <w:vAlign w:val="center"/>
          </w:tcPr>
          <w:p>
            <w:pPr>
              <w:adjustRightInd w:val="0"/>
              <w:snapToGrid w:val="0"/>
              <w:rPr>
                <w:rFonts w:hint="eastAsia" w:ascii="宋体" w:hAnsi="宋体" w:eastAsia="宋体" w:cs="宋体"/>
                <w:sz w:val="21"/>
                <w:szCs w:val="21"/>
              </w:rPr>
            </w:pPr>
            <w:r>
              <w:rPr>
                <w:rFonts w:hint="eastAsia" w:ascii="宋体" w:hAnsi="宋体" w:eastAsia="宋体" w:cs="宋体"/>
                <w:color w:val="000000"/>
                <w:sz w:val="21"/>
                <w:szCs w:val="21"/>
              </w:rPr>
              <w:t>配备相应风险防范物资。危废暂存间</w:t>
            </w: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混合水</w:t>
            </w:r>
            <w:r>
              <w:rPr>
                <w:rFonts w:hint="eastAsia" w:ascii="宋体" w:hAnsi="宋体" w:eastAsia="宋体" w:cs="宋体"/>
                <w:color w:val="000000"/>
                <w:sz w:val="21"/>
                <w:szCs w:val="21"/>
              </w:rPr>
              <w:t>池按照重点防渗区进行防渗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25" w:type="dxa"/>
            <w:vAlign w:val="center"/>
          </w:tcPr>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其他环境</w:t>
            </w:r>
          </w:p>
          <w:p>
            <w:pPr>
              <w:adjustRightInd w:val="0"/>
              <w:snapToGrid w:val="0"/>
              <w:jc w:val="center"/>
              <w:rPr>
                <w:rFonts w:hint="eastAsia" w:ascii="宋体" w:hAnsi="宋体" w:eastAsia="宋体" w:cs="宋体"/>
                <w:spacing w:val="-8"/>
                <w:sz w:val="21"/>
                <w:szCs w:val="21"/>
              </w:rPr>
            </w:pPr>
            <w:r>
              <w:rPr>
                <w:rFonts w:hint="eastAsia" w:ascii="宋体" w:hAnsi="宋体" w:eastAsia="宋体" w:cs="宋体"/>
                <w:spacing w:val="-8"/>
                <w:sz w:val="21"/>
                <w:szCs w:val="21"/>
              </w:rPr>
              <w:t>管理要求</w:t>
            </w:r>
          </w:p>
        </w:tc>
        <w:tc>
          <w:tcPr>
            <w:tcW w:w="7599" w:type="dxa"/>
            <w:gridSpan w:val="4"/>
            <w:vAlign w:val="center"/>
          </w:tcPr>
          <w:p>
            <w:pPr>
              <w:pStyle w:val="14"/>
              <w:spacing w:after="0" w:line="360" w:lineRule="auto"/>
              <w:ind w:left="0" w:leftChars="0"/>
              <w:rPr>
                <w:rFonts w:hint="eastAsia" w:ascii="宋体" w:hAnsi="宋体" w:eastAsia="宋体" w:cs="宋体"/>
                <w:sz w:val="21"/>
                <w:szCs w:val="21"/>
              </w:rPr>
            </w:pPr>
            <w:r>
              <w:rPr>
                <w:rFonts w:hint="eastAsia" w:ascii="宋体" w:hAnsi="宋体" w:eastAsia="宋体" w:cs="宋体"/>
                <w:sz w:val="21"/>
                <w:szCs w:val="21"/>
              </w:rPr>
              <w:t>/</w:t>
            </w:r>
          </w:p>
        </w:tc>
      </w:tr>
    </w:tbl>
    <w:p>
      <w:pPr>
        <w:pStyle w:val="24"/>
        <w:jc w:val="center"/>
        <w:outlineLvl w:val="0"/>
        <w:rPr>
          <w:rFonts w:ascii="Times New Roman" w:hAnsi="Times New Roman"/>
          <w:snapToGrid w:val="0"/>
          <w:sz w:val="30"/>
          <w:szCs w:val="30"/>
        </w:rPr>
      </w:pPr>
      <w:r>
        <w:rPr>
          <w:rFonts w:ascii="Times New Roman" w:hAnsi="Times New Roman"/>
          <w:snapToGrid w:val="0"/>
        </w:rPr>
        <w:br w:type="page"/>
      </w:r>
      <w:r>
        <w:rPr>
          <w:rFonts w:hint="eastAsia" w:ascii="Times New Roman" w:hAnsi="Times New Roman"/>
          <w:snapToGrid w:val="0"/>
          <w:sz w:val="30"/>
          <w:szCs w:val="30"/>
        </w:rPr>
        <w:t>六、结论</w:t>
      </w:r>
    </w:p>
    <w:tbl>
      <w:tblPr>
        <w:tblStyle w:val="26"/>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91" w:hRule="atLeast"/>
          <w:jc w:val="center"/>
        </w:trPr>
        <w:tc>
          <w:tcPr>
            <w:tcW w:w="8865" w:type="dxa"/>
            <w:vAlign w:val="center"/>
          </w:tcPr>
          <w:p>
            <w:pPr>
              <w:spacing w:line="360" w:lineRule="auto"/>
              <w:ind w:firstLine="720" w:firstLineChars="300"/>
              <w:rPr>
                <w:rFonts w:cs="宋体"/>
                <w:sz w:val="24"/>
              </w:rPr>
            </w:pPr>
            <w:r>
              <w:rPr>
                <w:rFonts w:hint="eastAsia" w:cs="宋体"/>
                <w:sz w:val="24"/>
              </w:rPr>
              <w:t>项目的建设符合国家和地方产业政策，项目在落实环评中的污染防治措施后， 各项污染物可以达标排放，对环境的影响也比较小。因此，从环境保护的角度来讲， 本评价认为项目在坚持“三同时”原则并采取一定的环保措施后，项目建设是可行的</w:t>
            </w:r>
          </w:p>
        </w:tc>
      </w:tr>
    </w:tbl>
    <w:p/>
    <w:p/>
    <w:tbl>
      <w:tblPr>
        <w:tblStyle w:val="2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000000"/>
                <w:kern w:val="0"/>
                <w:sz w:val="24"/>
              </w:rPr>
            </w:pPr>
            <w:r>
              <w:rPr>
                <w:color w:val="000000"/>
                <w:kern w:val="0"/>
                <w:sz w:val="24"/>
              </w:rPr>
              <w:t>预审意见：</w:t>
            </w: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kern w:val="0"/>
                <w:sz w:val="24"/>
              </w:rPr>
            </w:pPr>
          </w:p>
          <w:p>
            <w:pPr>
              <w:rPr>
                <w:color w:val="000000"/>
                <w:kern w:val="0"/>
                <w:sz w:val="24"/>
              </w:rPr>
            </w:pPr>
          </w:p>
          <w:p>
            <w:pPr>
              <w:rPr>
                <w:color w:val="000000"/>
                <w:kern w:val="0"/>
                <w:sz w:val="24"/>
              </w:rPr>
            </w:pPr>
            <w:r>
              <w:rPr>
                <w:color w:val="000000"/>
                <w:kern w:val="0"/>
                <w:sz w:val="24"/>
              </w:rPr>
              <w:t xml:space="preserve">                                                       </w:t>
            </w:r>
            <w:r>
              <w:rPr>
                <w:color w:val="000000"/>
                <w:sz w:val="24"/>
              </w:rPr>
              <w:t> </w:t>
            </w:r>
            <w:r>
              <w:rPr>
                <w:color w:val="000000"/>
                <w:kern w:val="0"/>
                <w:sz w:val="24"/>
              </w:rPr>
              <w:t>公   章</w:t>
            </w:r>
          </w:p>
          <w:p>
            <w:pPr>
              <w:ind w:firstLine="720" w:firstLineChars="300"/>
              <w:rPr>
                <w:color w:val="000000"/>
                <w:sz w:val="24"/>
              </w:rPr>
            </w:pPr>
          </w:p>
          <w:p>
            <w:pPr>
              <w:rPr>
                <w:color w:val="000000"/>
                <w:sz w:val="24"/>
              </w:rPr>
            </w:pPr>
          </w:p>
          <w:p>
            <w:pPr>
              <w:rPr>
                <w:color w:val="000000"/>
                <w:sz w:val="24"/>
              </w:rPr>
            </w:pPr>
            <w:r>
              <w:rPr>
                <w:color w:val="000000"/>
                <w:sz w:val="24"/>
              </w:rPr>
              <w:t xml:space="preserve">           </w:t>
            </w:r>
            <w:r>
              <w:rPr>
                <w:color w:val="000000"/>
                <w:kern w:val="0"/>
                <w:sz w:val="24"/>
              </w:rPr>
              <w:t xml:space="preserve">经办人： </w:t>
            </w:r>
            <w:r>
              <w:rPr>
                <w:color w:val="000000"/>
                <w:sz w:val="24"/>
              </w:rPr>
              <w:t xml:space="preserve">                                       </w:t>
            </w:r>
            <w:r>
              <w:rPr>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185" w:type="dxa"/>
            <w:tcBorders>
              <w:top w:val="single" w:color="auto" w:sz="4" w:space="0"/>
              <w:left w:val="single" w:color="auto" w:sz="4" w:space="0"/>
              <w:bottom w:val="single" w:color="auto" w:sz="4" w:space="0"/>
              <w:right w:val="single" w:color="auto" w:sz="4" w:space="0"/>
            </w:tcBorders>
          </w:tcPr>
          <w:p>
            <w:pPr>
              <w:rPr>
                <w:color w:val="000000"/>
                <w:kern w:val="0"/>
                <w:sz w:val="24"/>
              </w:rPr>
            </w:pPr>
            <w:r>
              <w:rPr>
                <w:color w:val="000000"/>
                <w:kern w:val="0"/>
                <w:sz w:val="24"/>
              </w:rPr>
              <w:t>下一级环境保护行政主管部门审查意见：</w:t>
            </w:r>
          </w:p>
          <w:p>
            <w:pPr>
              <w:rPr>
                <w:color w:val="000000"/>
                <w:kern w:val="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kern w:val="0"/>
                <w:sz w:val="24"/>
              </w:rPr>
            </w:pPr>
            <w:r>
              <w:rPr>
                <w:color w:val="000000"/>
                <w:sz w:val="24"/>
              </w:rPr>
              <w:t xml:space="preserve">                                                             </w:t>
            </w:r>
            <w:r>
              <w:rPr>
                <w:color w:val="000000"/>
                <w:kern w:val="0"/>
                <w:sz w:val="24"/>
              </w:rPr>
              <w:t>公   章</w:t>
            </w:r>
          </w:p>
          <w:p>
            <w:pPr>
              <w:rPr>
                <w:color w:val="000000"/>
                <w:sz w:val="24"/>
              </w:rPr>
            </w:pPr>
          </w:p>
          <w:p>
            <w:pPr>
              <w:rPr>
                <w:color w:val="000000"/>
                <w:sz w:val="24"/>
              </w:rPr>
            </w:pPr>
          </w:p>
          <w:p>
            <w:pPr>
              <w:rPr>
                <w:color w:val="000000"/>
                <w:sz w:val="24"/>
              </w:rPr>
            </w:pPr>
            <w:r>
              <w:rPr>
                <w:color w:val="000000"/>
                <w:sz w:val="24"/>
              </w:rPr>
              <w:t xml:space="preserve">          </w:t>
            </w:r>
            <w:r>
              <w:rPr>
                <w:color w:val="000000"/>
                <w:kern w:val="0"/>
                <w:sz w:val="24"/>
              </w:rPr>
              <w:t>经办人：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rPr>
                <w:color w:val="000000"/>
                <w:sz w:val="24"/>
              </w:rPr>
            </w:pPr>
            <w:r>
              <w:rPr>
                <w:color w:val="000000"/>
                <w:sz w:val="24"/>
              </w:rPr>
              <w:t>审批意见：</w:t>
            </w: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p>
          <w:p>
            <w:pPr>
              <w:rPr>
                <w:color w:val="000000"/>
                <w:sz w:val="24"/>
              </w:rPr>
            </w:pPr>
            <w:r>
              <w:rPr>
                <w:color w:val="000000"/>
                <w:sz w:val="24"/>
              </w:rPr>
              <w:t xml:space="preserve">                                                    公   章</w:t>
            </w:r>
          </w:p>
          <w:p>
            <w:pPr>
              <w:rPr>
                <w:color w:val="000000"/>
                <w:sz w:val="24"/>
              </w:rPr>
            </w:pPr>
            <w:r>
              <w:rPr>
                <w:color w:val="000000"/>
                <w:sz w:val="24"/>
              </w:rPr>
              <w:t xml:space="preserve"> 经办人                                         年   月   日</w:t>
            </w:r>
          </w:p>
          <w:p>
            <w:pP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b/>
                <w:color w:val="000000"/>
                <w:kern w:val="0"/>
                <w:sz w:val="24"/>
              </w:rPr>
            </w:pPr>
            <w:r>
              <w:rPr>
                <w:rFonts w:hint="eastAsia"/>
                <w:b/>
                <w:color w:val="000000"/>
                <w:kern w:val="0"/>
                <w:sz w:val="24"/>
              </w:rPr>
              <w:t>附件:</w:t>
            </w:r>
          </w:p>
          <w:p>
            <w:pPr>
              <w:widowControl/>
              <w:spacing w:line="360" w:lineRule="auto"/>
              <w:ind w:firstLine="700" w:firstLineChars="292"/>
              <w:jc w:val="left"/>
              <w:rPr>
                <w:color w:val="000000"/>
                <w:kern w:val="0"/>
                <w:sz w:val="24"/>
              </w:rPr>
            </w:pPr>
            <w:r>
              <w:rPr>
                <w:color w:val="000000"/>
                <w:kern w:val="0"/>
                <w:sz w:val="24"/>
              </w:rPr>
              <w:t>附件1  委托书</w:t>
            </w:r>
          </w:p>
          <w:p>
            <w:pPr>
              <w:widowControl/>
              <w:spacing w:line="360" w:lineRule="auto"/>
              <w:ind w:firstLine="700" w:firstLineChars="292"/>
              <w:jc w:val="left"/>
              <w:rPr>
                <w:color w:val="000000"/>
                <w:kern w:val="0"/>
                <w:sz w:val="24"/>
              </w:rPr>
            </w:pPr>
            <w:r>
              <w:rPr>
                <w:color w:val="000000"/>
                <w:kern w:val="0"/>
                <w:sz w:val="24"/>
              </w:rPr>
              <w:t>附件2  危废承诺</w:t>
            </w:r>
          </w:p>
          <w:p>
            <w:pPr>
              <w:widowControl/>
              <w:spacing w:line="360" w:lineRule="auto"/>
              <w:ind w:firstLine="700" w:firstLineChars="292"/>
              <w:jc w:val="left"/>
              <w:rPr>
                <w:color w:val="000000"/>
                <w:kern w:val="0"/>
                <w:sz w:val="24"/>
              </w:rPr>
            </w:pPr>
            <w:r>
              <w:rPr>
                <w:color w:val="000000"/>
                <w:kern w:val="0"/>
                <w:sz w:val="24"/>
              </w:rPr>
              <w:t>附件3  真实性承诺</w:t>
            </w:r>
          </w:p>
          <w:p>
            <w:pPr>
              <w:widowControl/>
              <w:spacing w:line="360" w:lineRule="auto"/>
              <w:ind w:firstLine="700" w:firstLineChars="292"/>
              <w:jc w:val="left"/>
              <w:rPr>
                <w:color w:val="000000"/>
                <w:kern w:val="0"/>
                <w:sz w:val="24"/>
              </w:rPr>
            </w:pPr>
            <w:r>
              <w:rPr>
                <w:color w:val="000000"/>
                <w:kern w:val="0"/>
                <w:sz w:val="24"/>
              </w:rPr>
              <w:t>附件4  立项文件</w:t>
            </w:r>
          </w:p>
          <w:p>
            <w:pPr>
              <w:widowControl/>
              <w:spacing w:line="360" w:lineRule="auto"/>
              <w:ind w:firstLine="700" w:firstLineChars="292"/>
              <w:jc w:val="left"/>
              <w:rPr>
                <w:color w:val="000000"/>
                <w:kern w:val="0"/>
                <w:sz w:val="24"/>
              </w:rPr>
            </w:pPr>
            <w:r>
              <w:rPr>
                <w:color w:val="000000"/>
                <w:kern w:val="0"/>
                <w:sz w:val="24"/>
              </w:rPr>
              <w:t>附件5  原项目环评批复</w:t>
            </w:r>
          </w:p>
          <w:p>
            <w:pPr>
              <w:widowControl/>
              <w:spacing w:line="360" w:lineRule="auto"/>
              <w:ind w:firstLine="700" w:firstLineChars="292"/>
              <w:jc w:val="left"/>
              <w:rPr>
                <w:color w:val="000000"/>
                <w:kern w:val="0"/>
                <w:sz w:val="24"/>
              </w:rPr>
            </w:pPr>
            <w:r>
              <w:rPr>
                <w:color w:val="000000"/>
                <w:kern w:val="0"/>
                <w:sz w:val="24"/>
              </w:rPr>
              <w:t>附件6  营业执照</w:t>
            </w:r>
          </w:p>
          <w:p>
            <w:pPr>
              <w:widowControl/>
              <w:spacing w:line="360" w:lineRule="auto"/>
              <w:ind w:firstLine="700" w:firstLineChars="292"/>
              <w:jc w:val="left"/>
              <w:rPr>
                <w:color w:val="000000"/>
                <w:kern w:val="0"/>
                <w:sz w:val="24"/>
              </w:rPr>
            </w:pPr>
            <w:r>
              <w:rPr>
                <w:color w:val="000000"/>
                <w:kern w:val="0"/>
                <w:sz w:val="24"/>
              </w:rPr>
              <w:t xml:space="preserve">附件7  </w:t>
            </w:r>
            <w:r>
              <w:rPr>
                <w:rFonts w:hint="eastAsia"/>
                <w:color w:val="000000"/>
                <w:kern w:val="0"/>
                <w:sz w:val="24"/>
                <w:lang w:val="en-US" w:eastAsia="zh-CN"/>
              </w:rPr>
              <w:t>噪声</w:t>
            </w:r>
            <w:r>
              <w:rPr>
                <w:color w:val="000000"/>
                <w:kern w:val="0"/>
                <w:sz w:val="24"/>
              </w:rPr>
              <w:t>检测报告</w:t>
            </w:r>
          </w:p>
          <w:p>
            <w:pPr>
              <w:widowControl/>
              <w:spacing w:line="360" w:lineRule="auto"/>
              <w:ind w:firstLine="700" w:firstLineChars="292"/>
              <w:jc w:val="left"/>
              <w:rPr>
                <w:color w:val="000000"/>
                <w:kern w:val="0"/>
                <w:sz w:val="24"/>
              </w:rPr>
            </w:pPr>
            <w:r>
              <w:rPr>
                <w:color w:val="000000"/>
                <w:kern w:val="0"/>
                <w:sz w:val="24"/>
              </w:rPr>
              <w:t>附件</w:t>
            </w:r>
            <w:r>
              <w:rPr>
                <w:rFonts w:hint="eastAsia"/>
                <w:color w:val="000000"/>
                <w:kern w:val="0"/>
                <w:sz w:val="24"/>
                <w:lang w:val="en-US" w:eastAsia="zh-CN"/>
              </w:rPr>
              <w:t>8</w:t>
            </w:r>
            <w:r>
              <w:rPr>
                <w:color w:val="000000"/>
                <w:kern w:val="0"/>
                <w:sz w:val="24"/>
              </w:rPr>
              <w:t xml:space="preserve">  全本公示证明</w:t>
            </w:r>
          </w:p>
          <w:p>
            <w:pPr>
              <w:widowControl/>
              <w:spacing w:line="360" w:lineRule="auto"/>
              <w:ind w:firstLine="700" w:firstLineChars="292"/>
              <w:jc w:val="left"/>
              <w:rPr>
                <w:rFonts w:hint="eastAsia" w:eastAsia="宋体"/>
                <w:color w:val="000000"/>
                <w:kern w:val="0"/>
                <w:sz w:val="24"/>
                <w:lang w:val="en-US" w:eastAsia="zh-CN"/>
              </w:rPr>
            </w:pPr>
            <w:r>
              <w:rPr>
                <w:color w:val="000000"/>
                <w:kern w:val="0"/>
                <w:sz w:val="24"/>
              </w:rPr>
              <w:t>附件</w:t>
            </w:r>
            <w:r>
              <w:rPr>
                <w:rFonts w:hint="eastAsia"/>
                <w:color w:val="000000"/>
                <w:kern w:val="0"/>
                <w:sz w:val="24"/>
                <w:lang w:val="en-US" w:eastAsia="zh-CN"/>
              </w:rPr>
              <w:t>9</w:t>
            </w:r>
            <w:r>
              <w:rPr>
                <w:color w:val="000000"/>
                <w:kern w:val="0"/>
                <w:sz w:val="24"/>
              </w:rPr>
              <w:t xml:space="preserve">  排污许可</w:t>
            </w:r>
            <w:r>
              <w:rPr>
                <w:rFonts w:hint="eastAsia"/>
                <w:color w:val="000000"/>
                <w:kern w:val="0"/>
                <w:sz w:val="24"/>
                <w:lang w:val="en-US" w:eastAsia="zh-CN"/>
              </w:rPr>
              <w:t>证</w:t>
            </w:r>
          </w:p>
          <w:p>
            <w:pPr>
              <w:widowControl/>
              <w:spacing w:line="360" w:lineRule="auto"/>
              <w:ind w:firstLine="700" w:firstLineChars="292"/>
              <w:jc w:val="left"/>
              <w:rPr>
                <w:rFonts w:hint="eastAsia"/>
                <w:color w:val="000000"/>
                <w:kern w:val="0"/>
                <w:sz w:val="24"/>
              </w:rPr>
            </w:pPr>
            <w:r>
              <w:rPr>
                <w:color w:val="000000"/>
                <w:kern w:val="0"/>
                <w:sz w:val="24"/>
              </w:rPr>
              <w:t>附件1</w:t>
            </w:r>
            <w:r>
              <w:rPr>
                <w:rFonts w:hint="eastAsia"/>
                <w:color w:val="000000"/>
                <w:kern w:val="0"/>
                <w:sz w:val="24"/>
                <w:lang w:val="en-US" w:eastAsia="zh-CN"/>
              </w:rPr>
              <w:t>0</w:t>
            </w:r>
            <w:r>
              <w:rPr>
                <w:color w:val="000000"/>
                <w:kern w:val="0"/>
                <w:sz w:val="24"/>
              </w:rPr>
              <w:t xml:space="preserve">  </w:t>
            </w:r>
            <w:r>
              <w:rPr>
                <w:rFonts w:hint="eastAsia"/>
                <w:color w:val="000000"/>
                <w:kern w:val="0"/>
                <w:sz w:val="24"/>
              </w:rPr>
              <w:t>土地证</w:t>
            </w:r>
          </w:p>
          <w:p>
            <w:pPr>
              <w:widowControl/>
              <w:spacing w:line="360" w:lineRule="auto"/>
              <w:ind w:firstLine="700" w:firstLineChars="292"/>
              <w:jc w:val="left"/>
              <w:rPr>
                <w:rFonts w:hint="eastAsia"/>
                <w:color w:val="000000"/>
                <w:kern w:val="0"/>
                <w:sz w:val="24"/>
                <w:lang w:val="en-US" w:eastAsia="zh-CN"/>
              </w:rPr>
            </w:pPr>
            <w:r>
              <w:rPr>
                <w:rFonts w:hint="eastAsia"/>
                <w:color w:val="000000"/>
                <w:kern w:val="0"/>
                <w:sz w:val="24"/>
                <w:lang w:val="en-US" w:eastAsia="zh-CN"/>
              </w:rPr>
              <w:t>附件11  高耗能行业重点领域能效标杆水平和基准水平（2021年版）</w:t>
            </w:r>
          </w:p>
          <w:p>
            <w:pPr>
              <w:widowControl/>
              <w:spacing w:line="360" w:lineRule="auto"/>
              <w:ind w:firstLine="700" w:firstLineChars="292"/>
              <w:jc w:val="left"/>
              <w:rPr>
                <w:rFonts w:hint="eastAsia"/>
                <w:color w:val="000000"/>
                <w:kern w:val="0"/>
                <w:sz w:val="24"/>
                <w:lang w:val="en-US" w:eastAsia="zh-CN"/>
              </w:rPr>
            </w:pPr>
            <w:r>
              <w:rPr>
                <w:rFonts w:hint="eastAsia"/>
                <w:color w:val="000000"/>
                <w:kern w:val="0"/>
                <w:sz w:val="24"/>
                <w:lang w:val="en-US" w:eastAsia="zh-CN"/>
              </w:rPr>
              <w:t>附件12  原料采购协议</w:t>
            </w:r>
          </w:p>
          <w:p>
            <w:pPr>
              <w:widowControl/>
              <w:spacing w:line="360" w:lineRule="auto"/>
              <w:ind w:firstLine="700" w:firstLineChars="292"/>
              <w:jc w:val="left"/>
              <w:rPr>
                <w:rFonts w:hint="eastAsia"/>
                <w:color w:val="000000"/>
                <w:kern w:val="0"/>
                <w:sz w:val="24"/>
                <w:lang w:val="en-US" w:eastAsia="zh-CN"/>
              </w:rPr>
            </w:pPr>
            <w:r>
              <w:rPr>
                <w:rFonts w:hint="eastAsia"/>
                <w:color w:val="000000"/>
                <w:kern w:val="0"/>
                <w:sz w:val="24"/>
                <w:lang w:val="en-US" w:eastAsia="zh-CN"/>
              </w:rPr>
              <w:t>附件13  供应商采矿许可证</w:t>
            </w:r>
          </w:p>
          <w:p>
            <w:pPr>
              <w:widowControl/>
              <w:spacing w:line="360" w:lineRule="auto"/>
              <w:ind w:firstLine="700" w:firstLineChars="292"/>
              <w:jc w:val="left"/>
              <w:rPr>
                <w:rFonts w:hint="default"/>
                <w:color w:val="000000"/>
                <w:kern w:val="0"/>
                <w:sz w:val="24"/>
                <w:lang w:val="en-US" w:eastAsia="zh-CN"/>
              </w:rPr>
            </w:pPr>
            <w:r>
              <w:rPr>
                <w:rFonts w:hint="eastAsia"/>
                <w:color w:val="000000"/>
                <w:kern w:val="0"/>
                <w:sz w:val="24"/>
                <w:lang w:val="en-US" w:eastAsia="zh-CN"/>
              </w:rPr>
              <w:t>附件14  供应商营业执照</w:t>
            </w:r>
          </w:p>
          <w:p>
            <w:pPr>
              <w:widowControl/>
              <w:spacing w:line="440" w:lineRule="exact"/>
              <w:jc w:val="left"/>
              <w:rPr>
                <w:b/>
                <w:color w:val="000000"/>
                <w:kern w:val="0"/>
                <w:sz w:val="24"/>
              </w:rPr>
            </w:pPr>
            <w:r>
              <w:rPr>
                <w:rFonts w:hint="eastAsia"/>
                <w:b/>
                <w:color w:val="000000"/>
                <w:kern w:val="0"/>
                <w:sz w:val="24"/>
              </w:rPr>
              <w:t>附图:</w:t>
            </w:r>
          </w:p>
          <w:p>
            <w:pPr>
              <w:widowControl/>
              <w:spacing w:line="440" w:lineRule="exact"/>
              <w:ind w:firstLine="700" w:firstLineChars="292"/>
              <w:jc w:val="left"/>
              <w:rPr>
                <w:color w:val="000000"/>
                <w:kern w:val="0"/>
                <w:sz w:val="24"/>
              </w:rPr>
            </w:pPr>
            <w:r>
              <w:rPr>
                <w:color w:val="000000"/>
                <w:kern w:val="0"/>
                <w:sz w:val="24"/>
              </w:rPr>
              <w:t>附图1  项目地理</w:t>
            </w:r>
            <w:r>
              <w:rPr>
                <w:rFonts w:hint="eastAsia"/>
                <w:color w:val="000000"/>
                <w:kern w:val="0"/>
                <w:sz w:val="24"/>
              </w:rPr>
              <w:t>位置</w:t>
            </w:r>
            <w:r>
              <w:rPr>
                <w:color w:val="000000"/>
                <w:kern w:val="0"/>
                <w:sz w:val="24"/>
              </w:rPr>
              <w:t>图</w:t>
            </w:r>
          </w:p>
          <w:p>
            <w:pPr>
              <w:widowControl/>
              <w:spacing w:line="440" w:lineRule="exact"/>
              <w:ind w:firstLine="700" w:firstLineChars="292"/>
              <w:jc w:val="left"/>
              <w:rPr>
                <w:color w:val="000000"/>
                <w:kern w:val="0"/>
                <w:sz w:val="24"/>
              </w:rPr>
            </w:pPr>
            <w:r>
              <w:rPr>
                <w:color w:val="000000"/>
                <w:kern w:val="0"/>
                <w:sz w:val="24"/>
              </w:rPr>
              <w:t xml:space="preserve">附图2  </w:t>
            </w:r>
            <w:r>
              <w:rPr>
                <w:rFonts w:hint="eastAsia"/>
                <w:color w:val="000000"/>
                <w:kern w:val="0"/>
                <w:sz w:val="24"/>
              </w:rPr>
              <w:t>项目</w:t>
            </w:r>
            <w:r>
              <w:rPr>
                <w:color w:val="000000"/>
                <w:kern w:val="0"/>
                <w:sz w:val="24"/>
              </w:rPr>
              <w:t>周边关系图</w:t>
            </w:r>
          </w:p>
          <w:p>
            <w:pPr>
              <w:widowControl/>
              <w:spacing w:line="440" w:lineRule="exact"/>
              <w:ind w:firstLine="700" w:firstLineChars="292"/>
              <w:jc w:val="left"/>
              <w:rPr>
                <w:color w:val="000000"/>
                <w:kern w:val="0"/>
                <w:sz w:val="24"/>
              </w:rPr>
            </w:pPr>
            <w:r>
              <w:rPr>
                <w:color w:val="000000"/>
                <w:kern w:val="0"/>
                <w:sz w:val="24"/>
              </w:rPr>
              <w:t>附图3  项目平面布置图</w:t>
            </w:r>
          </w:p>
          <w:p>
            <w:pPr>
              <w:widowControl/>
              <w:spacing w:line="440" w:lineRule="exact"/>
              <w:ind w:firstLine="700" w:firstLineChars="292"/>
              <w:jc w:val="left"/>
              <w:rPr>
                <w:color w:val="000000"/>
                <w:kern w:val="0"/>
                <w:sz w:val="24"/>
              </w:rPr>
            </w:pPr>
            <w:r>
              <w:rPr>
                <w:rFonts w:hint="eastAsia"/>
                <w:color w:val="000000"/>
                <w:kern w:val="0"/>
                <w:sz w:val="24"/>
              </w:rPr>
              <w:t>附图</w:t>
            </w:r>
            <w:r>
              <w:rPr>
                <w:rFonts w:hint="eastAsia"/>
                <w:color w:val="000000"/>
                <w:kern w:val="0"/>
                <w:sz w:val="24"/>
                <w:lang w:val="en-US" w:eastAsia="zh-CN"/>
              </w:rPr>
              <w:t>4</w:t>
            </w:r>
            <w:r>
              <w:rPr>
                <w:rFonts w:hint="eastAsia"/>
                <w:color w:val="000000"/>
                <w:kern w:val="0"/>
                <w:sz w:val="24"/>
              </w:rPr>
              <w:t xml:space="preserve">  芜湖三山经济开发区用地布局规划图</w:t>
            </w:r>
          </w:p>
          <w:p>
            <w:pPr>
              <w:pStyle w:val="24"/>
              <w:adjustRightInd w:val="0"/>
              <w:snapToGrid w:val="0"/>
              <w:spacing w:before="648" w:beforeLines="270" w:beforeAutospacing="0" w:after="648" w:afterLines="270" w:afterAutospacing="0"/>
              <w:outlineLvl w:val="0"/>
              <w:rPr>
                <w:rFonts w:ascii="Times New Roman" w:hAnsi="Times New Roman"/>
                <w:color w:val="000000"/>
              </w:rPr>
            </w:pPr>
          </w:p>
          <w:p>
            <w:pPr>
              <w:spacing w:line="360" w:lineRule="auto"/>
              <w:ind w:firstLine="480" w:firstLineChars="200"/>
              <w:rPr>
                <w:color w:val="000000"/>
                <w:sz w:val="24"/>
              </w:rPr>
            </w:pPr>
          </w:p>
        </w:tc>
      </w:tr>
    </w:tbl>
    <w:p>
      <w:pPr>
        <w:sectPr>
          <w:pgSz w:w="11906" w:h="16838"/>
          <w:pgMar w:top="1701" w:right="1531" w:bottom="1701" w:left="1531" w:header="851" w:footer="851" w:gutter="0"/>
          <w:cols w:space="720" w:num="1"/>
          <w:docGrid w:linePitch="312" w:charSpace="0"/>
        </w:sectPr>
      </w:pPr>
    </w:p>
    <w:p>
      <w:pPr>
        <w:pStyle w:val="24"/>
        <w:adjustRightInd w:val="0"/>
        <w:snapToGrid w:val="0"/>
        <w:spacing w:before="0" w:beforeAutospacing="0" w:after="0" w:afterAutospacing="0" w:line="648" w:lineRule="auto"/>
        <w:outlineLvl w:val="0"/>
        <w:rPr>
          <w:rFonts w:ascii="Times New Roman" w:hAnsi="Times New Roman"/>
          <w:snapToGrid w:val="0"/>
          <w:sz w:val="32"/>
          <w:szCs w:val="32"/>
        </w:rPr>
      </w:pPr>
      <w:r>
        <w:rPr>
          <w:rFonts w:hint="eastAsia" w:ascii="Times New Roman" w:hAnsi="Times New Roman"/>
          <w:snapToGrid w:val="0"/>
          <w:sz w:val="32"/>
          <w:szCs w:val="32"/>
        </w:rPr>
        <w:t>附表</w:t>
      </w:r>
    </w:p>
    <w:p>
      <w:pPr>
        <w:pStyle w:val="24"/>
        <w:adjustRightInd w:val="0"/>
        <w:snapToGrid w:val="0"/>
        <w:spacing w:before="0" w:beforeAutospacing="0" w:after="0" w:afterAutospacing="0" w:line="552" w:lineRule="auto"/>
        <w:jc w:val="center"/>
        <w:outlineLvl w:val="0"/>
        <w:rPr>
          <w:rFonts w:ascii="Times New Roman" w:hAnsi="Times New Roman"/>
          <w:snapToGrid w:val="0"/>
          <w:color w:val="auto"/>
          <w:sz w:val="38"/>
          <w:szCs w:val="38"/>
        </w:rPr>
      </w:pPr>
      <w:r>
        <w:rPr>
          <w:rFonts w:hint="eastAsia" w:ascii="Times New Roman" w:hAnsi="Times New Roman"/>
          <w:snapToGrid w:val="0"/>
          <w:color w:val="auto"/>
          <w:sz w:val="38"/>
          <w:szCs w:val="38"/>
        </w:rPr>
        <w:t>建设项目污染物排放量汇总表</w:t>
      </w:r>
    </w:p>
    <w:tbl>
      <w:tblPr>
        <w:tblStyle w:val="26"/>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380"/>
        <w:gridCol w:w="1559"/>
        <w:gridCol w:w="160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88" w:type="dxa"/>
            <w:tcBorders>
              <w:tl2br w:val="single" w:color="auto" w:sz="4" w:space="0"/>
            </w:tcBorders>
            <w:tcMar>
              <w:left w:w="28" w:type="dxa"/>
              <w:right w:w="28" w:type="dxa"/>
            </w:tcMar>
            <w:vAlign w:val="center"/>
          </w:tcPr>
          <w:p>
            <w:pPr>
              <w:pStyle w:val="41"/>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项目</w:t>
            </w:r>
          </w:p>
          <w:p>
            <w:pPr>
              <w:pStyle w:val="41"/>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分类</w:t>
            </w:r>
          </w:p>
        </w:tc>
        <w:tc>
          <w:tcPr>
            <w:tcW w:w="1417" w:type="dxa"/>
            <w:tcMar>
              <w:left w:w="28" w:type="dxa"/>
              <w:right w:w="28" w:type="dxa"/>
            </w:tcMar>
            <w:vAlign w:val="center"/>
          </w:tcPr>
          <w:p>
            <w:pPr>
              <w:pStyle w:val="41"/>
              <w:spacing w:beforeLines="0" w:afterLines="0" w:line="240" w:lineRule="auto"/>
              <w:rPr>
                <w:rFonts w:ascii="Times New Roman" w:cs="宋体"/>
                <w:snapToGrid w:val="0"/>
                <w:color w:val="000000"/>
                <w:spacing w:val="-6"/>
                <w:kern w:val="21"/>
                <w:szCs w:val="21"/>
              </w:rPr>
            </w:pPr>
            <w:r>
              <w:rPr>
                <w:rFonts w:hint="eastAsia" w:ascii="Times New Roman" w:cs="宋体"/>
                <w:snapToGrid w:val="0"/>
                <w:color w:val="000000"/>
                <w:spacing w:val="-6"/>
                <w:kern w:val="21"/>
                <w:szCs w:val="21"/>
              </w:rPr>
              <w:t>污染物名称</w:t>
            </w:r>
          </w:p>
        </w:tc>
        <w:tc>
          <w:tcPr>
            <w:tcW w:w="1701"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①</w:t>
            </w:r>
            <w:r>
              <w:rPr>
                <w:rFonts w:ascii="Times New Roman"/>
                <w:snapToGrid w:val="0"/>
                <w:color w:val="000000"/>
                <w:spacing w:val="-6"/>
                <w:kern w:val="21"/>
                <w:szCs w:val="21"/>
              </w:rPr>
              <w:fldChar w:fldCharType="end"/>
            </w:r>
          </w:p>
        </w:tc>
        <w:tc>
          <w:tcPr>
            <w:tcW w:w="1276"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现有工程</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许可排放量</w:t>
            </w:r>
          </w:p>
          <w:p>
            <w:pPr>
              <w:pStyle w:val="41"/>
              <w:spacing w:beforeLines="0" w:afterLines="0"/>
              <w:rPr>
                <w:rFonts w:ascii="Times New Roman"/>
                <w:snapToGrid w:val="0"/>
                <w:color w:val="000000"/>
                <w:spacing w:val="-6"/>
                <w:kern w:val="21"/>
                <w:szCs w:val="21"/>
              </w:rPr>
            </w:pP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2 \* GB3 \* MERGEFORMAT </w:instrText>
            </w:r>
            <w:r>
              <w:rPr>
                <w:rFonts w:ascii="Times New Roman"/>
                <w:snapToGrid w:val="0"/>
                <w:color w:val="000000"/>
                <w:spacing w:val="-6"/>
                <w:kern w:val="21"/>
                <w:szCs w:val="21"/>
              </w:rPr>
              <w:fldChar w:fldCharType="separate"/>
            </w:r>
            <w:r>
              <w:rPr>
                <w:rFonts w:hint="eastAsia" w:ascii="Times New Roman" w:cs="宋体"/>
                <w:snapToGrid w:val="0"/>
                <w:color w:val="000000"/>
                <w:spacing w:val="-6"/>
                <w:kern w:val="21"/>
                <w:szCs w:val="21"/>
              </w:rPr>
              <w:t>②</w:t>
            </w:r>
            <w:r>
              <w:rPr>
                <w:rFonts w:ascii="Times New Roman"/>
                <w:snapToGrid w:val="0"/>
                <w:color w:val="000000"/>
                <w:spacing w:val="-6"/>
                <w:kern w:val="21"/>
                <w:szCs w:val="21"/>
              </w:rPr>
              <w:fldChar w:fldCharType="end"/>
            </w:r>
          </w:p>
        </w:tc>
        <w:tc>
          <w:tcPr>
            <w:tcW w:w="1701"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在建工程</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③</w:t>
            </w:r>
            <w:r>
              <w:rPr>
                <w:rFonts w:ascii="Times New Roman"/>
                <w:snapToGrid w:val="0"/>
                <w:color w:val="000000"/>
                <w:spacing w:val="-6"/>
                <w:kern w:val="21"/>
                <w:szCs w:val="21"/>
              </w:rPr>
              <w:fldChar w:fldCharType="end"/>
            </w:r>
          </w:p>
        </w:tc>
        <w:tc>
          <w:tcPr>
            <w:tcW w:w="1559"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本项目</w:t>
            </w:r>
          </w:p>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排放量（固</w:t>
            </w:r>
            <w:r>
              <w:rPr>
                <w:rFonts w:hint="eastAsia" w:ascii="Times New Roman"/>
                <w:snapToGrid w:val="0"/>
                <w:color w:val="000000"/>
                <w:spacing w:val="-6"/>
                <w:kern w:val="21"/>
                <w:szCs w:val="21"/>
              </w:rPr>
              <w:t>体</w:t>
            </w:r>
            <w:r>
              <w:rPr>
                <w:rFonts w:ascii="Times New Roman"/>
                <w:snapToGrid w:val="0"/>
                <w:color w:val="000000"/>
                <w:spacing w:val="-6"/>
                <w:kern w:val="21"/>
                <w:szCs w:val="21"/>
              </w:rPr>
              <w:t>废</w:t>
            </w:r>
            <w:r>
              <w:rPr>
                <w:rFonts w:hint="eastAsia" w:ascii="Times New Roman"/>
                <w:snapToGrid w:val="0"/>
                <w:color w:val="000000"/>
                <w:spacing w:val="-6"/>
                <w:kern w:val="21"/>
                <w:szCs w:val="21"/>
              </w:rPr>
              <w:t>物</w:t>
            </w:r>
            <w:r>
              <w:rPr>
                <w:rFonts w:ascii="Times New Roman"/>
                <w:snapToGrid w:val="0"/>
                <w:color w:val="000000"/>
                <w:spacing w:val="-6"/>
                <w:kern w:val="21"/>
                <w:szCs w:val="21"/>
              </w:rPr>
              <w:t>产生量）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④</w:t>
            </w:r>
            <w:r>
              <w:rPr>
                <w:rFonts w:ascii="Times New Roman"/>
                <w:snapToGrid w:val="0"/>
                <w:color w:val="000000"/>
                <w:spacing w:val="-6"/>
                <w:kern w:val="21"/>
                <w:szCs w:val="21"/>
              </w:rPr>
              <w:fldChar w:fldCharType="end"/>
            </w:r>
          </w:p>
        </w:tc>
        <w:tc>
          <w:tcPr>
            <w:tcW w:w="1380" w:type="dxa"/>
            <w:tcMar>
              <w:left w:w="28" w:type="dxa"/>
              <w:right w:w="28" w:type="dxa"/>
            </w:tcMar>
            <w:vAlign w:val="center"/>
          </w:tcPr>
          <w:p>
            <w:pPr>
              <w:pStyle w:val="41"/>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以新带老削减量</w:t>
            </w:r>
          </w:p>
          <w:p>
            <w:pPr>
              <w:pStyle w:val="41"/>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（新建项目不填）</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cs="宋体"/>
                <w:kern w:val="2"/>
                <w:szCs w:val="21"/>
              </w:rPr>
              <w:t>⑤</w:t>
            </w:r>
            <w:r>
              <w:rPr>
                <w:rFonts w:ascii="Times New Roman"/>
                <w:snapToGrid w:val="0"/>
                <w:color w:val="000000"/>
                <w:spacing w:val="-16"/>
                <w:kern w:val="21"/>
                <w:szCs w:val="21"/>
              </w:rPr>
              <w:fldChar w:fldCharType="end"/>
            </w:r>
          </w:p>
        </w:tc>
        <w:tc>
          <w:tcPr>
            <w:tcW w:w="1559" w:type="dxa"/>
            <w:tcMar>
              <w:left w:w="28" w:type="dxa"/>
              <w:right w:w="28" w:type="dxa"/>
            </w:tcMar>
            <w:vAlign w:val="center"/>
          </w:tcPr>
          <w:p>
            <w:pPr>
              <w:pStyle w:val="41"/>
              <w:spacing w:beforeLines="0" w:afterLines="0" w:line="240" w:lineRule="auto"/>
              <w:rPr>
                <w:rFonts w:ascii="Times New Roman"/>
                <w:snapToGrid w:val="0"/>
                <w:color w:val="000000"/>
                <w:spacing w:val="-16"/>
                <w:kern w:val="21"/>
                <w:szCs w:val="21"/>
              </w:rPr>
            </w:pPr>
            <w:r>
              <w:rPr>
                <w:rFonts w:ascii="Times New Roman"/>
                <w:snapToGrid w:val="0"/>
                <w:color w:val="000000"/>
                <w:spacing w:val="-16"/>
                <w:kern w:val="21"/>
                <w:szCs w:val="21"/>
              </w:rPr>
              <w:t>本项目建成后</w:t>
            </w:r>
          </w:p>
          <w:p>
            <w:pPr>
              <w:pStyle w:val="41"/>
              <w:spacing w:beforeLines="0" w:afterLines="0" w:line="240" w:lineRule="auto"/>
              <w:rPr>
                <w:rFonts w:ascii="Times New Roman"/>
                <w:snapToGrid w:val="0"/>
                <w:color w:val="000000"/>
                <w:spacing w:val="-16"/>
                <w:kern w:val="21"/>
                <w:szCs w:val="21"/>
              </w:rPr>
            </w:pPr>
            <w:r>
              <w:rPr>
                <w:rFonts w:hint="eastAsia" w:ascii="Times New Roman"/>
                <w:snapToGrid w:val="0"/>
                <w:color w:val="000000"/>
                <w:spacing w:val="-16"/>
                <w:kern w:val="21"/>
                <w:szCs w:val="21"/>
              </w:rPr>
              <w:t>全厂</w:t>
            </w:r>
            <w:r>
              <w:rPr>
                <w:rFonts w:ascii="Times New Roman"/>
                <w:snapToGrid w:val="0"/>
                <w:color w:val="000000"/>
                <w:spacing w:val="-16"/>
                <w:kern w:val="21"/>
                <w:szCs w:val="21"/>
              </w:rPr>
              <w:t>排放量（固</w:t>
            </w:r>
            <w:r>
              <w:rPr>
                <w:rFonts w:hint="eastAsia" w:ascii="Times New Roman"/>
                <w:snapToGrid w:val="0"/>
                <w:color w:val="000000"/>
                <w:spacing w:val="-16"/>
                <w:kern w:val="21"/>
                <w:szCs w:val="21"/>
              </w:rPr>
              <w:t>体</w:t>
            </w:r>
            <w:r>
              <w:rPr>
                <w:rFonts w:ascii="Times New Roman"/>
                <w:snapToGrid w:val="0"/>
                <w:color w:val="000000"/>
                <w:spacing w:val="-16"/>
                <w:kern w:val="21"/>
                <w:szCs w:val="21"/>
              </w:rPr>
              <w:t>废</w:t>
            </w:r>
            <w:r>
              <w:rPr>
                <w:rFonts w:hint="eastAsia" w:ascii="Times New Roman"/>
                <w:snapToGrid w:val="0"/>
                <w:color w:val="000000"/>
                <w:spacing w:val="-16"/>
                <w:kern w:val="21"/>
                <w:szCs w:val="21"/>
              </w:rPr>
              <w:t>物</w:t>
            </w:r>
            <w:r>
              <w:rPr>
                <w:rFonts w:ascii="Times New Roman"/>
                <w:snapToGrid w:val="0"/>
                <w:color w:val="000000"/>
                <w:spacing w:val="-16"/>
                <w:kern w:val="21"/>
                <w:szCs w:val="21"/>
              </w:rPr>
              <w:t>产生量）</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cs="宋体"/>
                <w:kern w:val="2"/>
                <w:szCs w:val="21"/>
              </w:rPr>
              <w:t>⑥</w:t>
            </w:r>
            <w:r>
              <w:rPr>
                <w:rFonts w:ascii="Times New Roman"/>
                <w:snapToGrid w:val="0"/>
                <w:color w:val="000000"/>
                <w:spacing w:val="-16"/>
                <w:kern w:val="21"/>
                <w:szCs w:val="21"/>
              </w:rPr>
              <w:fldChar w:fldCharType="end"/>
            </w:r>
          </w:p>
        </w:tc>
        <w:tc>
          <w:tcPr>
            <w:tcW w:w="1607" w:type="dxa"/>
            <w:tcMar>
              <w:left w:w="28" w:type="dxa"/>
              <w:right w:w="28" w:type="dxa"/>
            </w:tcMar>
            <w:vAlign w:val="center"/>
          </w:tcPr>
          <w:p>
            <w:pPr>
              <w:pStyle w:val="41"/>
              <w:spacing w:beforeLines="0" w:afterLines="0" w:line="240" w:lineRule="auto"/>
              <w:rPr>
                <w:rFonts w:ascii="Times New Roman"/>
                <w:snapToGrid w:val="0"/>
                <w:color w:val="000000"/>
                <w:spacing w:val="-6"/>
                <w:kern w:val="21"/>
                <w:szCs w:val="21"/>
              </w:rPr>
            </w:pPr>
            <w:r>
              <w:rPr>
                <w:rFonts w:ascii="Times New Roman"/>
                <w:snapToGrid w:val="0"/>
                <w:color w:val="000000"/>
                <w:spacing w:val="-6"/>
                <w:kern w:val="21"/>
                <w:szCs w:val="21"/>
              </w:rPr>
              <w:t>变化量</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cs="宋体"/>
                <w:kern w:val="2"/>
                <w:szCs w:val="21"/>
              </w:rPr>
              <w:t>⑦</w:t>
            </w:r>
            <w:r>
              <w:rPr>
                <w:rFonts w:ascii="Times New Roman"/>
                <w:snapToGrid w:val="0"/>
                <w:color w:val="00000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废气</w:t>
            </w:r>
          </w:p>
        </w:tc>
        <w:tc>
          <w:tcPr>
            <w:tcW w:w="1417"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颗粒物</w:t>
            </w:r>
          </w:p>
        </w:tc>
        <w:tc>
          <w:tcPr>
            <w:tcW w:w="1701"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0.126</w:t>
            </w:r>
            <w:r>
              <w:rPr>
                <w:rFonts w:hint="eastAsia" w:ascii="Times New Roman" w:cs="宋体"/>
                <w:snapToGrid w:val="0"/>
                <w:color w:val="000000"/>
                <w:kern w:val="21"/>
                <w:szCs w:val="21"/>
              </w:rPr>
              <w:t xml:space="preserve"> t</w:t>
            </w:r>
            <w:r>
              <w:rPr>
                <w:rFonts w:ascii="Times New Roman" w:cs="宋体"/>
                <w:snapToGrid w:val="0"/>
                <w:color w:val="000000"/>
                <w:kern w:val="21"/>
                <w:szCs w:val="21"/>
              </w:rPr>
              <w:t>/</w:t>
            </w:r>
            <w:r>
              <w:rPr>
                <w:rFonts w:hint="eastAsia" w:ascii="Times New Roman" w:cs="宋体"/>
                <w:snapToGrid w:val="0"/>
                <w:color w:val="000000"/>
                <w:kern w:val="21"/>
                <w:szCs w:val="21"/>
              </w:rPr>
              <w:t>a</w:t>
            </w:r>
          </w:p>
        </w:tc>
        <w:tc>
          <w:tcPr>
            <w:tcW w:w="1276" w:type="dxa"/>
            <w:vAlign w:val="center"/>
          </w:tcPr>
          <w:p>
            <w:pPr>
              <w:pStyle w:val="41"/>
              <w:spacing w:beforeLines="0" w:afterLines="0" w:line="240" w:lineRule="auto"/>
              <w:rPr>
                <w:rFonts w:ascii="Times New Roman" w:cs="宋体"/>
                <w:snapToGrid w:val="0"/>
                <w:color w:val="auto"/>
                <w:kern w:val="21"/>
                <w:szCs w:val="21"/>
              </w:rPr>
            </w:pPr>
            <w:r>
              <w:rPr>
                <w:rFonts w:hint="eastAsia" w:ascii="Times New Roman" w:cs="宋体"/>
                <w:snapToGrid w:val="0"/>
                <w:color w:val="auto"/>
                <w:kern w:val="21"/>
                <w:szCs w:val="21"/>
                <w:lang w:val="en-US" w:eastAsia="zh-CN"/>
              </w:rPr>
              <w:t>0.126</w:t>
            </w:r>
            <w:r>
              <w:rPr>
                <w:rFonts w:hint="eastAsia" w:ascii="Times New Roman" w:cs="宋体"/>
                <w:snapToGrid w:val="0"/>
                <w:color w:val="auto"/>
                <w:kern w:val="21"/>
                <w:szCs w:val="21"/>
              </w:rPr>
              <w:t xml:space="preserve"> t</w:t>
            </w:r>
            <w:r>
              <w:rPr>
                <w:rFonts w:ascii="Times New Roman" w:cs="宋体"/>
                <w:snapToGrid w:val="0"/>
                <w:color w:val="auto"/>
                <w:kern w:val="21"/>
                <w:szCs w:val="21"/>
              </w:rPr>
              <w:t>/</w:t>
            </w:r>
            <w:r>
              <w:rPr>
                <w:rFonts w:hint="eastAsia" w:ascii="Times New Roman" w:cs="宋体"/>
                <w:snapToGrid w:val="0"/>
                <w:color w:val="auto"/>
                <w:kern w:val="21"/>
                <w:szCs w:val="21"/>
              </w:rPr>
              <w:t>a</w:t>
            </w:r>
          </w:p>
        </w:tc>
        <w:tc>
          <w:tcPr>
            <w:tcW w:w="1701" w:type="dxa"/>
            <w:vAlign w:val="center"/>
          </w:tcPr>
          <w:p>
            <w:pPr>
              <w:pStyle w:val="41"/>
              <w:spacing w:beforeLines="0" w:afterLines="0" w:line="240" w:lineRule="auto"/>
              <w:rPr>
                <w:rFonts w:ascii="Times New Roman" w:cs="宋体"/>
                <w:snapToGrid w:val="0"/>
                <w:color w:val="auto"/>
                <w:kern w:val="21"/>
                <w:szCs w:val="21"/>
              </w:rPr>
            </w:pPr>
            <w:r>
              <w:rPr>
                <w:rFonts w:hint="eastAsia" w:ascii="Times New Roman" w:cs="宋体"/>
                <w:snapToGrid w:val="0"/>
                <w:color w:val="auto"/>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4.662</w:t>
            </w:r>
            <w:r>
              <w:rPr>
                <w:rFonts w:ascii="Times New Roman" w:cs="宋体"/>
                <w:snapToGrid w:val="0"/>
                <w:color w:val="000000"/>
                <w:kern w:val="21"/>
                <w:szCs w:val="21"/>
              </w:rPr>
              <w:t>t/a</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lang w:val="en-US" w:eastAsia="zh-CN"/>
              </w:rPr>
              <w:t>4.788</w:t>
            </w:r>
            <w:r>
              <w:rPr>
                <w:rFonts w:ascii="Times New Roman"/>
              </w:rPr>
              <w:t>t/a</w:t>
            </w:r>
          </w:p>
        </w:tc>
        <w:tc>
          <w:tcPr>
            <w:tcW w:w="1607"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4.662</w:t>
            </w:r>
            <w:r>
              <w:rPr>
                <w:rFonts w:ascii="Times New Roman" w:cs="宋体"/>
                <w:snapToGrid w:val="0"/>
                <w:color w:val="000000"/>
                <w:kern w:val="21"/>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一般工业</w:t>
            </w:r>
          </w:p>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固体废物</w:t>
            </w:r>
          </w:p>
        </w:tc>
        <w:tc>
          <w:tcPr>
            <w:tcW w:w="1417"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pacing w:val="0"/>
                <w:position w:val="0"/>
                <w:sz w:val="21"/>
                <w:szCs w:val="21"/>
                <w:highlight w:val="none"/>
                <w:lang w:val="en-US" w:eastAsia="zh-CN"/>
              </w:rPr>
              <w:t>碎石杂质</w:t>
            </w:r>
          </w:p>
        </w:tc>
        <w:tc>
          <w:tcPr>
            <w:tcW w:w="1701"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0"/>
                <w:position w:val="0"/>
                <w:sz w:val="21"/>
                <w:szCs w:val="21"/>
                <w:highlight w:val="none"/>
                <w:lang w:val="en-US" w:eastAsia="zh-CN"/>
              </w:rPr>
              <w:t>2870</w:t>
            </w:r>
            <w:r>
              <w:rPr>
                <w:rFonts w:hint="default" w:ascii="Times New Roman" w:hAnsi="Times New Roman" w:eastAsia="宋体" w:cs="Times New Roman"/>
                <w:color w:val="auto"/>
                <w:spacing w:val="0"/>
                <w:position w:val="0"/>
                <w:sz w:val="21"/>
                <w:szCs w:val="21"/>
                <w:highlight w:val="none"/>
              </w:rPr>
              <w:t>t/a</w:t>
            </w:r>
          </w:p>
        </w:tc>
        <w:tc>
          <w:tcPr>
            <w:tcW w:w="1276" w:type="dxa"/>
            <w:vAlign w:val="center"/>
          </w:tcPr>
          <w:p>
            <w:pPr>
              <w:ind w:left="-118" w:leftChars="-56" w:right="-126" w:rightChars="-6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cs="Times New Roman"/>
                <w:color w:val="auto"/>
                <w:spacing w:val="0"/>
                <w:position w:val="0"/>
                <w:szCs w:val="21"/>
                <w:highlight w:val="none"/>
                <w:lang w:val="en-US" w:eastAsia="zh-CN"/>
              </w:rPr>
              <w:t>3000</w:t>
            </w:r>
            <w:r>
              <w:rPr>
                <w:rFonts w:hint="default" w:ascii="Times New Roman" w:hAnsi="Times New Roman" w:cs="Times New Roman"/>
                <w:color w:val="auto"/>
                <w:spacing w:val="0"/>
                <w:position w:val="0"/>
                <w:szCs w:val="21"/>
                <w:highlight w:val="none"/>
              </w:rPr>
              <w:t>t/a</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hint="eastAsia" w:ascii="Times New Roman" w:eastAsia="宋体" w:cs="宋体"/>
                <w:snapToGrid w:val="0"/>
                <w:color w:val="000000"/>
                <w:kern w:val="21"/>
                <w:szCs w:val="21"/>
                <w:lang w:eastAsia="zh-CN"/>
              </w:rPr>
            </w:pPr>
            <w:r>
              <w:rPr>
                <w:rFonts w:hint="eastAsia" w:ascii="Times New Roman"/>
                <w:szCs w:val="21"/>
                <w:lang w:val="en-US" w:eastAsia="zh-CN"/>
              </w:rPr>
              <w:t>0</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lang w:val="en-US" w:eastAsia="zh-CN"/>
              </w:rPr>
              <w:t>0</w:t>
            </w:r>
            <w:r>
              <w:rPr>
                <w:rFonts w:hint="eastAsia" w:ascii="Times New Roman" w:cs="宋体"/>
                <w:snapToGrid w:val="0"/>
                <w:color w:val="000000"/>
                <w:kern w:val="21"/>
                <w:szCs w:val="21"/>
              </w:rPr>
              <w:t>t</w:t>
            </w:r>
            <w:r>
              <w:rPr>
                <w:rFonts w:ascii="Times New Roman" w:cs="宋体"/>
                <w:snapToGrid w:val="0"/>
                <w:color w:val="000000"/>
                <w:kern w:val="21"/>
                <w:szCs w:val="21"/>
              </w:rPr>
              <w:t>/a</w:t>
            </w:r>
          </w:p>
        </w:tc>
        <w:tc>
          <w:tcPr>
            <w:tcW w:w="1607"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szCs w:val="21"/>
                <w:lang w:val="en-US" w:eastAsia="zh-CN"/>
              </w:rPr>
              <w:t>0</w:t>
            </w:r>
            <w:r>
              <w:rPr>
                <w:rFonts w:hint="eastAsia" w:ascii="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pacing w:val="0"/>
                <w:position w:val="0"/>
                <w:sz w:val="21"/>
                <w:szCs w:val="21"/>
                <w:highlight w:val="none"/>
                <w:lang w:val="en-US" w:eastAsia="zh-CN"/>
              </w:rPr>
              <w:t>沉渣</w:t>
            </w:r>
          </w:p>
        </w:tc>
        <w:tc>
          <w:tcPr>
            <w:tcW w:w="1701"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0"/>
                <w:position w:val="0"/>
                <w:sz w:val="21"/>
                <w:szCs w:val="21"/>
                <w:highlight w:val="none"/>
                <w:lang w:val="en-US" w:eastAsia="zh-CN"/>
              </w:rPr>
              <w:t>9878</w:t>
            </w:r>
            <w:r>
              <w:rPr>
                <w:rFonts w:hint="default" w:ascii="Times New Roman" w:hAnsi="Times New Roman" w:eastAsia="宋体" w:cs="Times New Roman"/>
                <w:color w:val="auto"/>
                <w:spacing w:val="0"/>
                <w:position w:val="0"/>
                <w:sz w:val="21"/>
                <w:szCs w:val="21"/>
                <w:highlight w:val="none"/>
              </w:rPr>
              <w:t>t/a</w:t>
            </w:r>
          </w:p>
        </w:tc>
        <w:tc>
          <w:tcPr>
            <w:tcW w:w="1276" w:type="dxa"/>
            <w:vAlign w:val="center"/>
          </w:tcPr>
          <w:p>
            <w:pPr>
              <w:ind w:left="-118" w:leftChars="-56" w:right="-126" w:rightChars="-6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cs="Times New Roman"/>
                <w:color w:val="auto"/>
                <w:spacing w:val="0"/>
                <w:position w:val="0"/>
                <w:szCs w:val="21"/>
                <w:highlight w:val="none"/>
                <w:lang w:val="en-US" w:eastAsia="zh-CN"/>
              </w:rPr>
              <w:t>10000</w:t>
            </w:r>
            <w:r>
              <w:rPr>
                <w:rFonts w:hint="default" w:ascii="Times New Roman" w:hAnsi="Times New Roman" w:cs="Times New Roman"/>
                <w:color w:val="auto"/>
                <w:spacing w:val="0"/>
                <w:position w:val="0"/>
                <w:szCs w:val="21"/>
                <w:highlight w:val="none"/>
              </w:rPr>
              <w:t>t/a</w:t>
            </w:r>
          </w:p>
        </w:tc>
        <w:tc>
          <w:tcPr>
            <w:tcW w:w="1701"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szCs w:val="21"/>
              </w:rPr>
            </w:pPr>
            <w:r>
              <w:rPr>
                <w:rFonts w:hint="eastAsia" w:ascii="Times New Roman" w:hAnsi="Times New Roman" w:cs="宋体"/>
                <w:snapToGrid w:val="0"/>
                <w:color w:val="000000"/>
                <w:kern w:val="21"/>
                <w:szCs w:val="21"/>
                <w:lang w:val="en-US" w:eastAsia="zh-CN"/>
              </w:rPr>
              <w:t>14</w:t>
            </w:r>
            <w:r>
              <w:rPr>
                <w:rFonts w:hint="eastAsia" w:ascii="Times New Roman" w:cs="宋体"/>
                <w:snapToGrid w:val="0"/>
                <w:color w:val="000000"/>
                <w:kern w:val="21"/>
                <w:szCs w:val="21"/>
                <w:lang w:val="en-US" w:eastAsia="zh-CN"/>
              </w:rPr>
              <w:t>142.31</w:t>
            </w:r>
            <w:r>
              <w:rPr>
                <w:rFonts w:hint="eastAsia" w:ascii="Times New Roman" w:hAnsi="Times New Roman" w:cs="宋体"/>
                <w:snapToGrid w:val="0"/>
                <w:color w:val="000000"/>
                <w:kern w:val="21"/>
                <w:szCs w:val="21"/>
              </w:rPr>
              <w:t>t/a</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szCs w:val="21"/>
              </w:rPr>
            </w:pPr>
            <w:r>
              <w:rPr>
                <w:rFonts w:hint="eastAsia" w:ascii="Times New Roman"/>
                <w:szCs w:val="21"/>
                <w:lang w:val="en-US" w:eastAsia="zh-CN"/>
              </w:rPr>
              <w:t>24020.31</w:t>
            </w:r>
            <w:r>
              <w:rPr>
                <w:rFonts w:hint="eastAsia" w:ascii="Times New Roman"/>
                <w:szCs w:val="21"/>
              </w:rPr>
              <w:t xml:space="preserve"> t/a</w:t>
            </w:r>
          </w:p>
        </w:tc>
        <w:tc>
          <w:tcPr>
            <w:tcW w:w="1607" w:type="dxa"/>
            <w:vAlign w:val="center"/>
          </w:tcPr>
          <w:p>
            <w:pPr>
              <w:pStyle w:val="41"/>
              <w:spacing w:beforeLines="0" w:afterLines="0" w:line="240" w:lineRule="auto"/>
              <w:rPr>
                <w:rFonts w:ascii="Times New Roman"/>
                <w:szCs w:val="21"/>
              </w:rPr>
            </w:pPr>
            <w:r>
              <w:rPr>
                <w:rFonts w:hint="eastAsia" w:ascii="Times New Roman"/>
                <w:color w:val="000000"/>
                <w:spacing w:val="4"/>
                <w:kern w:val="18"/>
                <w:szCs w:val="21"/>
                <w:lang w:val="en-US" w:eastAsia="zh-CN"/>
              </w:rPr>
              <w:t>14142.31</w:t>
            </w:r>
            <w:r>
              <w:rPr>
                <w:rFonts w:hint="eastAsia" w:ascii="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pacing w:val="0"/>
                <w:position w:val="0"/>
                <w:sz w:val="21"/>
                <w:szCs w:val="21"/>
                <w:highlight w:val="none"/>
              </w:rPr>
              <w:t>生活垃圾</w:t>
            </w:r>
          </w:p>
        </w:tc>
        <w:tc>
          <w:tcPr>
            <w:tcW w:w="1701" w:type="dxa"/>
            <w:vAlign w:val="center"/>
          </w:tcPr>
          <w:p>
            <w:pPr>
              <w:keepNext w:val="0"/>
              <w:keepLines w:val="0"/>
              <w:pageBreakBefore w:val="0"/>
              <w:kinsoku/>
              <w:wordWrap/>
              <w:overflowPunct/>
              <w:topLinePunct w:val="0"/>
              <w:autoSpaceDE/>
              <w:autoSpaceDN/>
              <w:bidi w:val="0"/>
              <w:adjustRightInd w:val="0"/>
              <w:snapToGrid w:val="0"/>
              <w:spacing w:after="0" w:line="240" w:lineRule="auto"/>
              <w:ind w:left="-118" w:leftChars="-56" w:right="-126" w:rightChars="-6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0"/>
                <w:position w:val="0"/>
                <w:sz w:val="21"/>
                <w:szCs w:val="21"/>
                <w:highlight w:val="none"/>
                <w:lang w:val="en-US" w:eastAsia="zh-CN"/>
              </w:rPr>
              <w:t>2</w:t>
            </w:r>
            <w:r>
              <w:rPr>
                <w:rFonts w:hint="default" w:ascii="Times New Roman" w:hAnsi="Times New Roman" w:eastAsia="宋体" w:cs="Times New Roman"/>
                <w:color w:val="auto"/>
                <w:spacing w:val="0"/>
                <w:position w:val="0"/>
                <w:sz w:val="21"/>
                <w:szCs w:val="21"/>
                <w:highlight w:val="none"/>
              </w:rPr>
              <w:t>t/a</w:t>
            </w:r>
          </w:p>
        </w:tc>
        <w:tc>
          <w:tcPr>
            <w:tcW w:w="1276" w:type="dxa"/>
            <w:vAlign w:val="center"/>
          </w:tcPr>
          <w:p>
            <w:pPr>
              <w:ind w:left="-118" w:leftChars="-56" w:right="-126" w:rightChars="-60"/>
              <w:jc w:val="center"/>
              <w:rPr>
                <w:rFonts w:hint="default" w:ascii="Times New Roman" w:hAnsi="Times New Roman" w:eastAsia="宋体" w:cs="Times New Roman"/>
                <w:color w:val="auto"/>
                <w:spacing w:val="0"/>
                <w:kern w:val="2"/>
                <w:position w:val="0"/>
                <w:sz w:val="21"/>
                <w:szCs w:val="21"/>
                <w:highlight w:val="none"/>
                <w:lang w:val="en-US" w:eastAsia="zh-CN" w:bidi="ar-SA"/>
              </w:rPr>
            </w:pPr>
            <w:r>
              <w:rPr>
                <w:rFonts w:hint="default" w:ascii="Times New Roman" w:hAnsi="Times New Roman" w:cs="Times New Roman"/>
                <w:color w:val="auto"/>
                <w:spacing w:val="0"/>
                <w:position w:val="0"/>
                <w:szCs w:val="21"/>
                <w:highlight w:val="none"/>
                <w:lang w:val="en-US" w:eastAsia="zh-CN"/>
              </w:rPr>
              <w:t>1.2</w:t>
            </w:r>
            <w:r>
              <w:rPr>
                <w:rFonts w:hint="default" w:ascii="Times New Roman" w:hAnsi="Times New Roman" w:cs="Times New Roman"/>
                <w:color w:val="auto"/>
                <w:spacing w:val="0"/>
                <w:position w:val="0"/>
                <w:szCs w:val="21"/>
                <w:highlight w:val="none"/>
              </w:rPr>
              <w:t>t/a</w:t>
            </w:r>
          </w:p>
        </w:tc>
        <w:tc>
          <w:tcPr>
            <w:tcW w:w="1701"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olor w:val="000000"/>
                <w:szCs w:val="21"/>
              </w:rPr>
            </w:pPr>
            <w:r>
              <w:rPr>
                <w:rFonts w:hint="eastAsia" w:ascii="Times New Roman"/>
                <w:color w:val="000000"/>
                <w:spacing w:val="4"/>
                <w:kern w:val="18"/>
                <w:szCs w:val="21"/>
                <w:lang w:val="en-US" w:eastAsia="zh-CN"/>
              </w:rPr>
              <w:t>0</w:t>
            </w:r>
            <w:r>
              <w:rPr>
                <w:rFonts w:hint="eastAsia" w:ascii="Times New Roman"/>
                <w:szCs w:val="21"/>
              </w:rPr>
              <w:t xml:space="preserve"> t/a</w:t>
            </w:r>
          </w:p>
        </w:tc>
        <w:tc>
          <w:tcPr>
            <w:tcW w:w="1380"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olor w:val="000000"/>
                <w:szCs w:val="21"/>
              </w:rPr>
            </w:pPr>
            <w:r>
              <w:rPr>
                <w:rFonts w:hint="eastAsia" w:ascii="Times New Roman"/>
                <w:szCs w:val="21"/>
                <w:lang w:val="en-US" w:eastAsia="zh-CN"/>
              </w:rPr>
              <w:t>2</w:t>
            </w:r>
            <w:r>
              <w:rPr>
                <w:rFonts w:hint="eastAsia" w:ascii="Times New Roman"/>
                <w:szCs w:val="21"/>
              </w:rPr>
              <w:t>t/a</w:t>
            </w:r>
          </w:p>
        </w:tc>
        <w:tc>
          <w:tcPr>
            <w:tcW w:w="1607" w:type="dxa"/>
            <w:vAlign w:val="center"/>
          </w:tcPr>
          <w:p>
            <w:pPr>
              <w:pStyle w:val="41"/>
              <w:spacing w:beforeLines="0" w:afterLines="0" w:line="240" w:lineRule="auto"/>
              <w:rPr>
                <w:rFonts w:ascii="Times New Roman"/>
                <w:color w:val="000000"/>
                <w:szCs w:val="21"/>
              </w:rPr>
            </w:pPr>
            <w:r>
              <w:rPr>
                <w:rFonts w:hint="eastAsia" w:ascii="Times New Roman"/>
                <w:color w:val="000000"/>
                <w:spacing w:val="4"/>
                <w:kern w:val="18"/>
                <w:szCs w:val="21"/>
                <w:lang w:val="en-US" w:eastAsia="zh-CN"/>
              </w:rPr>
              <w:t>0</w:t>
            </w:r>
            <w:r>
              <w:rPr>
                <w:rFonts w:hint="eastAsia"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restart"/>
            <w:vAlign w:val="center"/>
          </w:tcPr>
          <w:p>
            <w:pPr>
              <w:pStyle w:val="41"/>
              <w:spacing w:before="24" w:after="24" w:line="240" w:lineRule="auto"/>
              <w:rPr>
                <w:rFonts w:ascii="Times New Roman" w:cs="宋体"/>
                <w:snapToGrid w:val="0"/>
                <w:color w:val="000000"/>
                <w:kern w:val="21"/>
                <w:szCs w:val="21"/>
              </w:rPr>
            </w:pPr>
            <w:r>
              <w:rPr>
                <w:rFonts w:hint="eastAsia" w:ascii="Times New Roman" w:cs="宋体"/>
                <w:snapToGrid w:val="0"/>
                <w:color w:val="000000"/>
                <w:kern w:val="21"/>
                <w:szCs w:val="21"/>
              </w:rPr>
              <w:t>危险废物</w:t>
            </w:r>
          </w:p>
        </w:tc>
        <w:tc>
          <w:tcPr>
            <w:tcW w:w="1417"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废</w:t>
            </w:r>
            <w:r>
              <w:rPr>
                <w:rFonts w:hint="eastAsia" w:ascii="Times New Roman"/>
                <w:color w:val="000000"/>
                <w:spacing w:val="4"/>
                <w:kern w:val="18"/>
                <w:szCs w:val="21"/>
                <w:lang w:val="en-US" w:eastAsia="zh-CN"/>
              </w:rPr>
              <w:t>油</w:t>
            </w:r>
            <w:r>
              <w:rPr>
                <w:rFonts w:ascii="Times New Roman"/>
                <w:color w:val="000000"/>
                <w:spacing w:val="4"/>
                <w:kern w:val="18"/>
                <w:szCs w:val="21"/>
              </w:rPr>
              <w:t>桶</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276"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olor w:val="000000"/>
                <w:spacing w:val="4"/>
                <w:kern w:val="18"/>
                <w:szCs w:val="21"/>
                <w:lang w:val="en-US" w:eastAsia="zh-CN"/>
              </w:rPr>
              <w:t>0.01</w:t>
            </w:r>
            <w:r>
              <w:rPr>
                <w:rFonts w:hint="eastAsia" w:ascii="Times New Roman"/>
                <w:szCs w:val="21"/>
              </w:rPr>
              <w:t xml:space="preserve"> t/a</w:t>
            </w:r>
          </w:p>
        </w:tc>
        <w:tc>
          <w:tcPr>
            <w:tcW w:w="1380"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hint="eastAsia" w:ascii="Times New Roman"/>
                <w:color w:val="000000"/>
                <w:spacing w:val="4"/>
                <w:kern w:val="18"/>
                <w:szCs w:val="21"/>
                <w:lang w:val="en-US" w:eastAsia="zh-CN"/>
              </w:rPr>
              <w:t>0.01</w:t>
            </w:r>
            <w:r>
              <w:rPr>
                <w:rFonts w:hint="eastAsia" w:ascii="Times New Roman"/>
                <w:szCs w:val="21"/>
              </w:rPr>
              <w:t>t/a</w:t>
            </w:r>
          </w:p>
        </w:tc>
        <w:tc>
          <w:tcPr>
            <w:tcW w:w="1607" w:type="dxa"/>
            <w:vAlign w:val="center"/>
          </w:tcPr>
          <w:p>
            <w:pPr>
              <w:pStyle w:val="41"/>
              <w:spacing w:beforeLines="0" w:afterLines="0" w:line="240" w:lineRule="auto"/>
              <w:rPr>
                <w:rFonts w:ascii="Times New Roman" w:hAnsi="Times New Roman" w:eastAsia="宋体" w:cs="宋体"/>
                <w:snapToGrid w:val="0"/>
                <w:color w:val="000000"/>
                <w:kern w:val="21"/>
                <w:sz w:val="21"/>
                <w:szCs w:val="21"/>
                <w:lang w:val="en-US" w:eastAsia="zh-CN" w:bidi="ar-SA"/>
              </w:rPr>
            </w:pPr>
            <w:r>
              <w:rPr>
                <w:rFonts w:hint="eastAsia" w:ascii="Times New Roman"/>
                <w:color w:val="000000"/>
                <w:spacing w:val="4"/>
                <w:kern w:val="18"/>
                <w:szCs w:val="21"/>
                <w:lang w:val="en-US" w:eastAsia="zh-CN"/>
              </w:rPr>
              <w:t>0.01</w:t>
            </w:r>
            <w:r>
              <w:rPr>
                <w:rFonts w:hint="eastAsia" w:ascii="Times New Roman"/>
                <w:szCs w:val="21"/>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废油</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276"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701"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0.</w:t>
            </w:r>
            <w:r>
              <w:rPr>
                <w:rFonts w:hint="eastAsia" w:ascii="Times New Roman"/>
                <w:color w:val="000000"/>
                <w:spacing w:val="4"/>
                <w:kern w:val="18"/>
                <w:szCs w:val="21"/>
                <w:lang w:val="en-US" w:eastAsia="zh-CN"/>
              </w:rPr>
              <w:t>15</w:t>
            </w:r>
            <w:r>
              <w:rPr>
                <w:rFonts w:hint="eastAsia" w:ascii="Times New Roman"/>
                <w:szCs w:val="21"/>
              </w:rPr>
              <w:t xml:space="preserve"> t/a</w:t>
            </w:r>
          </w:p>
        </w:tc>
        <w:tc>
          <w:tcPr>
            <w:tcW w:w="1380" w:type="dxa"/>
            <w:vAlign w:val="center"/>
          </w:tcPr>
          <w:p>
            <w:pPr>
              <w:pStyle w:val="41"/>
              <w:spacing w:beforeLines="0" w:afterLines="0" w:line="240" w:lineRule="auto"/>
              <w:rPr>
                <w:rFonts w:ascii="Times New Roman" w:cs="宋体"/>
                <w:b/>
                <w:bCs/>
                <w:snapToGrid w:val="0"/>
                <w:color w:val="000000"/>
                <w:kern w:val="21"/>
                <w:szCs w:val="21"/>
              </w:rPr>
            </w:pPr>
            <w:r>
              <w:rPr>
                <w:rFonts w:hint="eastAsia" w:ascii="Times New Roman" w:cs="宋体"/>
                <w:snapToGrid w:val="0"/>
                <w:color w:val="000000"/>
                <w:kern w:val="21"/>
                <w:szCs w:val="21"/>
              </w:rPr>
              <w:t>0</w:t>
            </w:r>
          </w:p>
        </w:tc>
        <w:tc>
          <w:tcPr>
            <w:tcW w:w="1559" w:type="dxa"/>
            <w:vAlign w:val="center"/>
          </w:tcPr>
          <w:p>
            <w:pPr>
              <w:pStyle w:val="41"/>
              <w:spacing w:beforeLines="0" w:afterLines="0" w:line="240" w:lineRule="auto"/>
              <w:rPr>
                <w:rFonts w:ascii="Times New Roman" w:cs="宋体"/>
                <w:snapToGrid w:val="0"/>
                <w:color w:val="000000"/>
                <w:kern w:val="21"/>
                <w:szCs w:val="21"/>
              </w:rPr>
            </w:pPr>
            <w:r>
              <w:rPr>
                <w:rFonts w:ascii="Times New Roman"/>
                <w:color w:val="000000"/>
                <w:spacing w:val="4"/>
                <w:kern w:val="18"/>
                <w:szCs w:val="21"/>
              </w:rPr>
              <w:t>0.</w:t>
            </w:r>
            <w:r>
              <w:rPr>
                <w:rFonts w:hint="eastAsia" w:ascii="Times New Roman"/>
                <w:color w:val="000000"/>
                <w:spacing w:val="4"/>
                <w:kern w:val="18"/>
                <w:szCs w:val="21"/>
                <w:lang w:val="en-US" w:eastAsia="zh-CN"/>
              </w:rPr>
              <w:t>15</w:t>
            </w:r>
            <w:r>
              <w:rPr>
                <w:rFonts w:hint="eastAsia" w:ascii="Times New Roman"/>
                <w:szCs w:val="21"/>
              </w:rPr>
              <w:t xml:space="preserve"> t/a</w:t>
            </w:r>
          </w:p>
        </w:tc>
        <w:tc>
          <w:tcPr>
            <w:tcW w:w="1607" w:type="dxa"/>
            <w:vAlign w:val="center"/>
          </w:tcPr>
          <w:p>
            <w:pPr>
              <w:pStyle w:val="41"/>
              <w:spacing w:beforeLines="0" w:afterLines="0" w:line="240" w:lineRule="auto"/>
              <w:rPr>
                <w:rFonts w:ascii="Times New Roman" w:hAnsi="Times New Roman" w:eastAsia="宋体" w:cs="宋体"/>
                <w:snapToGrid w:val="0"/>
                <w:color w:val="000000"/>
                <w:kern w:val="21"/>
                <w:sz w:val="21"/>
                <w:szCs w:val="21"/>
                <w:lang w:val="en-US" w:eastAsia="zh-CN" w:bidi="ar-SA"/>
              </w:rPr>
            </w:pPr>
            <w:r>
              <w:rPr>
                <w:rFonts w:ascii="Times New Roman"/>
                <w:color w:val="000000"/>
                <w:spacing w:val="4"/>
                <w:kern w:val="18"/>
                <w:szCs w:val="21"/>
              </w:rPr>
              <w:t>0.</w:t>
            </w:r>
            <w:r>
              <w:rPr>
                <w:rFonts w:hint="eastAsia" w:ascii="Times New Roman"/>
                <w:color w:val="000000"/>
                <w:spacing w:val="4"/>
                <w:kern w:val="18"/>
                <w:szCs w:val="21"/>
                <w:lang w:val="en-US" w:eastAsia="zh-CN"/>
              </w:rPr>
              <w:t>15</w:t>
            </w:r>
            <w:r>
              <w:rPr>
                <w:rFonts w:hint="eastAsia" w:ascii="Times New Roman"/>
                <w:szCs w:val="21"/>
              </w:rPr>
              <w:t xml:space="preserve"> 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1588" w:type="dxa"/>
            <w:vMerge w:val="continue"/>
            <w:vAlign w:val="center"/>
          </w:tcPr>
          <w:p>
            <w:pPr>
              <w:pStyle w:val="41"/>
              <w:spacing w:beforeLines="0" w:afterLines="0" w:line="240" w:lineRule="auto"/>
              <w:rPr>
                <w:rFonts w:ascii="Times New Roman" w:cs="宋体"/>
                <w:snapToGrid w:val="0"/>
                <w:color w:val="000000"/>
                <w:kern w:val="21"/>
                <w:szCs w:val="21"/>
              </w:rPr>
            </w:pPr>
          </w:p>
        </w:tc>
        <w:tc>
          <w:tcPr>
            <w:tcW w:w="1417" w:type="dxa"/>
            <w:vAlign w:val="center"/>
          </w:tcPr>
          <w:p>
            <w:pPr>
              <w:pStyle w:val="41"/>
              <w:spacing w:beforeLines="0" w:afterLines="0" w:line="240" w:lineRule="auto"/>
              <w:rPr>
                <w:rFonts w:ascii="Times New Roman"/>
                <w:color w:val="000000"/>
                <w:spacing w:val="4"/>
                <w:kern w:val="18"/>
                <w:szCs w:val="21"/>
              </w:rPr>
            </w:pPr>
            <w:r>
              <w:rPr>
                <w:rFonts w:hint="eastAsia" w:ascii="Times New Roman"/>
                <w:color w:val="000000"/>
                <w:spacing w:val="4"/>
                <w:kern w:val="18"/>
                <w:szCs w:val="21"/>
              </w:rPr>
              <w:t>废含油手套、抹布</w:t>
            </w:r>
          </w:p>
        </w:tc>
        <w:tc>
          <w:tcPr>
            <w:tcW w:w="1701"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276"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701"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559" w:type="dxa"/>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0.001</w:t>
            </w:r>
            <w:r>
              <w:rPr>
                <w:rFonts w:hint="eastAsia" w:ascii="Times New Roman"/>
                <w:szCs w:val="21"/>
              </w:rPr>
              <w:t>t/a</w:t>
            </w:r>
          </w:p>
        </w:tc>
        <w:tc>
          <w:tcPr>
            <w:tcW w:w="1380" w:type="dxa"/>
            <w:vAlign w:val="center"/>
          </w:tcPr>
          <w:p>
            <w:pPr>
              <w:pStyle w:val="41"/>
              <w:spacing w:beforeLines="0" w:afterLines="0" w:line="240" w:lineRule="auto"/>
              <w:rPr>
                <w:rFonts w:hint="eastAsia" w:ascii="Times New Roman" w:eastAsia="宋体" w:cs="宋体"/>
                <w:snapToGrid w:val="0"/>
                <w:color w:val="000000"/>
                <w:kern w:val="21"/>
                <w:szCs w:val="21"/>
                <w:lang w:val="en-US" w:eastAsia="zh-CN"/>
              </w:rPr>
            </w:pPr>
            <w:r>
              <w:rPr>
                <w:rFonts w:hint="eastAsia" w:ascii="Times New Roman" w:cs="宋体"/>
                <w:snapToGrid w:val="0"/>
                <w:color w:val="000000"/>
                <w:kern w:val="21"/>
                <w:szCs w:val="21"/>
                <w:lang w:val="en-US" w:eastAsia="zh-CN"/>
              </w:rPr>
              <w:t>0</w:t>
            </w:r>
          </w:p>
        </w:tc>
        <w:tc>
          <w:tcPr>
            <w:tcW w:w="1559" w:type="dxa"/>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0.001</w:t>
            </w:r>
            <w:r>
              <w:rPr>
                <w:rFonts w:hint="eastAsia" w:ascii="Times New Roman"/>
                <w:szCs w:val="21"/>
              </w:rPr>
              <w:t>t/a</w:t>
            </w:r>
          </w:p>
        </w:tc>
        <w:tc>
          <w:tcPr>
            <w:tcW w:w="1607" w:type="dxa"/>
            <w:vAlign w:val="center"/>
          </w:tcPr>
          <w:p>
            <w:pPr>
              <w:pStyle w:val="41"/>
              <w:spacing w:beforeLines="0" w:afterLines="0" w:line="240" w:lineRule="auto"/>
              <w:rPr>
                <w:rFonts w:hint="default" w:ascii="Times New Roman" w:eastAsia="宋体"/>
                <w:color w:val="000000"/>
                <w:spacing w:val="4"/>
                <w:kern w:val="18"/>
                <w:szCs w:val="21"/>
                <w:lang w:val="en-US" w:eastAsia="zh-CN"/>
              </w:rPr>
            </w:pPr>
            <w:r>
              <w:rPr>
                <w:rFonts w:hint="eastAsia" w:ascii="Times New Roman"/>
                <w:color w:val="000000"/>
                <w:spacing w:val="4"/>
                <w:kern w:val="18"/>
                <w:szCs w:val="21"/>
                <w:lang w:val="en-US" w:eastAsia="zh-CN"/>
              </w:rPr>
              <w:t>0.001</w:t>
            </w:r>
            <w:r>
              <w:rPr>
                <w:rFonts w:hint="eastAsia" w:ascii="Times New Roman"/>
                <w:szCs w:val="21"/>
              </w:rPr>
              <w:t>t/a</w:t>
            </w:r>
          </w:p>
        </w:tc>
      </w:tr>
    </w:tbl>
    <w:p>
      <w:pPr>
        <w:pStyle w:val="41"/>
        <w:spacing w:before="192" w:beforeLines="80" w:after="24"/>
        <w:jc w:val="left"/>
        <w:rPr>
          <w:rFonts w:ascii="Times New Roman"/>
        </w:rPr>
      </w:pPr>
      <w:r>
        <w:rPr>
          <w:rFonts w:ascii="Times New Roman"/>
          <w:snapToGrid w:val="0"/>
          <w:color w:val="000000"/>
          <w:kern w:val="21"/>
          <w:szCs w:val="21"/>
        </w:rPr>
        <w:t>注：</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szCs w:val="21"/>
        </w:rPr>
        <w:t>①</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3 \* GB3 \* MERGEFORMAT </w:instrText>
      </w:r>
      <w:r>
        <w:rPr>
          <w:rFonts w:ascii="Times New Roman"/>
          <w:snapToGrid w:val="0"/>
          <w:color w:val="000000"/>
          <w:spacing w:val="-6"/>
          <w:kern w:val="21"/>
          <w:szCs w:val="21"/>
        </w:rPr>
        <w:fldChar w:fldCharType="separate"/>
      </w:r>
      <w:r>
        <w:rPr>
          <w:rFonts w:hint="eastAsia" w:ascii="Times New Roman"/>
          <w:szCs w:val="21"/>
        </w:rPr>
        <w:t>③</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4 \* GB3 \* MERGEFORMAT </w:instrText>
      </w:r>
      <w:r>
        <w:rPr>
          <w:rFonts w:ascii="Times New Roman"/>
          <w:snapToGrid w:val="0"/>
          <w:color w:val="000000"/>
          <w:spacing w:val="-6"/>
          <w:kern w:val="21"/>
          <w:szCs w:val="21"/>
        </w:rPr>
        <w:fldChar w:fldCharType="separate"/>
      </w:r>
      <w:r>
        <w:rPr>
          <w:rFonts w:hint="eastAsia" w:ascii="Times New Roman"/>
          <w:szCs w:val="21"/>
        </w:rPr>
        <w:t>④</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5 \* GB3 \* MERGEFORMAT </w:instrText>
      </w:r>
      <w:r>
        <w:rPr>
          <w:rFonts w:ascii="Times New Roman"/>
          <w:snapToGrid w:val="0"/>
          <w:color w:val="000000"/>
          <w:spacing w:val="-16"/>
          <w:kern w:val="21"/>
          <w:szCs w:val="21"/>
        </w:rPr>
        <w:fldChar w:fldCharType="separate"/>
      </w:r>
      <w:r>
        <w:rPr>
          <w:rFonts w:hint="eastAsia" w:ascii="Times New Roman"/>
          <w:szCs w:val="21"/>
        </w:rPr>
        <w:t>⑤</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7 \* GB3 \* MERGEFORMAT </w:instrText>
      </w:r>
      <w:r>
        <w:rPr>
          <w:rFonts w:ascii="Times New Roman"/>
          <w:snapToGrid w:val="0"/>
          <w:color w:val="000000"/>
          <w:spacing w:val="-6"/>
          <w:kern w:val="21"/>
          <w:szCs w:val="21"/>
        </w:rPr>
        <w:fldChar w:fldCharType="separate"/>
      </w:r>
      <w:r>
        <w:rPr>
          <w:rFonts w:hint="eastAsia" w:ascii="Times New Roman"/>
          <w:szCs w:val="21"/>
        </w:rPr>
        <w:t>⑦</w:t>
      </w:r>
      <w:r>
        <w:rPr>
          <w:rFonts w:ascii="Times New Roman"/>
          <w:snapToGrid w:val="0"/>
          <w:color w:val="000000"/>
          <w:spacing w:val="-6"/>
          <w:kern w:val="21"/>
          <w:szCs w:val="21"/>
        </w:rPr>
        <w:fldChar w:fldCharType="end"/>
      </w:r>
      <w:r>
        <w:rPr>
          <w:rFonts w:ascii="Times New Roman"/>
          <w:snapToGrid w:val="0"/>
          <w:color w:val="000000"/>
          <w:spacing w:val="-6"/>
          <w:kern w:val="21"/>
          <w:szCs w:val="21"/>
        </w:rPr>
        <w:t>=</w:t>
      </w:r>
      <w:r>
        <w:rPr>
          <w:rFonts w:ascii="Times New Roman"/>
          <w:snapToGrid w:val="0"/>
          <w:color w:val="000000"/>
          <w:spacing w:val="-16"/>
          <w:kern w:val="21"/>
          <w:szCs w:val="21"/>
        </w:rPr>
        <w:fldChar w:fldCharType="begin"/>
      </w:r>
      <w:r>
        <w:rPr>
          <w:rFonts w:ascii="Times New Roman"/>
          <w:snapToGrid w:val="0"/>
          <w:color w:val="000000"/>
          <w:spacing w:val="-16"/>
          <w:kern w:val="21"/>
          <w:szCs w:val="21"/>
        </w:rPr>
        <w:instrText xml:space="preserve"> = 6 \* GB3 \* MERGEFORMAT </w:instrText>
      </w:r>
      <w:r>
        <w:rPr>
          <w:rFonts w:ascii="Times New Roman"/>
          <w:snapToGrid w:val="0"/>
          <w:color w:val="000000"/>
          <w:spacing w:val="-16"/>
          <w:kern w:val="21"/>
          <w:szCs w:val="21"/>
        </w:rPr>
        <w:fldChar w:fldCharType="separate"/>
      </w:r>
      <w:r>
        <w:rPr>
          <w:rFonts w:hint="eastAsia" w:ascii="Times New Roman"/>
          <w:szCs w:val="21"/>
        </w:rPr>
        <w:t>⑥</w:t>
      </w:r>
      <w:r>
        <w:rPr>
          <w:rFonts w:ascii="Times New Roman"/>
          <w:snapToGrid w:val="0"/>
          <w:color w:val="000000"/>
          <w:spacing w:val="-16"/>
          <w:kern w:val="21"/>
          <w:szCs w:val="21"/>
        </w:rPr>
        <w:fldChar w:fldCharType="end"/>
      </w:r>
      <w:r>
        <w:rPr>
          <w:rFonts w:ascii="Times New Roman"/>
          <w:snapToGrid w:val="0"/>
          <w:color w:val="000000"/>
          <w:spacing w:val="-16"/>
          <w:kern w:val="21"/>
          <w:szCs w:val="21"/>
        </w:rPr>
        <w:t>-</w:t>
      </w:r>
      <w:r>
        <w:rPr>
          <w:rFonts w:ascii="Times New Roman"/>
          <w:snapToGrid w:val="0"/>
          <w:color w:val="000000"/>
          <w:spacing w:val="-6"/>
          <w:kern w:val="21"/>
          <w:szCs w:val="21"/>
        </w:rPr>
        <w:fldChar w:fldCharType="begin"/>
      </w:r>
      <w:r>
        <w:rPr>
          <w:rFonts w:ascii="Times New Roman"/>
          <w:snapToGrid w:val="0"/>
          <w:color w:val="000000"/>
          <w:spacing w:val="-6"/>
          <w:kern w:val="21"/>
          <w:szCs w:val="21"/>
        </w:rPr>
        <w:instrText xml:space="preserve"> = 1 \* GB3 \* MERGEFORMAT </w:instrText>
      </w:r>
      <w:r>
        <w:rPr>
          <w:rFonts w:ascii="Times New Roman"/>
          <w:snapToGrid w:val="0"/>
          <w:color w:val="000000"/>
          <w:spacing w:val="-6"/>
          <w:kern w:val="21"/>
          <w:szCs w:val="21"/>
        </w:rPr>
        <w:fldChar w:fldCharType="separate"/>
      </w:r>
      <w:r>
        <w:rPr>
          <w:rFonts w:hint="eastAsia" w:ascii="Times New Roman"/>
          <w:szCs w:val="21"/>
        </w:rPr>
        <w:t>①</w:t>
      </w:r>
      <w:r>
        <w:rPr>
          <w:rFonts w:ascii="Times New Roman"/>
          <w:snapToGrid w:val="0"/>
          <w:color w:val="000000"/>
          <w:spacing w:val="-6"/>
          <w:kern w:val="21"/>
          <w:szCs w:val="21"/>
        </w:rPr>
        <w:fldChar w:fldCharType="end"/>
      </w:r>
    </w:p>
    <w:sectPr>
      <w:footerReference r:id="rId4" w:type="default"/>
      <w:pgSz w:w="16838" w:h="11906" w:orient="landscape"/>
      <w:pgMar w:top="1531" w:right="1701" w:bottom="1531" w:left="1701"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w:fldChar w:fldCharType="begin"/>
    </w:r>
    <w:r>
      <w:instrText xml:space="preserve">PAGE   \* MERGEFORMAT</w:instrText>
    </w:r>
    <w:r>
      <w:fldChar w:fldCharType="separate"/>
    </w:r>
    <w:r>
      <w:rPr>
        <w:lang w:val="zh-CN"/>
      </w:rPr>
      <w:t>2</w:t>
    </w:r>
    <w:r>
      <w:fldChar w:fldCharType="end"/>
    </w:r>
  </w:p>
  <w:p>
    <w:pPr>
      <w:pStyle w:val="17"/>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6EDE3C"/>
    <w:multiLevelType w:val="singleLevel"/>
    <w:tmpl w:val="016EDE3C"/>
    <w:lvl w:ilvl="0" w:tentative="0">
      <w:start w:val="1"/>
      <w:numFmt w:val="decimal"/>
      <w:suff w:val="nothing"/>
      <w:lvlText w:val="%1、"/>
      <w:lvlJc w:val="left"/>
    </w:lvl>
  </w:abstractNum>
  <w:abstractNum w:abstractNumId="1">
    <w:nsid w:val="01940A3D"/>
    <w:multiLevelType w:val="singleLevel"/>
    <w:tmpl w:val="01940A3D"/>
    <w:lvl w:ilvl="0" w:tentative="0">
      <w:start w:val="1"/>
      <w:numFmt w:val="decimal"/>
      <w:suff w:val="nothing"/>
      <w:lvlText w:val="%1、"/>
      <w:lvlJc w:val="left"/>
    </w:lvl>
  </w:abstractNum>
  <w:abstractNum w:abstractNumId="2">
    <w:nsid w:val="159B298E"/>
    <w:multiLevelType w:val="singleLevel"/>
    <w:tmpl w:val="159B298E"/>
    <w:lvl w:ilvl="0" w:tentative="0">
      <w:start w:val="1"/>
      <w:numFmt w:val="decimal"/>
      <w:suff w:val="nothing"/>
      <w:lvlText w:val="（%1）"/>
      <w:lvlJc w:val="left"/>
    </w:lvl>
  </w:abstractNum>
  <w:abstractNum w:abstractNumId="3">
    <w:nsid w:val="711C077D"/>
    <w:multiLevelType w:val="multilevel"/>
    <w:tmpl w:val="711C077D"/>
    <w:lvl w:ilvl="0" w:tentative="0">
      <w:start w:val="1"/>
      <w:numFmt w:val="japaneseCounting"/>
      <w:lvlText w:val="%1、"/>
      <w:lvlJc w:val="left"/>
      <w:pPr>
        <w:ind w:left="510" w:hanging="51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74E32A5"/>
    <w:multiLevelType w:val="multilevel"/>
    <w:tmpl w:val="774E32A5"/>
    <w:lvl w:ilvl="0" w:tentative="0">
      <w:start w:val="1"/>
      <w:numFmt w:val="decimal"/>
      <w:lvlText w:val="%1、"/>
      <w:lvlJc w:val="left"/>
      <w:pPr>
        <w:ind w:left="360" w:hanging="36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BD62B3C"/>
    <w:multiLevelType w:val="singleLevel"/>
    <w:tmpl w:val="7BD62B3C"/>
    <w:lvl w:ilvl="0" w:tentative="0">
      <w:start w:val="2"/>
      <w:numFmt w:val="decimal"/>
      <w:suff w:val="nothing"/>
      <w:lvlText w:val="（%1）"/>
      <w:lvlJc w:val="left"/>
    </w:lvl>
  </w:abstractNum>
  <w:num w:numId="1">
    <w:abstractNumId w:val="4"/>
  </w:num>
  <w:num w:numId="2">
    <w:abstractNumId w:val="1"/>
  </w:num>
  <w:num w:numId="3">
    <w:abstractNumId w:val="3"/>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C77"/>
    <w:rsid w:val="00001225"/>
    <w:rsid w:val="000022C7"/>
    <w:rsid w:val="000060B3"/>
    <w:rsid w:val="0001724A"/>
    <w:rsid w:val="000304D3"/>
    <w:rsid w:val="00033419"/>
    <w:rsid w:val="00034C79"/>
    <w:rsid w:val="0004364B"/>
    <w:rsid w:val="00061B1F"/>
    <w:rsid w:val="00062F5A"/>
    <w:rsid w:val="000733C4"/>
    <w:rsid w:val="00074783"/>
    <w:rsid w:val="0008070B"/>
    <w:rsid w:val="000810AC"/>
    <w:rsid w:val="00081618"/>
    <w:rsid w:val="00081A02"/>
    <w:rsid w:val="00082231"/>
    <w:rsid w:val="00092D38"/>
    <w:rsid w:val="0009377B"/>
    <w:rsid w:val="00097206"/>
    <w:rsid w:val="00097EB8"/>
    <w:rsid w:val="000A20C9"/>
    <w:rsid w:val="000B058F"/>
    <w:rsid w:val="000B1938"/>
    <w:rsid w:val="000B4467"/>
    <w:rsid w:val="000B4DB9"/>
    <w:rsid w:val="000B5F20"/>
    <w:rsid w:val="000C0306"/>
    <w:rsid w:val="000C09AC"/>
    <w:rsid w:val="000C59DC"/>
    <w:rsid w:val="000C767F"/>
    <w:rsid w:val="000D37A6"/>
    <w:rsid w:val="000D5A44"/>
    <w:rsid w:val="000E3ED2"/>
    <w:rsid w:val="000E46FE"/>
    <w:rsid w:val="000E4D64"/>
    <w:rsid w:val="000F7121"/>
    <w:rsid w:val="0010105F"/>
    <w:rsid w:val="00105843"/>
    <w:rsid w:val="00106BCE"/>
    <w:rsid w:val="00107AA9"/>
    <w:rsid w:val="00117023"/>
    <w:rsid w:val="00125A13"/>
    <w:rsid w:val="00131F42"/>
    <w:rsid w:val="001340AE"/>
    <w:rsid w:val="001357F1"/>
    <w:rsid w:val="00140FA8"/>
    <w:rsid w:val="00142AF8"/>
    <w:rsid w:val="00142FEB"/>
    <w:rsid w:val="00143A2D"/>
    <w:rsid w:val="00145A41"/>
    <w:rsid w:val="00146ABF"/>
    <w:rsid w:val="00151675"/>
    <w:rsid w:val="00153CD5"/>
    <w:rsid w:val="00157435"/>
    <w:rsid w:val="00157B97"/>
    <w:rsid w:val="00163490"/>
    <w:rsid w:val="00171778"/>
    <w:rsid w:val="0017504D"/>
    <w:rsid w:val="00175E1F"/>
    <w:rsid w:val="0017671A"/>
    <w:rsid w:val="00176D58"/>
    <w:rsid w:val="00177422"/>
    <w:rsid w:val="00184590"/>
    <w:rsid w:val="001870D1"/>
    <w:rsid w:val="0018781E"/>
    <w:rsid w:val="0019262D"/>
    <w:rsid w:val="00194F12"/>
    <w:rsid w:val="001A1B35"/>
    <w:rsid w:val="001A48A2"/>
    <w:rsid w:val="001A699E"/>
    <w:rsid w:val="001A6F61"/>
    <w:rsid w:val="001B2418"/>
    <w:rsid w:val="001B5464"/>
    <w:rsid w:val="001B72B8"/>
    <w:rsid w:val="001C69B3"/>
    <w:rsid w:val="001D0AF1"/>
    <w:rsid w:val="001D5595"/>
    <w:rsid w:val="001D671D"/>
    <w:rsid w:val="001D7874"/>
    <w:rsid w:val="001D7F22"/>
    <w:rsid w:val="001E447A"/>
    <w:rsid w:val="001F0F17"/>
    <w:rsid w:val="001F3347"/>
    <w:rsid w:val="001F69E4"/>
    <w:rsid w:val="00203BDE"/>
    <w:rsid w:val="002125B4"/>
    <w:rsid w:val="002133DC"/>
    <w:rsid w:val="002155B8"/>
    <w:rsid w:val="00224839"/>
    <w:rsid w:val="002249B2"/>
    <w:rsid w:val="0022592E"/>
    <w:rsid w:val="00226574"/>
    <w:rsid w:val="002278EC"/>
    <w:rsid w:val="002321D6"/>
    <w:rsid w:val="0023280E"/>
    <w:rsid w:val="002377D1"/>
    <w:rsid w:val="002470BE"/>
    <w:rsid w:val="002506BC"/>
    <w:rsid w:val="00251CF5"/>
    <w:rsid w:val="0025342B"/>
    <w:rsid w:val="00254345"/>
    <w:rsid w:val="00254CC0"/>
    <w:rsid w:val="00260788"/>
    <w:rsid w:val="00264557"/>
    <w:rsid w:val="00275919"/>
    <w:rsid w:val="002805AB"/>
    <w:rsid w:val="00284204"/>
    <w:rsid w:val="00291773"/>
    <w:rsid w:val="002A168C"/>
    <w:rsid w:val="002A3DC7"/>
    <w:rsid w:val="002A70C1"/>
    <w:rsid w:val="002B0831"/>
    <w:rsid w:val="002B49E2"/>
    <w:rsid w:val="002B7B00"/>
    <w:rsid w:val="002B7C44"/>
    <w:rsid w:val="002C105C"/>
    <w:rsid w:val="002C2B17"/>
    <w:rsid w:val="002D3CB4"/>
    <w:rsid w:val="002D3DD0"/>
    <w:rsid w:val="002E1F3A"/>
    <w:rsid w:val="002E298A"/>
    <w:rsid w:val="002E526B"/>
    <w:rsid w:val="00301978"/>
    <w:rsid w:val="00301C18"/>
    <w:rsid w:val="00302654"/>
    <w:rsid w:val="0030332C"/>
    <w:rsid w:val="003043D4"/>
    <w:rsid w:val="003051C2"/>
    <w:rsid w:val="00312296"/>
    <w:rsid w:val="003134E7"/>
    <w:rsid w:val="003149D0"/>
    <w:rsid w:val="00314F0E"/>
    <w:rsid w:val="00321D8E"/>
    <w:rsid w:val="00322B1D"/>
    <w:rsid w:val="00325928"/>
    <w:rsid w:val="00332863"/>
    <w:rsid w:val="00335D3C"/>
    <w:rsid w:val="0033684D"/>
    <w:rsid w:val="00337B42"/>
    <w:rsid w:val="00341B42"/>
    <w:rsid w:val="0034348F"/>
    <w:rsid w:val="00345CC2"/>
    <w:rsid w:val="00356653"/>
    <w:rsid w:val="0035743F"/>
    <w:rsid w:val="00357BE2"/>
    <w:rsid w:val="0036170C"/>
    <w:rsid w:val="00366E0F"/>
    <w:rsid w:val="00377FD5"/>
    <w:rsid w:val="00380080"/>
    <w:rsid w:val="00381878"/>
    <w:rsid w:val="00381A72"/>
    <w:rsid w:val="00382D8D"/>
    <w:rsid w:val="00383421"/>
    <w:rsid w:val="00384676"/>
    <w:rsid w:val="00390857"/>
    <w:rsid w:val="00393B45"/>
    <w:rsid w:val="003A4BF3"/>
    <w:rsid w:val="003A58F0"/>
    <w:rsid w:val="003B099B"/>
    <w:rsid w:val="003B24DB"/>
    <w:rsid w:val="003B420D"/>
    <w:rsid w:val="003B48D4"/>
    <w:rsid w:val="003B7793"/>
    <w:rsid w:val="003C55DE"/>
    <w:rsid w:val="003C643D"/>
    <w:rsid w:val="003C6C16"/>
    <w:rsid w:val="003D16F1"/>
    <w:rsid w:val="003D5B4A"/>
    <w:rsid w:val="003D77D4"/>
    <w:rsid w:val="003D794D"/>
    <w:rsid w:val="003E3058"/>
    <w:rsid w:val="003E76A9"/>
    <w:rsid w:val="003F0809"/>
    <w:rsid w:val="003F6A8C"/>
    <w:rsid w:val="003F755C"/>
    <w:rsid w:val="00401D2A"/>
    <w:rsid w:val="00406F01"/>
    <w:rsid w:val="00416D50"/>
    <w:rsid w:val="00416FD5"/>
    <w:rsid w:val="00417772"/>
    <w:rsid w:val="00420E6A"/>
    <w:rsid w:val="00424507"/>
    <w:rsid w:val="00425A9E"/>
    <w:rsid w:val="00426D6B"/>
    <w:rsid w:val="004276BE"/>
    <w:rsid w:val="004315D0"/>
    <w:rsid w:val="00431E6C"/>
    <w:rsid w:val="00433CE7"/>
    <w:rsid w:val="00452738"/>
    <w:rsid w:val="00453500"/>
    <w:rsid w:val="00456091"/>
    <w:rsid w:val="00464712"/>
    <w:rsid w:val="00466321"/>
    <w:rsid w:val="00467477"/>
    <w:rsid w:val="0047130C"/>
    <w:rsid w:val="00475BD4"/>
    <w:rsid w:val="00484B9B"/>
    <w:rsid w:val="004855F6"/>
    <w:rsid w:val="0048661E"/>
    <w:rsid w:val="00494670"/>
    <w:rsid w:val="004A1EF7"/>
    <w:rsid w:val="004A3823"/>
    <w:rsid w:val="004A4EE6"/>
    <w:rsid w:val="004E6946"/>
    <w:rsid w:val="004F1AD8"/>
    <w:rsid w:val="00502C04"/>
    <w:rsid w:val="005039CB"/>
    <w:rsid w:val="0050558F"/>
    <w:rsid w:val="00506286"/>
    <w:rsid w:val="0050647C"/>
    <w:rsid w:val="00507595"/>
    <w:rsid w:val="00510813"/>
    <w:rsid w:val="00511990"/>
    <w:rsid w:val="00511DE0"/>
    <w:rsid w:val="00514870"/>
    <w:rsid w:val="00514B9B"/>
    <w:rsid w:val="005164A1"/>
    <w:rsid w:val="00517F02"/>
    <w:rsid w:val="00524303"/>
    <w:rsid w:val="005258A2"/>
    <w:rsid w:val="005401AE"/>
    <w:rsid w:val="00542B75"/>
    <w:rsid w:val="00542E07"/>
    <w:rsid w:val="005443C6"/>
    <w:rsid w:val="00545424"/>
    <w:rsid w:val="0055146A"/>
    <w:rsid w:val="005544FB"/>
    <w:rsid w:val="00554A7B"/>
    <w:rsid w:val="00554E26"/>
    <w:rsid w:val="0055572C"/>
    <w:rsid w:val="0056106A"/>
    <w:rsid w:val="00561985"/>
    <w:rsid w:val="005720AE"/>
    <w:rsid w:val="00572AAE"/>
    <w:rsid w:val="00581CA4"/>
    <w:rsid w:val="00586BBE"/>
    <w:rsid w:val="00591F32"/>
    <w:rsid w:val="00594D77"/>
    <w:rsid w:val="005969E4"/>
    <w:rsid w:val="005A06B7"/>
    <w:rsid w:val="005A1759"/>
    <w:rsid w:val="005A2808"/>
    <w:rsid w:val="005A68A7"/>
    <w:rsid w:val="005B237E"/>
    <w:rsid w:val="005C45CB"/>
    <w:rsid w:val="005D3087"/>
    <w:rsid w:val="005D36AB"/>
    <w:rsid w:val="005D46B4"/>
    <w:rsid w:val="005E085D"/>
    <w:rsid w:val="005F05A4"/>
    <w:rsid w:val="0061307C"/>
    <w:rsid w:val="00614B13"/>
    <w:rsid w:val="00617CC3"/>
    <w:rsid w:val="00631CAF"/>
    <w:rsid w:val="006377A6"/>
    <w:rsid w:val="00637A3D"/>
    <w:rsid w:val="006411EF"/>
    <w:rsid w:val="0064436A"/>
    <w:rsid w:val="0066050F"/>
    <w:rsid w:val="006741AA"/>
    <w:rsid w:val="006748B8"/>
    <w:rsid w:val="006775C3"/>
    <w:rsid w:val="0069290A"/>
    <w:rsid w:val="00696EA1"/>
    <w:rsid w:val="00697689"/>
    <w:rsid w:val="0069775A"/>
    <w:rsid w:val="00697813"/>
    <w:rsid w:val="006A3EE8"/>
    <w:rsid w:val="006A5CD1"/>
    <w:rsid w:val="006A72BF"/>
    <w:rsid w:val="006B03F2"/>
    <w:rsid w:val="006B2EA2"/>
    <w:rsid w:val="006B30D2"/>
    <w:rsid w:val="006B37DC"/>
    <w:rsid w:val="006B4C2A"/>
    <w:rsid w:val="006B4F68"/>
    <w:rsid w:val="006B4F71"/>
    <w:rsid w:val="006C0592"/>
    <w:rsid w:val="006C272E"/>
    <w:rsid w:val="006C51E2"/>
    <w:rsid w:val="006C5479"/>
    <w:rsid w:val="006C6CC4"/>
    <w:rsid w:val="006D13B5"/>
    <w:rsid w:val="006E12FF"/>
    <w:rsid w:val="006E607E"/>
    <w:rsid w:val="006F24FD"/>
    <w:rsid w:val="006F54BF"/>
    <w:rsid w:val="00706C5D"/>
    <w:rsid w:val="007146C9"/>
    <w:rsid w:val="00727DA2"/>
    <w:rsid w:val="00732922"/>
    <w:rsid w:val="00732C19"/>
    <w:rsid w:val="00740703"/>
    <w:rsid w:val="007456D5"/>
    <w:rsid w:val="00747C0A"/>
    <w:rsid w:val="0075162E"/>
    <w:rsid w:val="00754034"/>
    <w:rsid w:val="00754439"/>
    <w:rsid w:val="00754CD0"/>
    <w:rsid w:val="00756556"/>
    <w:rsid w:val="007618C4"/>
    <w:rsid w:val="00767980"/>
    <w:rsid w:val="00770B19"/>
    <w:rsid w:val="0077463F"/>
    <w:rsid w:val="007836EA"/>
    <w:rsid w:val="00784778"/>
    <w:rsid w:val="007848CC"/>
    <w:rsid w:val="00784CDA"/>
    <w:rsid w:val="007906C4"/>
    <w:rsid w:val="007940EA"/>
    <w:rsid w:val="007967E8"/>
    <w:rsid w:val="007A1F11"/>
    <w:rsid w:val="007A2170"/>
    <w:rsid w:val="007A22BF"/>
    <w:rsid w:val="007A3323"/>
    <w:rsid w:val="007B2045"/>
    <w:rsid w:val="007B72B8"/>
    <w:rsid w:val="007B7A58"/>
    <w:rsid w:val="007C21B5"/>
    <w:rsid w:val="007D1641"/>
    <w:rsid w:val="007D1DEC"/>
    <w:rsid w:val="007E3CCE"/>
    <w:rsid w:val="007E4BD2"/>
    <w:rsid w:val="007E7E61"/>
    <w:rsid w:val="007F3177"/>
    <w:rsid w:val="007F4715"/>
    <w:rsid w:val="00801393"/>
    <w:rsid w:val="00802F88"/>
    <w:rsid w:val="0080331D"/>
    <w:rsid w:val="008075CF"/>
    <w:rsid w:val="008076F8"/>
    <w:rsid w:val="0081293E"/>
    <w:rsid w:val="00813D3B"/>
    <w:rsid w:val="00815465"/>
    <w:rsid w:val="0081765C"/>
    <w:rsid w:val="00817E9A"/>
    <w:rsid w:val="008306BD"/>
    <w:rsid w:val="00831105"/>
    <w:rsid w:val="00831A80"/>
    <w:rsid w:val="00833743"/>
    <w:rsid w:val="008340A4"/>
    <w:rsid w:val="00841AA8"/>
    <w:rsid w:val="00847323"/>
    <w:rsid w:val="00856E05"/>
    <w:rsid w:val="00857DAC"/>
    <w:rsid w:val="0087135F"/>
    <w:rsid w:val="00872D94"/>
    <w:rsid w:val="00875351"/>
    <w:rsid w:val="00880364"/>
    <w:rsid w:val="00891592"/>
    <w:rsid w:val="00891E9E"/>
    <w:rsid w:val="0089573D"/>
    <w:rsid w:val="008A2F68"/>
    <w:rsid w:val="008A4934"/>
    <w:rsid w:val="008B4FA6"/>
    <w:rsid w:val="008B5282"/>
    <w:rsid w:val="008B5E3A"/>
    <w:rsid w:val="008B7C17"/>
    <w:rsid w:val="008C2D01"/>
    <w:rsid w:val="008C40E6"/>
    <w:rsid w:val="008C6159"/>
    <w:rsid w:val="008D0F7A"/>
    <w:rsid w:val="008D68E4"/>
    <w:rsid w:val="008E0506"/>
    <w:rsid w:val="008E0CFF"/>
    <w:rsid w:val="008E5D6B"/>
    <w:rsid w:val="008E76F0"/>
    <w:rsid w:val="008F15FE"/>
    <w:rsid w:val="008F2D29"/>
    <w:rsid w:val="008F5187"/>
    <w:rsid w:val="008F60D8"/>
    <w:rsid w:val="00901F81"/>
    <w:rsid w:val="00902727"/>
    <w:rsid w:val="00903109"/>
    <w:rsid w:val="0090312B"/>
    <w:rsid w:val="009104D9"/>
    <w:rsid w:val="00911504"/>
    <w:rsid w:val="0091736D"/>
    <w:rsid w:val="009240F8"/>
    <w:rsid w:val="0093037A"/>
    <w:rsid w:val="0094154D"/>
    <w:rsid w:val="009447C4"/>
    <w:rsid w:val="009449D4"/>
    <w:rsid w:val="009462A9"/>
    <w:rsid w:val="009470E5"/>
    <w:rsid w:val="00950DC5"/>
    <w:rsid w:val="0095155F"/>
    <w:rsid w:val="00954429"/>
    <w:rsid w:val="00955DAF"/>
    <w:rsid w:val="009563CE"/>
    <w:rsid w:val="00965E25"/>
    <w:rsid w:val="00976328"/>
    <w:rsid w:val="0097680D"/>
    <w:rsid w:val="009807A3"/>
    <w:rsid w:val="00982438"/>
    <w:rsid w:val="0098404C"/>
    <w:rsid w:val="00985283"/>
    <w:rsid w:val="00985DEC"/>
    <w:rsid w:val="00995173"/>
    <w:rsid w:val="00995992"/>
    <w:rsid w:val="00996597"/>
    <w:rsid w:val="009A03E5"/>
    <w:rsid w:val="009A0F3B"/>
    <w:rsid w:val="009A1BB4"/>
    <w:rsid w:val="009A2628"/>
    <w:rsid w:val="009A3200"/>
    <w:rsid w:val="009B0897"/>
    <w:rsid w:val="009B7BD9"/>
    <w:rsid w:val="009C38A1"/>
    <w:rsid w:val="009C49D3"/>
    <w:rsid w:val="009C7DD5"/>
    <w:rsid w:val="009E227D"/>
    <w:rsid w:val="009E3DA2"/>
    <w:rsid w:val="009E4FBC"/>
    <w:rsid w:val="009E5019"/>
    <w:rsid w:val="00A0269D"/>
    <w:rsid w:val="00A04C42"/>
    <w:rsid w:val="00A04F1B"/>
    <w:rsid w:val="00A0501B"/>
    <w:rsid w:val="00A070FF"/>
    <w:rsid w:val="00A14947"/>
    <w:rsid w:val="00A32A83"/>
    <w:rsid w:val="00A36063"/>
    <w:rsid w:val="00A368DB"/>
    <w:rsid w:val="00A423AA"/>
    <w:rsid w:val="00A53EC6"/>
    <w:rsid w:val="00A55C0F"/>
    <w:rsid w:val="00A56995"/>
    <w:rsid w:val="00A617CC"/>
    <w:rsid w:val="00A70BB1"/>
    <w:rsid w:val="00A77A4F"/>
    <w:rsid w:val="00A77CEE"/>
    <w:rsid w:val="00A8713F"/>
    <w:rsid w:val="00A90BA1"/>
    <w:rsid w:val="00A94BC8"/>
    <w:rsid w:val="00A95089"/>
    <w:rsid w:val="00A97A9A"/>
    <w:rsid w:val="00AA0671"/>
    <w:rsid w:val="00AA2531"/>
    <w:rsid w:val="00AB1E09"/>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5169"/>
    <w:rsid w:val="00B2567C"/>
    <w:rsid w:val="00B26322"/>
    <w:rsid w:val="00B31ABF"/>
    <w:rsid w:val="00B33BE3"/>
    <w:rsid w:val="00B51F4A"/>
    <w:rsid w:val="00B53B5D"/>
    <w:rsid w:val="00B6055E"/>
    <w:rsid w:val="00B6317D"/>
    <w:rsid w:val="00B7065E"/>
    <w:rsid w:val="00B7723F"/>
    <w:rsid w:val="00B80534"/>
    <w:rsid w:val="00B83829"/>
    <w:rsid w:val="00B8433C"/>
    <w:rsid w:val="00B8445C"/>
    <w:rsid w:val="00B86379"/>
    <w:rsid w:val="00B87491"/>
    <w:rsid w:val="00B8754C"/>
    <w:rsid w:val="00B90C38"/>
    <w:rsid w:val="00BA29E9"/>
    <w:rsid w:val="00BA3B10"/>
    <w:rsid w:val="00BA7142"/>
    <w:rsid w:val="00BB237C"/>
    <w:rsid w:val="00BB41A3"/>
    <w:rsid w:val="00BC32DC"/>
    <w:rsid w:val="00BC35B6"/>
    <w:rsid w:val="00BC6AAD"/>
    <w:rsid w:val="00BD036E"/>
    <w:rsid w:val="00BD1B51"/>
    <w:rsid w:val="00BD2CDC"/>
    <w:rsid w:val="00BD3111"/>
    <w:rsid w:val="00BD37FC"/>
    <w:rsid w:val="00BD4596"/>
    <w:rsid w:val="00BE1405"/>
    <w:rsid w:val="00BE312D"/>
    <w:rsid w:val="00BE49F6"/>
    <w:rsid w:val="00BE4E9F"/>
    <w:rsid w:val="00BE52CB"/>
    <w:rsid w:val="00BF1C20"/>
    <w:rsid w:val="00BF7948"/>
    <w:rsid w:val="00C10578"/>
    <w:rsid w:val="00C10696"/>
    <w:rsid w:val="00C135BC"/>
    <w:rsid w:val="00C15C95"/>
    <w:rsid w:val="00C2596A"/>
    <w:rsid w:val="00C27537"/>
    <w:rsid w:val="00C30364"/>
    <w:rsid w:val="00C31A82"/>
    <w:rsid w:val="00C328FE"/>
    <w:rsid w:val="00C33507"/>
    <w:rsid w:val="00C4409D"/>
    <w:rsid w:val="00C447C6"/>
    <w:rsid w:val="00C44E72"/>
    <w:rsid w:val="00C45A06"/>
    <w:rsid w:val="00C47E5B"/>
    <w:rsid w:val="00C55838"/>
    <w:rsid w:val="00C606DD"/>
    <w:rsid w:val="00C61E4B"/>
    <w:rsid w:val="00C64BFF"/>
    <w:rsid w:val="00C704E9"/>
    <w:rsid w:val="00C73F6A"/>
    <w:rsid w:val="00C763C9"/>
    <w:rsid w:val="00C80057"/>
    <w:rsid w:val="00C82232"/>
    <w:rsid w:val="00C82913"/>
    <w:rsid w:val="00C95391"/>
    <w:rsid w:val="00C96688"/>
    <w:rsid w:val="00C972B1"/>
    <w:rsid w:val="00CA2CCE"/>
    <w:rsid w:val="00CA43FD"/>
    <w:rsid w:val="00CA7EF8"/>
    <w:rsid w:val="00CB00B2"/>
    <w:rsid w:val="00CB3937"/>
    <w:rsid w:val="00CB4290"/>
    <w:rsid w:val="00CC489B"/>
    <w:rsid w:val="00CC6C09"/>
    <w:rsid w:val="00CC7151"/>
    <w:rsid w:val="00CD2BCD"/>
    <w:rsid w:val="00CD3A4C"/>
    <w:rsid w:val="00CD7F1C"/>
    <w:rsid w:val="00CE10E9"/>
    <w:rsid w:val="00CE2910"/>
    <w:rsid w:val="00CE4056"/>
    <w:rsid w:val="00CE5393"/>
    <w:rsid w:val="00CF36BE"/>
    <w:rsid w:val="00CF6000"/>
    <w:rsid w:val="00D003F3"/>
    <w:rsid w:val="00D0364F"/>
    <w:rsid w:val="00D05D8F"/>
    <w:rsid w:val="00D065B2"/>
    <w:rsid w:val="00D06834"/>
    <w:rsid w:val="00D203B4"/>
    <w:rsid w:val="00D308ED"/>
    <w:rsid w:val="00D32A78"/>
    <w:rsid w:val="00D346F5"/>
    <w:rsid w:val="00D34A81"/>
    <w:rsid w:val="00D36D86"/>
    <w:rsid w:val="00D428AA"/>
    <w:rsid w:val="00D43146"/>
    <w:rsid w:val="00D46302"/>
    <w:rsid w:val="00D50A34"/>
    <w:rsid w:val="00D50DFB"/>
    <w:rsid w:val="00D53EFA"/>
    <w:rsid w:val="00D830B5"/>
    <w:rsid w:val="00D90E46"/>
    <w:rsid w:val="00D94A7C"/>
    <w:rsid w:val="00D94F57"/>
    <w:rsid w:val="00D95896"/>
    <w:rsid w:val="00D972E0"/>
    <w:rsid w:val="00DB1A49"/>
    <w:rsid w:val="00DB2983"/>
    <w:rsid w:val="00DB2CCA"/>
    <w:rsid w:val="00DB4B59"/>
    <w:rsid w:val="00DC1257"/>
    <w:rsid w:val="00DC2848"/>
    <w:rsid w:val="00DC3DC0"/>
    <w:rsid w:val="00DC5B2B"/>
    <w:rsid w:val="00DD0053"/>
    <w:rsid w:val="00DD318D"/>
    <w:rsid w:val="00DD5944"/>
    <w:rsid w:val="00DF2809"/>
    <w:rsid w:val="00DF2E12"/>
    <w:rsid w:val="00DF514A"/>
    <w:rsid w:val="00DF6690"/>
    <w:rsid w:val="00DF6804"/>
    <w:rsid w:val="00E0358D"/>
    <w:rsid w:val="00E04323"/>
    <w:rsid w:val="00E0525B"/>
    <w:rsid w:val="00E070A2"/>
    <w:rsid w:val="00E2656A"/>
    <w:rsid w:val="00E340FD"/>
    <w:rsid w:val="00E412D0"/>
    <w:rsid w:val="00E51F0B"/>
    <w:rsid w:val="00E52931"/>
    <w:rsid w:val="00E55723"/>
    <w:rsid w:val="00E56322"/>
    <w:rsid w:val="00E60982"/>
    <w:rsid w:val="00E62C62"/>
    <w:rsid w:val="00E654C1"/>
    <w:rsid w:val="00E65D97"/>
    <w:rsid w:val="00E72A5A"/>
    <w:rsid w:val="00E73354"/>
    <w:rsid w:val="00E75155"/>
    <w:rsid w:val="00E90681"/>
    <w:rsid w:val="00E9242D"/>
    <w:rsid w:val="00E95670"/>
    <w:rsid w:val="00EA177D"/>
    <w:rsid w:val="00EB5255"/>
    <w:rsid w:val="00EB5C47"/>
    <w:rsid w:val="00ED0639"/>
    <w:rsid w:val="00EF3DDC"/>
    <w:rsid w:val="00EF4755"/>
    <w:rsid w:val="00EF52D5"/>
    <w:rsid w:val="00EF7135"/>
    <w:rsid w:val="00F027DB"/>
    <w:rsid w:val="00F14A7A"/>
    <w:rsid w:val="00F22985"/>
    <w:rsid w:val="00F24485"/>
    <w:rsid w:val="00F27F8F"/>
    <w:rsid w:val="00F30C9C"/>
    <w:rsid w:val="00F3383E"/>
    <w:rsid w:val="00F4073C"/>
    <w:rsid w:val="00F41D78"/>
    <w:rsid w:val="00F465A7"/>
    <w:rsid w:val="00F50B7C"/>
    <w:rsid w:val="00F550E6"/>
    <w:rsid w:val="00F627B1"/>
    <w:rsid w:val="00F70383"/>
    <w:rsid w:val="00F737E8"/>
    <w:rsid w:val="00F74345"/>
    <w:rsid w:val="00F80A0A"/>
    <w:rsid w:val="00F82B19"/>
    <w:rsid w:val="00F9212D"/>
    <w:rsid w:val="00F965DA"/>
    <w:rsid w:val="00FA066A"/>
    <w:rsid w:val="00FA406A"/>
    <w:rsid w:val="00FB2278"/>
    <w:rsid w:val="00FB503A"/>
    <w:rsid w:val="00FB516C"/>
    <w:rsid w:val="00FC7A4B"/>
    <w:rsid w:val="00FD0236"/>
    <w:rsid w:val="00FD18F4"/>
    <w:rsid w:val="00FD54DB"/>
    <w:rsid w:val="00FD619F"/>
    <w:rsid w:val="00FF4FAB"/>
    <w:rsid w:val="01290F7E"/>
    <w:rsid w:val="015D1E09"/>
    <w:rsid w:val="02697903"/>
    <w:rsid w:val="027A7A4B"/>
    <w:rsid w:val="02D17A28"/>
    <w:rsid w:val="02F96569"/>
    <w:rsid w:val="03EA7B21"/>
    <w:rsid w:val="05F83EAE"/>
    <w:rsid w:val="0634472B"/>
    <w:rsid w:val="063E7D85"/>
    <w:rsid w:val="069A518E"/>
    <w:rsid w:val="06B26FE3"/>
    <w:rsid w:val="07293586"/>
    <w:rsid w:val="07295285"/>
    <w:rsid w:val="07636392"/>
    <w:rsid w:val="07770C56"/>
    <w:rsid w:val="08B35B6A"/>
    <w:rsid w:val="092217DD"/>
    <w:rsid w:val="093A7294"/>
    <w:rsid w:val="0A263993"/>
    <w:rsid w:val="0A2D3AC2"/>
    <w:rsid w:val="0AA755DF"/>
    <w:rsid w:val="0B120D44"/>
    <w:rsid w:val="0BD27BF6"/>
    <w:rsid w:val="0C1A45AE"/>
    <w:rsid w:val="0C3B3C7D"/>
    <w:rsid w:val="0C762CD4"/>
    <w:rsid w:val="0CAB2EAE"/>
    <w:rsid w:val="0D621C7D"/>
    <w:rsid w:val="0E73034D"/>
    <w:rsid w:val="0E9D72FD"/>
    <w:rsid w:val="0EFB265A"/>
    <w:rsid w:val="0F13775A"/>
    <w:rsid w:val="0F5F45FE"/>
    <w:rsid w:val="0F9A112B"/>
    <w:rsid w:val="105150FF"/>
    <w:rsid w:val="106D2F64"/>
    <w:rsid w:val="10B63710"/>
    <w:rsid w:val="10F10820"/>
    <w:rsid w:val="11112774"/>
    <w:rsid w:val="111C2F7A"/>
    <w:rsid w:val="11665CA1"/>
    <w:rsid w:val="131A65A8"/>
    <w:rsid w:val="13951726"/>
    <w:rsid w:val="14396509"/>
    <w:rsid w:val="14DD2C3C"/>
    <w:rsid w:val="16087E1D"/>
    <w:rsid w:val="17701D14"/>
    <w:rsid w:val="17735226"/>
    <w:rsid w:val="17884241"/>
    <w:rsid w:val="17BB6B20"/>
    <w:rsid w:val="189F624C"/>
    <w:rsid w:val="1A1C66C0"/>
    <w:rsid w:val="1A1E4EBE"/>
    <w:rsid w:val="1A42393B"/>
    <w:rsid w:val="1A5A6A45"/>
    <w:rsid w:val="1AAD45DE"/>
    <w:rsid w:val="1B046F80"/>
    <w:rsid w:val="1B3267B5"/>
    <w:rsid w:val="1B40161D"/>
    <w:rsid w:val="1B441859"/>
    <w:rsid w:val="1B6606B1"/>
    <w:rsid w:val="1C5E7925"/>
    <w:rsid w:val="1CFD070F"/>
    <w:rsid w:val="1D5F6196"/>
    <w:rsid w:val="1D6132A5"/>
    <w:rsid w:val="1D8E56D5"/>
    <w:rsid w:val="1E7A43DA"/>
    <w:rsid w:val="1EE61F3B"/>
    <w:rsid w:val="1F260856"/>
    <w:rsid w:val="1F697F4D"/>
    <w:rsid w:val="1FE7539E"/>
    <w:rsid w:val="20671BE0"/>
    <w:rsid w:val="20963CB8"/>
    <w:rsid w:val="20A81A1B"/>
    <w:rsid w:val="20B07FB6"/>
    <w:rsid w:val="20B646FB"/>
    <w:rsid w:val="20FA015B"/>
    <w:rsid w:val="213B74B1"/>
    <w:rsid w:val="215A2310"/>
    <w:rsid w:val="21DE318A"/>
    <w:rsid w:val="21EF5B80"/>
    <w:rsid w:val="22576990"/>
    <w:rsid w:val="229E1464"/>
    <w:rsid w:val="22F47480"/>
    <w:rsid w:val="23DE1C48"/>
    <w:rsid w:val="240210CD"/>
    <w:rsid w:val="24BF09F7"/>
    <w:rsid w:val="252D53FE"/>
    <w:rsid w:val="25EC2D81"/>
    <w:rsid w:val="26156A96"/>
    <w:rsid w:val="26985E00"/>
    <w:rsid w:val="277057A2"/>
    <w:rsid w:val="287E7677"/>
    <w:rsid w:val="28A569C3"/>
    <w:rsid w:val="29206EB8"/>
    <w:rsid w:val="29595666"/>
    <w:rsid w:val="29874881"/>
    <w:rsid w:val="29E325E0"/>
    <w:rsid w:val="2A11678C"/>
    <w:rsid w:val="2A452503"/>
    <w:rsid w:val="2BA936A8"/>
    <w:rsid w:val="2C265951"/>
    <w:rsid w:val="2C315A5A"/>
    <w:rsid w:val="2C4B1C25"/>
    <w:rsid w:val="2CF03FBF"/>
    <w:rsid w:val="2D6452AE"/>
    <w:rsid w:val="2D9E56F5"/>
    <w:rsid w:val="2E027EC1"/>
    <w:rsid w:val="2E667F96"/>
    <w:rsid w:val="2E8226AB"/>
    <w:rsid w:val="2FD065E6"/>
    <w:rsid w:val="2FD96870"/>
    <w:rsid w:val="30580BC9"/>
    <w:rsid w:val="30966395"/>
    <w:rsid w:val="30EE17F5"/>
    <w:rsid w:val="311E2ED7"/>
    <w:rsid w:val="315619EE"/>
    <w:rsid w:val="315C449C"/>
    <w:rsid w:val="31B82709"/>
    <w:rsid w:val="31D05482"/>
    <w:rsid w:val="32400B34"/>
    <w:rsid w:val="329E6876"/>
    <w:rsid w:val="333015F2"/>
    <w:rsid w:val="334B6320"/>
    <w:rsid w:val="33D934D4"/>
    <w:rsid w:val="33FE2F6A"/>
    <w:rsid w:val="340E07E5"/>
    <w:rsid w:val="34235BF7"/>
    <w:rsid w:val="357D6FA7"/>
    <w:rsid w:val="358C5FA8"/>
    <w:rsid w:val="35C15DF1"/>
    <w:rsid w:val="36074A7F"/>
    <w:rsid w:val="36663919"/>
    <w:rsid w:val="36923549"/>
    <w:rsid w:val="36B75FBF"/>
    <w:rsid w:val="36BD0C45"/>
    <w:rsid w:val="36D93FD8"/>
    <w:rsid w:val="37E00298"/>
    <w:rsid w:val="37FB65FF"/>
    <w:rsid w:val="3856309B"/>
    <w:rsid w:val="38B302F9"/>
    <w:rsid w:val="38E66FC1"/>
    <w:rsid w:val="38F12CD3"/>
    <w:rsid w:val="38F94775"/>
    <w:rsid w:val="392971ED"/>
    <w:rsid w:val="39325651"/>
    <w:rsid w:val="3932648F"/>
    <w:rsid w:val="39837ED1"/>
    <w:rsid w:val="3A872856"/>
    <w:rsid w:val="3B171BED"/>
    <w:rsid w:val="3B3763D1"/>
    <w:rsid w:val="3B6F4C0F"/>
    <w:rsid w:val="3C2F6E1E"/>
    <w:rsid w:val="3C4F64BA"/>
    <w:rsid w:val="3CDA245A"/>
    <w:rsid w:val="3D1E06B7"/>
    <w:rsid w:val="3D7945B2"/>
    <w:rsid w:val="3EDA0523"/>
    <w:rsid w:val="407A6407"/>
    <w:rsid w:val="412E0B5F"/>
    <w:rsid w:val="41E95407"/>
    <w:rsid w:val="4200449D"/>
    <w:rsid w:val="423A3BCC"/>
    <w:rsid w:val="424E57D2"/>
    <w:rsid w:val="42B26C49"/>
    <w:rsid w:val="433A6FE6"/>
    <w:rsid w:val="43480868"/>
    <w:rsid w:val="4350713C"/>
    <w:rsid w:val="436653E0"/>
    <w:rsid w:val="43C4431A"/>
    <w:rsid w:val="440269B3"/>
    <w:rsid w:val="44330620"/>
    <w:rsid w:val="44B951CC"/>
    <w:rsid w:val="44CD14E0"/>
    <w:rsid w:val="44F20B0B"/>
    <w:rsid w:val="452E5F4C"/>
    <w:rsid w:val="45612018"/>
    <w:rsid w:val="458946E9"/>
    <w:rsid w:val="45A47C0E"/>
    <w:rsid w:val="45EA198E"/>
    <w:rsid w:val="46577FD6"/>
    <w:rsid w:val="46D955A7"/>
    <w:rsid w:val="47133957"/>
    <w:rsid w:val="47282898"/>
    <w:rsid w:val="476D3E39"/>
    <w:rsid w:val="47A07E0C"/>
    <w:rsid w:val="4870272E"/>
    <w:rsid w:val="489D1632"/>
    <w:rsid w:val="48CB1349"/>
    <w:rsid w:val="48FC00AA"/>
    <w:rsid w:val="493A4E52"/>
    <w:rsid w:val="49CA428F"/>
    <w:rsid w:val="49DC7715"/>
    <w:rsid w:val="49EB1F18"/>
    <w:rsid w:val="4A023139"/>
    <w:rsid w:val="4A7B576F"/>
    <w:rsid w:val="4AF561A9"/>
    <w:rsid w:val="4B800905"/>
    <w:rsid w:val="4BDC3BFA"/>
    <w:rsid w:val="4C4A0649"/>
    <w:rsid w:val="4C7E5ECA"/>
    <w:rsid w:val="4C876AA5"/>
    <w:rsid w:val="4D0E00FB"/>
    <w:rsid w:val="4D176606"/>
    <w:rsid w:val="4D414F08"/>
    <w:rsid w:val="4DEC4FB0"/>
    <w:rsid w:val="4E075D8A"/>
    <w:rsid w:val="4EC00FAD"/>
    <w:rsid w:val="4EE95DB8"/>
    <w:rsid w:val="4F9843DC"/>
    <w:rsid w:val="4FC62A8C"/>
    <w:rsid w:val="4FE20F0D"/>
    <w:rsid w:val="4FE51552"/>
    <w:rsid w:val="50504C4B"/>
    <w:rsid w:val="5057687E"/>
    <w:rsid w:val="509C6E7C"/>
    <w:rsid w:val="50CA6F2E"/>
    <w:rsid w:val="5162104E"/>
    <w:rsid w:val="52C124D3"/>
    <w:rsid w:val="5314750E"/>
    <w:rsid w:val="53A039CC"/>
    <w:rsid w:val="53A1505A"/>
    <w:rsid w:val="53F86354"/>
    <w:rsid w:val="54063E08"/>
    <w:rsid w:val="543437E8"/>
    <w:rsid w:val="54505AC7"/>
    <w:rsid w:val="546D5D7A"/>
    <w:rsid w:val="54CC7F23"/>
    <w:rsid w:val="54F73313"/>
    <w:rsid w:val="54F80955"/>
    <w:rsid w:val="555170A7"/>
    <w:rsid w:val="5587536D"/>
    <w:rsid w:val="559B174B"/>
    <w:rsid w:val="55A20145"/>
    <w:rsid w:val="55A27132"/>
    <w:rsid w:val="55B87486"/>
    <w:rsid w:val="55CE0CF4"/>
    <w:rsid w:val="56B22A9C"/>
    <w:rsid w:val="56CD1CF5"/>
    <w:rsid w:val="57AE2779"/>
    <w:rsid w:val="57B72A76"/>
    <w:rsid w:val="57C3426C"/>
    <w:rsid w:val="57CE1F93"/>
    <w:rsid w:val="58374D04"/>
    <w:rsid w:val="587A04AB"/>
    <w:rsid w:val="588743D1"/>
    <w:rsid w:val="5887701A"/>
    <w:rsid w:val="593B5D71"/>
    <w:rsid w:val="59B3440B"/>
    <w:rsid w:val="59C0439F"/>
    <w:rsid w:val="5A4E14E8"/>
    <w:rsid w:val="5ABE2233"/>
    <w:rsid w:val="5BB562F8"/>
    <w:rsid w:val="5BDF5D95"/>
    <w:rsid w:val="5BFE7528"/>
    <w:rsid w:val="5D632F72"/>
    <w:rsid w:val="5D7B066E"/>
    <w:rsid w:val="5E2467F1"/>
    <w:rsid w:val="5EB0222E"/>
    <w:rsid w:val="5F1A2B43"/>
    <w:rsid w:val="5FB837BB"/>
    <w:rsid w:val="601B1D80"/>
    <w:rsid w:val="60CC405A"/>
    <w:rsid w:val="61E215D8"/>
    <w:rsid w:val="621B3775"/>
    <w:rsid w:val="62364782"/>
    <w:rsid w:val="6394356A"/>
    <w:rsid w:val="63C61B2C"/>
    <w:rsid w:val="63D40BE9"/>
    <w:rsid w:val="64102431"/>
    <w:rsid w:val="64A5243A"/>
    <w:rsid w:val="64F35C84"/>
    <w:rsid w:val="64F531DE"/>
    <w:rsid w:val="65373578"/>
    <w:rsid w:val="659D21F5"/>
    <w:rsid w:val="6665442D"/>
    <w:rsid w:val="670F743B"/>
    <w:rsid w:val="671F124A"/>
    <w:rsid w:val="677A33C6"/>
    <w:rsid w:val="681F6961"/>
    <w:rsid w:val="68610A2F"/>
    <w:rsid w:val="68805514"/>
    <w:rsid w:val="68843664"/>
    <w:rsid w:val="68CE543E"/>
    <w:rsid w:val="69316E2F"/>
    <w:rsid w:val="694E2071"/>
    <w:rsid w:val="6971198C"/>
    <w:rsid w:val="69766163"/>
    <w:rsid w:val="697A3B33"/>
    <w:rsid w:val="69D44760"/>
    <w:rsid w:val="6A520EC7"/>
    <w:rsid w:val="6AEC7EFD"/>
    <w:rsid w:val="6AF87E20"/>
    <w:rsid w:val="6B322639"/>
    <w:rsid w:val="6B5C3C1E"/>
    <w:rsid w:val="6C50035F"/>
    <w:rsid w:val="6C636C38"/>
    <w:rsid w:val="6CAB30BC"/>
    <w:rsid w:val="6DB34098"/>
    <w:rsid w:val="6DB545B6"/>
    <w:rsid w:val="6DE02FB4"/>
    <w:rsid w:val="6E514CED"/>
    <w:rsid w:val="6EB563D5"/>
    <w:rsid w:val="6ED92677"/>
    <w:rsid w:val="6F225983"/>
    <w:rsid w:val="6FC22F83"/>
    <w:rsid w:val="6FFC5590"/>
    <w:rsid w:val="706D1DD0"/>
    <w:rsid w:val="70856B87"/>
    <w:rsid w:val="70D527EE"/>
    <w:rsid w:val="715B5300"/>
    <w:rsid w:val="717942C4"/>
    <w:rsid w:val="71D27F8A"/>
    <w:rsid w:val="722F68CA"/>
    <w:rsid w:val="72553024"/>
    <w:rsid w:val="73122968"/>
    <w:rsid w:val="731F5D5E"/>
    <w:rsid w:val="73C51AD5"/>
    <w:rsid w:val="741E793C"/>
    <w:rsid w:val="745E3944"/>
    <w:rsid w:val="75127016"/>
    <w:rsid w:val="7635099D"/>
    <w:rsid w:val="77762421"/>
    <w:rsid w:val="77B56B1F"/>
    <w:rsid w:val="780F09F4"/>
    <w:rsid w:val="78963A0D"/>
    <w:rsid w:val="78A90480"/>
    <w:rsid w:val="7A194586"/>
    <w:rsid w:val="7A364017"/>
    <w:rsid w:val="7A4B0019"/>
    <w:rsid w:val="7A8265E1"/>
    <w:rsid w:val="7B43211E"/>
    <w:rsid w:val="7B461A01"/>
    <w:rsid w:val="7B686D42"/>
    <w:rsid w:val="7B841746"/>
    <w:rsid w:val="7C573B8A"/>
    <w:rsid w:val="7C6C5AC7"/>
    <w:rsid w:val="7CC6544B"/>
    <w:rsid w:val="7D0239FF"/>
    <w:rsid w:val="7D5E40CD"/>
    <w:rsid w:val="7DCD56F2"/>
    <w:rsid w:val="7DD37EC9"/>
    <w:rsid w:val="7EAB0194"/>
    <w:rsid w:val="7F001CE7"/>
    <w:rsid w:val="7F3B4503"/>
    <w:rsid w:val="7F595759"/>
    <w:rsid w:val="7F881E54"/>
    <w:rsid w:val="7FE3436B"/>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99"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qFormat="1" w:uiPriority="99" w:semiHidden="0" w:name="index heading" w:locked="1"/>
    <w:lsdException w:qFormat="1" w:unhideWhenUsed="0" w:uiPriority="99" w:semiHidden="0" w:name="caption" w:locked="1"/>
    <w:lsdException w:qFormat="1"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unhideWhenUsed="0" w:uiPriority="0" w:semiHidden="0" w:name="Body Text First Indent" w:locked="1"/>
    <w:lsdException w:unhideWhenUsed="0" w:uiPriority="0" w:semiHidden="0" w:name="Body Text First Indent 2" w:locked="1"/>
    <w:lsdException w:unhideWhenUsed="0" w:uiPriority="0" w:semiHidden="0" w:name="Note Heading" w:locked="1"/>
    <w:lsdException w:qFormat="1" w:uiPriority="99" w:semiHidden="0" w:name="Body Text 2" w:locked="1"/>
    <w:lsdException w:unhideWhenUsed="0" w:uiPriority="0" w:semiHidden="0" w:name="Body Text 3" w:locked="1"/>
    <w:lsdException w:qFormat="1" w:uiPriority="99" w:semiHidden="0" w:name="Body Text Indent 2" w:locked="1"/>
    <w:lsdException w:qFormat="1" w:unhideWhenUsed="0" w:uiPriority="0" w:semiHidden="0" w:name="Body Text Indent 3" w:locked="1"/>
    <w:lsdException w:unhideWhenUsed="0" w:uiPriority="0" w:semiHidden="0" w:name="Block Text" w:locked="1"/>
    <w:lsdException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iPriority="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5"/>
    <w:unhideWhenUsed/>
    <w:qFormat/>
    <w:locked/>
    <w:uiPriority w:val="9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semiHidden/>
    <w:unhideWhenUsed/>
    <w:qFormat/>
    <w:locked/>
    <w:uiPriority w:val="0"/>
    <w:pPr>
      <w:keepNext/>
      <w:keepLines/>
      <w:spacing w:before="260" w:after="260" w:line="416" w:lineRule="auto"/>
      <w:outlineLvl w:val="2"/>
    </w:pPr>
    <w:rPr>
      <w:b/>
      <w:bCs/>
      <w:sz w:val="32"/>
      <w:szCs w:val="32"/>
    </w:rPr>
  </w:style>
  <w:style w:type="paragraph" w:styleId="6">
    <w:name w:val="heading 4"/>
    <w:basedOn w:val="1"/>
    <w:next w:val="1"/>
    <w:qFormat/>
    <w:locked/>
    <w:uiPriority w:val="9"/>
    <w:pPr>
      <w:keepNext/>
      <w:keepLines/>
      <w:adjustRightInd w:val="0"/>
      <w:snapToGrid w:val="0"/>
      <w:spacing w:line="376" w:lineRule="auto"/>
      <w:outlineLvl w:val="3"/>
    </w:pPr>
    <w:rPr>
      <w:rFonts w:ascii="Cambria" w:hAnsi="Cambria" w:eastAsia="微软雅黑" w:cs="Times New Roman"/>
      <w:b/>
      <w:bCs/>
      <w:sz w:val="28"/>
      <w:szCs w:val="28"/>
      <w:lang w:val="en-US" w:eastAsia="zh-CN" w:bidi="ar-SA"/>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locked/>
    <w:uiPriority w:val="99"/>
    <w:pPr>
      <w:spacing w:line="440" w:lineRule="exact"/>
      <w:ind w:firstLine="652"/>
    </w:pPr>
    <w:rPr>
      <w:rFonts w:ascii="Calibri" w:hAnsi="Calibri"/>
      <w:spacing w:val="20"/>
      <w:sz w:val="24"/>
    </w:rPr>
  </w:style>
  <w:style w:type="paragraph" w:styleId="7">
    <w:name w:val="caption"/>
    <w:basedOn w:val="1"/>
    <w:next w:val="1"/>
    <w:qFormat/>
    <w:locked/>
    <w:uiPriority w:val="99"/>
    <w:rPr>
      <w:rFonts w:ascii="Arial" w:hAnsi="Arial" w:eastAsia="黑体" w:cs="Arial"/>
      <w:sz w:val="20"/>
      <w:szCs w:val="20"/>
    </w:rPr>
  </w:style>
  <w:style w:type="paragraph" w:styleId="8">
    <w:name w:val="annotation text"/>
    <w:basedOn w:val="1"/>
    <w:link w:val="39"/>
    <w:qFormat/>
    <w:uiPriority w:val="99"/>
    <w:pPr>
      <w:jc w:val="left"/>
    </w:pPr>
    <w:rPr>
      <w:kern w:val="0"/>
      <w:sz w:val="24"/>
      <w:szCs w:val="20"/>
    </w:rPr>
  </w:style>
  <w:style w:type="paragraph" w:styleId="9">
    <w:name w:val="Salutation"/>
    <w:basedOn w:val="1"/>
    <w:next w:val="1"/>
    <w:link w:val="70"/>
    <w:unhideWhenUsed/>
    <w:qFormat/>
    <w:locked/>
    <w:uiPriority w:val="99"/>
    <w:rPr>
      <w:rFonts w:ascii="Calibri" w:hAnsi="Calibri"/>
      <w:sz w:val="28"/>
      <w:szCs w:val="28"/>
    </w:rPr>
  </w:style>
  <w:style w:type="paragraph" w:styleId="10">
    <w:name w:val="Body Text"/>
    <w:basedOn w:val="1"/>
    <w:link w:val="38"/>
    <w:qFormat/>
    <w:uiPriority w:val="99"/>
    <w:pPr>
      <w:widowControl/>
      <w:snapToGrid w:val="0"/>
      <w:spacing w:before="60" w:after="160" w:line="259" w:lineRule="auto"/>
      <w:ind w:right="113"/>
    </w:pPr>
    <w:rPr>
      <w:kern w:val="0"/>
      <w:sz w:val="18"/>
      <w:szCs w:val="20"/>
    </w:rPr>
  </w:style>
  <w:style w:type="paragraph" w:styleId="11">
    <w:name w:val="Body Text Indent"/>
    <w:basedOn w:val="1"/>
    <w:link w:val="47"/>
    <w:qFormat/>
    <w:uiPriority w:val="99"/>
    <w:pPr>
      <w:spacing w:after="120"/>
      <w:ind w:left="420" w:leftChars="200"/>
    </w:pPr>
    <w:rPr>
      <w:kern w:val="0"/>
      <w:sz w:val="24"/>
      <w:szCs w:val="20"/>
    </w:rPr>
  </w:style>
  <w:style w:type="paragraph" w:styleId="12">
    <w:name w:val="Plain Text"/>
    <w:basedOn w:val="1"/>
    <w:next w:val="9"/>
    <w:link w:val="93"/>
    <w:unhideWhenUsed/>
    <w:qFormat/>
    <w:locked/>
    <w:uiPriority w:val="99"/>
    <w:rPr>
      <w:rFonts w:ascii="宋体" w:hAnsi="Courier New"/>
      <w:szCs w:val="21"/>
    </w:rPr>
  </w:style>
  <w:style w:type="paragraph" w:styleId="13">
    <w:name w:val="Date"/>
    <w:basedOn w:val="1"/>
    <w:next w:val="1"/>
    <w:link w:val="34"/>
    <w:qFormat/>
    <w:uiPriority w:val="0"/>
    <w:pPr>
      <w:ind w:left="100" w:leftChars="2500"/>
    </w:pPr>
    <w:rPr>
      <w:kern w:val="0"/>
      <w:sz w:val="24"/>
      <w:szCs w:val="20"/>
    </w:rPr>
  </w:style>
  <w:style w:type="paragraph" w:styleId="14">
    <w:name w:val="Body Text Indent 2"/>
    <w:basedOn w:val="1"/>
    <w:next w:val="15"/>
    <w:link w:val="59"/>
    <w:unhideWhenUsed/>
    <w:qFormat/>
    <w:locked/>
    <w:uiPriority w:val="99"/>
    <w:pPr>
      <w:spacing w:before="100" w:beforeAutospacing="1" w:after="120" w:line="480" w:lineRule="auto"/>
      <w:ind w:left="420" w:leftChars="200"/>
    </w:pPr>
    <w:rPr>
      <w:szCs w:val="21"/>
    </w:rPr>
  </w:style>
  <w:style w:type="paragraph" w:customStyle="1" w:styleId="15">
    <w:name w:val="正文首行缩进 21"/>
    <w:basedOn w:val="11"/>
    <w:next w:val="1"/>
    <w:qFormat/>
    <w:uiPriority w:val="0"/>
    <w:pPr>
      <w:spacing w:before="100" w:beforeAutospacing="1" w:after="100" w:afterAutospacing="1"/>
      <w:ind w:firstLine="420" w:firstLineChars="200"/>
    </w:pPr>
    <w:rPr>
      <w:rFonts w:ascii="宋体"/>
      <w:kern w:val="2"/>
      <w:sz w:val="21"/>
      <w:szCs w:val="21"/>
    </w:rPr>
  </w:style>
  <w:style w:type="paragraph" w:styleId="16">
    <w:name w:val="Balloon Text"/>
    <w:basedOn w:val="1"/>
    <w:link w:val="43"/>
    <w:semiHidden/>
    <w:qFormat/>
    <w:uiPriority w:val="0"/>
    <w:rPr>
      <w:kern w:val="0"/>
      <w:sz w:val="18"/>
      <w:szCs w:val="20"/>
    </w:rPr>
  </w:style>
  <w:style w:type="paragraph" w:styleId="17">
    <w:name w:val="footer"/>
    <w:basedOn w:val="1"/>
    <w:link w:val="33"/>
    <w:qFormat/>
    <w:uiPriority w:val="99"/>
    <w:pPr>
      <w:tabs>
        <w:tab w:val="center" w:pos="4153"/>
        <w:tab w:val="right" w:pos="8306"/>
      </w:tabs>
      <w:snapToGrid w:val="0"/>
      <w:jc w:val="left"/>
    </w:pPr>
    <w:rPr>
      <w:kern w:val="0"/>
      <w:sz w:val="18"/>
      <w:szCs w:val="20"/>
    </w:rPr>
  </w:style>
  <w:style w:type="paragraph" w:styleId="18">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19">
    <w:name w:val="index heading"/>
    <w:basedOn w:val="1"/>
    <w:next w:val="20"/>
    <w:unhideWhenUsed/>
    <w:qFormat/>
    <w:locked/>
    <w:uiPriority w:val="99"/>
    <w:rPr>
      <w:rFonts w:ascii="Arial" w:hAnsi="Arial" w:cs="Arial"/>
      <w:b/>
      <w:bCs/>
      <w:sz w:val="28"/>
      <w:szCs w:val="28"/>
    </w:rPr>
  </w:style>
  <w:style w:type="paragraph" w:styleId="20">
    <w:name w:val="index 1"/>
    <w:basedOn w:val="1"/>
    <w:next w:val="1"/>
    <w:qFormat/>
    <w:locked/>
    <w:uiPriority w:val="0"/>
  </w:style>
  <w:style w:type="paragraph" w:styleId="21">
    <w:name w:val="Body Text Indent 3"/>
    <w:basedOn w:val="1"/>
    <w:link w:val="68"/>
    <w:qFormat/>
    <w:locked/>
    <w:uiPriority w:val="0"/>
    <w:pPr>
      <w:spacing w:after="120"/>
      <w:ind w:left="420" w:leftChars="200"/>
    </w:pPr>
    <w:rPr>
      <w:sz w:val="16"/>
      <w:szCs w:val="16"/>
    </w:rPr>
  </w:style>
  <w:style w:type="paragraph" w:styleId="22">
    <w:name w:val="table of figures"/>
    <w:basedOn w:val="1"/>
    <w:next w:val="1"/>
    <w:unhideWhenUsed/>
    <w:qFormat/>
    <w:locked/>
    <w:uiPriority w:val="99"/>
    <w:pPr>
      <w:spacing w:before="100" w:beforeAutospacing="1" w:after="100" w:afterAutospacing="1"/>
      <w:ind w:left="200" w:leftChars="200" w:hanging="200" w:hangingChars="200"/>
    </w:pPr>
    <w:rPr>
      <w:rFonts w:ascii="Calibri" w:hAnsi="Calibri"/>
      <w:szCs w:val="21"/>
    </w:rPr>
  </w:style>
  <w:style w:type="paragraph" w:styleId="23">
    <w:name w:val="Body Text 2"/>
    <w:basedOn w:val="1"/>
    <w:link w:val="51"/>
    <w:unhideWhenUsed/>
    <w:qFormat/>
    <w:locked/>
    <w:uiPriority w:val="99"/>
    <w:pPr>
      <w:spacing w:before="100" w:beforeAutospacing="1" w:after="120" w:line="480" w:lineRule="auto"/>
    </w:pPr>
    <w:rPr>
      <w:szCs w:val="21"/>
    </w:rPr>
  </w:style>
  <w:style w:type="paragraph" w:styleId="24">
    <w:name w:val="Normal (Web)"/>
    <w:basedOn w:val="1"/>
    <w:link w:val="36"/>
    <w:qFormat/>
    <w:uiPriority w:val="99"/>
    <w:pPr>
      <w:widowControl/>
      <w:spacing w:before="100" w:beforeAutospacing="1" w:after="100" w:afterAutospacing="1"/>
      <w:jc w:val="left"/>
    </w:pPr>
    <w:rPr>
      <w:rFonts w:ascii="宋体" w:hAnsi="宋体"/>
      <w:kern w:val="0"/>
      <w:sz w:val="24"/>
      <w:szCs w:val="20"/>
    </w:rPr>
  </w:style>
  <w:style w:type="paragraph" w:styleId="25">
    <w:name w:val="annotation subject"/>
    <w:basedOn w:val="8"/>
    <w:next w:val="8"/>
    <w:link w:val="44"/>
    <w:semiHidden/>
    <w:qFormat/>
    <w:uiPriority w:val="0"/>
    <w:rPr>
      <w:b/>
    </w:rPr>
  </w:style>
  <w:style w:type="table" w:styleId="27">
    <w:name w:val="Table Grid"/>
    <w:basedOn w:val="26"/>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locked/>
    <w:uiPriority w:val="0"/>
  </w:style>
  <w:style w:type="character" w:styleId="30">
    <w:name w:val="annotation reference"/>
    <w:semiHidden/>
    <w:qFormat/>
    <w:uiPriority w:val="0"/>
    <w:rPr>
      <w:sz w:val="21"/>
    </w:rPr>
  </w:style>
  <w:style w:type="paragraph" w:customStyle="1" w:styleId="31">
    <w:name w:val="Default"/>
    <w:next w:val="1"/>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character" w:customStyle="1" w:styleId="32">
    <w:name w:val="标题 3 字符"/>
    <w:basedOn w:val="28"/>
    <w:link w:val="5"/>
    <w:semiHidden/>
    <w:qFormat/>
    <w:uiPriority w:val="0"/>
    <w:rPr>
      <w:b/>
      <w:bCs/>
      <w:kern w:val="2"/>
      <w:sz w:val="32"/>
      <w:szCs w:val="32"/>
    </w:rPr>
  </w:style>
  <w:style w:type="character" w:customStyle="1" w:styleId="33">
    <w:name w:val="页脚 字符1"/>
    <w:link w:val="17"/>
    <w:qFormat/>
    <w:locked/>
    <w:uiPriority w:val="99"/>
    <w:rPr>
      <w:sz w:val="18"/>
    </w:rPr>
  </w:style>
  <w:style w:type="character" w:customStyle="1" w:styleId="34">
    <w:name w:val="日期 字符1"/>
    <w:link w:val="13"/>
    <w:qFormat/>
    <w:locked/>
    <w:uiPriority w:val="0"/>
    <w:rPr>
      <w:rFonts w:ascii="Times New Roman" w:hAnsi="Times New Roman" w:eastAsia="宋体"/>
      <w:sz w:val="24"/>
    </w:rPr>
  </w:style>
  <w:style w:type="character" w:customStyle="1" w:styleId="35">
    <w:name w:val="页脚 字符"/>
    <w:basedOn w:val="28"/>
    <w:qFormat/>
    <w:uiPriority w:val="99"/>
  </w:style>
  <w:style w:type="character" w:customStyle="1" w:styleId="36">
    <w:name w:val="普通(网站) 字符"/>
    <w:link w:val="24"/>
    <w:qFormat/>
    <w:locked/>
    <w:uiPriority w:val="0"/>
    <w:rPr>
      <w:rFonts w:ascii="宋体" w:hAnsi="宋体" w:eastAsia="宋体"/>
      <w:sz w:val="24"/>
    </w:rPr>
  </w:style>
  <w:style w:type="character" w:customStyle="1" w:styleId="37">
    <w:name w:val="正文文本 字符1"/>
    <w:semiHidden/>
    <w:qFormat/>
    <w:uiPriority w:val="0"/>
    <w:rPr>
      <w:rFonts w:ascii="Times New Roman" w:hAnsi="Times New Roman" w:eastAsia="宋体"/>
      <w:sz w:val="24"/>
    </w:rPr>
  </w:style>
  <w:style w:type="character" w:customStyle="1" w:styleId="38">
    <w:name w:val="正文文本 字符"/>
    <w:link w:val="10"/>
    <w:qFormat/>
    <w:locked/>
    <w:uiPriority w:val="99"/>
    <w:rPr>
      <w:sz w:val="18"/>
    </w:rPr>
  </w:style>
  <w:style w:type="character" w:customStyle="1" w:styleId="39">
    <w:name w:val="批注文字 字符"/>
    <w:link w:val="8"/>
    <w:qFormat/>
    <w:locked/>
    <w:uiPriority w:val="99"/>
    <w:rPr>
      <w:rFonts w:ascii="Times New Roman" w:hAnsi="Times New Roman" w:eastAsia="宋体"/>
      <w:sz w:val="24"/>
    </w:rPr>
  </w:style>
  <w:style w:type="character" w:customStyle="1" w:styleId="40">
    <w:name w:val="表格 Char"/>
    <w:link w:val="41"/>
    <w:qFormat/>
    <w:locked/>
    <w:uiPriority w:val="0"/>
    <w:rPr>
      <w:rFonts w:ascii="宋体"/>
      <w:sz w:val="21"/>
    </w:rPr>
  </w:style>
  <w:style w:type="paragraph" w:customStyle="1" w:styleId="41">
    <w:name w:val="表格"/>
    <w:basedOn w:val="1"/>
    <w:next w:val="1"/>
    <w:link w:val="40"/>
    <w:qFormat/>
    <w:uiPriority w:val="0"/>
    <w:pPr>
      <w:adjustRightInd w:val="0"/>
      <w:snapToGrid w:val="0"/>
      <w:spacing w:beforeLines="10" w:afterLines="10" w:line="259" w:lineRule="auto"/>
      <w:jc w:val="center"/>
    </w:pPr>
    <w:rPr>
      <w:rFonts w:ascii="宋体"/>
      <w:kern w:val="0"/>
      <w:szCs w:val="20"/>
    </w:rPr>
  </w:style>
  <w:style w:type="character" w:customStyle="1" w:styleId="42">
    <w:name w:val="日期 字符"/>
    <w:semiHidden/>
    <w:qFormat/>
    <w:uiPriority w:val="0"/>
    <w:rPr>
      <w:rFonts w:ascii="Times New Roman" w:hAnsi="Times New Roman" w:eastAsia="宋体"/>
      <w:sz w:val="24"/>
    </w:rPr>
  </w:style>
  <w:style w:type="character" w:customStyle="1" w:styleId="43">
    <w:name w:val="批注框文本 字符"/>
    <w:link w:val="16"/>
    <w:semiHidden/>
    <w:qFormat/>
    <w:locked/>
    <w:uiPriority w:val="0"/>
    <w:rPr>
      <w:rFonts w:ascii="Times New Roman" w:hAnsi="Times New Roman" w:eastAsia="宋体"/>
      <w:sz w:val="18"/>
    </w:rPr>
  </w:style>
  <w:style w:type="character" w:customStyle="1" w:styleId="44">
    <w:name w:val="批注主题 字符"/>
    <w:link w:val="25"/>
    <w:semiHidden/>
    <w:qFormat/>
    <w:locked/>
    <w:uiPriority w:val="0"/>
    <w:rPr>
      <w:rFonts w:ascii="Times New Roman" w:hAnsi="Times New Roman" w:eastAsia="宋体"/>
      <w:b/>
      <w:kern w:val="2"/>
      <w:sz w:val="24"/>
    </w:rPr>
  </w:style>
  <w:style w:type="character" w:customStyle="1" w:styleId="45">
    <w:name w:val="页眉 字符"/>
    <w:link w:val="18"/>
    <w:qFormat/>
    <w:locked/>
    <w:uiPriority w:val="0"/>
    <w:rPr>
      <w:sz w:val="18"/>
    </w:rPr>
  </w:style>
  <w:style w:type="character" w:customStyle="1" w:styleId="46">
    <w:name w:val="批注文字 字符1"/>
    <w:semiHidden/>
    <w:qFormat/>
    <w:uiPriority w:val="0"/>
    <w:rPr>
      <w:rFonts w:ascii="Times New Roman" w:hAnsi="Times New Roman" w:eastAsia="宋体"/>
      <w:sz w:val="24"/>
    </w:rPr>
  </w:style>
  <w:style w:type="character" w:customStyle="1" w:styleId="47">
    <w:name w:val="正文文本缩进 字符"/>
    <w:link w:val="11"/>
    <w:qFormat/>
    <w:locked/>
    <w:uiPriority w:val="99"/>
    <w:rPr>
      <w:rFonts w:ascii="Times New Roman" w:hAnsi="Times New Roman" w:eastAsia="宋体"/>
      <w:sz w:val="24"/>
    </w:rPr>
  </w:style>
  <w:style w:type="paragraph" w:customStyle="1" w:styleId="4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9">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0">
    <w:name w:val="样式 标题 3 + 段前: 0.5 行"/>
    <w:basedOn w:val="5"/>
    <w:qFormat/>
    <w:uiPriority w:val="0"/>
    <w:pPr>
      <w:keepNext w:val="0"/>
      <w:keepLines w:val="0"/>
      <w:tabs>
        <w:tab w:val="left" w:pos="142"/>
        <w:tab w:val="left" w:pos="1080"/>
      </w:tabs>
      <w:autoSpaceDE w:val="0"/>
      <w:autoSpaceDN w:val="0"/>
      <w:spacing w:before="50" w:beforeLines="100" w:after="0" w:line="360" w:lineRule="auto"/>
      <w:ind w:left="227" w:hanging="227"/>
      <w:textAlignment w:val="baseline"/>
    </w:pPr>
    <w:rPr>
      <w:rFonts w:hAnsi="Calibri" w:eastAsia="黑体" w:cs="宋体"/>
      <w:bCs w:val="0"/>
      <w:kern w:val="0"/>
      <w:szCs w:val="30"/>
    </w:rPr>
  </w:style>
  <w:style w:type="character" w:customStyle="1" w:styleId="51">
    <w:name w:val="正文文本 2 字符"/>
    <w:basedOn w:val="28"/>
    <w:link w:val="23"/>
    <w:qFormat/>
    <w:uiPriority w:val="99"/>
    <w:rPr>
      <w:kern w:val="2"/>
      <w:sz w:val="21"/>
      <w:szCs w:val="21"/>
    </w:rPr>
  </w:style>
  <w:style w:type="paragraph" w:customStyle="1" w:styleId="52">
    <w:name w:val="样式 五号 居中"/>
    <w:basedOn w:val="1"/>
    <w:qFormat/>
    <w:uiPriority w:val="0"/>
    <w:pPr>
      <w:jc w:val="center"/>
    </w:pPr>
    <w:rPr>
      <w:rFonts w:cs="宋体"/>
      <w:szCs w:val="21"/>
    </w:rPr>
  </w:style>
  <w:style w:type="paragraph" w:customStyle="1" w:styleId="53">
    <w:name w:val="样式35"/>
    <w:basedOn w:val="1"/>
    <w:qFormat/>
    <w:uiPriority w:val="0"/>
    <w:pPr>
      <w:adjustRightInd w:val="0"/>
      <w:spacing w:line="312" w:lineRule="auto"/>
      <w:ind w:firstLine="567"/>
    </w:pPr>
    <w:rPr>
      <w:rFonts w:ascii="宋体" w:hAnsi="Calibri"/>
      <w:kern w:val="0"/>
      <w:sz w:val="28"/>
      <w:szCs w:val="28"/>
    </w:rPr>
  </w:style>
  <w:style w:type="paragraph" w:customStyle="1" w:styleId="54">
    <w:name w:val="Table Paragraph"/>
    <w:basedOn w:val="1"/>
    <w:qFormat/>
    <w:uiPriority w:val="0"/>
    <w:pPr>
      <w:jc w:val="left"/>
    </w:pPr>
    <w:rPr>
      <w:rFonts w:ascii="Calibri" w:hAnsi="Calibri"/>
      <w:kern w:val="0"/>
      <w:sz w:val="22"/>
      <w:szCs w:val="22"/>
    </w:rPr>
  </w:style>
  <w:style w:type="character" w:customStyle="1" w:styleId="55">
    <w:name w:val="标题 2 字符"/>
    <w:basedOn w:val="28"/>
    <w:link w:val="4"/>
    <w:qFormat/>
    <w:uiPriority w:val="99"/>
    <w:rPr>
      <w:rFonts w:asciiTheme="majorHAnsi" w:hAnsiTheme="majorHAnsi" w:eastAsiaTheme="majorEastAsia" w:cstheme="majorBidi"/>
      <w:b/>
      <w:bCs/>
      <w:kern w:val="2"/>
      <w:sz w:val="32"/>
      <w:szCs w:val="32"/>
    </w:rPr>
  </w:style>
  <w:style w:type="paragraph" w:customStyle="1" w:styleId="56">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57">
    <w:name w:val="表格内部"/>
    <w:basedOn w:val="1"/>
    <w:qFormat/>
    <w:uiPriority w:val="0"/>
    <w:pPr>
      <w:jc w:val="center"/>
    </w:pPr>
    <w:rPr>
      <w:kern w:val="0"/>
      <w:szCs w:val="21"/>
    </w:rPr>
  </w:style>
  <w:style w:type="paragraph" w:customStyle="1" w:styleId="58">
    <w:name w:val="表内容"/>
    <w:basedOn w:val="1"/>
    <w:next w:val="1"/>
    <w:qFormat/>
    <w:uiPriority w:val="0"/>
    <w:pPr>
      <w:jc w:val="center"/>
    </w:pPr>
    <w:rPr>
      <w:szCs w:val="21"/>
    </w:rPr>
  </w:style>
  <w:style w:type="character" w:customStyle="1" w:styleId="59">
    <w:name w:val="正文文本缩进 2 字符"/>
    <w:basedOn w:val="28"/>
    <w:link w:val="14"/>
    <w:qFormat/>
    <w:uiPriority w:val="99"/>
    <w:rPr>
      <w:kern w:val="2"/>
      <w:sz w:val="21"/>
      <w:szCs w:val="21"/>
    </w:rPr>
  </w:style>
  <w:style w:type="character" w:customStyle="1" w:styleId="60">
    <w:name w:val="10"/>
    <w:basedOn w:val="28"/>
    <w:qFormat/>
    <w:uiPriority w:val="0"/>
    <w:rPr>
      <w:rFonts w:hint="default" w:ascii="Times New Roman" w:hAnsi="Times New Roman" w:cs="Times New Roman"/>
    </w:rPr>
  </w:style>
  <w:style w:type="character" w:customStyle="1" w:styleId="61">
    <w:name w:val="15"/>
    <w:basedOn w:val="28"/>
    <w:qFormat/>
    <w:uiPriority w:val="0"/>
    <w:rPr>
      <w:rFonts w:hint="default" w:ascii="Times New Roman" w:hAnsi="Times New Roman" w:cs="Times New Roman"/>
    </w:rPr>
  </w:style>
  <w:style w:type="paragraph" w:customStyle="1" w:styleId="62">
    <w:name w:val="正文 + 仿宋_GB2312"/>
    <w:basedOn w:val="1"/>
    <w:qFormat/>
    <w:uiPriority w:val="0"/>
    <w:pPr>
      <w:ind w:firstLine="480" w:firstLineChars="200"/>
    </w:pPr>
    <w:rPr>
      <w:rFonts w:ascii="仿宋_GB2312" w:hAnsi="Calibri" w:eastAsia="仿宋_GB2312"/>
      <w:sz w:val="24"/>
    </w:rPr>
  </w:style>
  <w:style w:type="paragraph" w:customStyle="1" w:styleId="63">
    <w:name w:val="List Paragraph1"/>
    <w:basedOn w:val="1"/>
    <w:qFormat/>
    <w:uiPriority w:val="0"/>
    <w:pPr>
      <w:ind w:firstLine="420" w:firstLineChars="200"/>
    </w:pPr>
    <w:rPr>
      <w:szCs w:val="21"/>
    </w:rPr>
  </w:style>
  <w:style w:type="paragraph" w:styleId="64">
    <w:name w:val="List Paragraph"/>
    <w:basedOn w:val="1"/>
    <w:qFormat/>
    <w:uiPriority w:val="99"/>
    <w:pPr>
      <w:ind w:firstLine="420" w:firstLineChars="200"/>
    </w:pPr>
  </w:style>
  <w:style w:type="paragraph" w:customStyle="1" w:styleId="65">
    <w:name w:val="目录22222222"/>
    <w:basedOn w:val="1"/>
    <w:qFormat/>
    <w:uiPriority w:val="0"/>
    <w:pPr>
      <w:keepNext/>
      <w:keepLines/>
      <w:spacing w:line="480" w:lineRule="exact"/>
      <w:jc w:val="left"/>
      <w:outlineLvl w:val="1"/>
    </w:pPr>
    <w:rPr>
      <w:rFonts w:ascii="Arial" w:hAnsi="Arial" w:eastAsia="黑体"/>
      <w:bCs/>
      <w:sz w:val="28"/>
      <w:szCs w:val="28"/>
    </w:rPr>
  </w:style>
  <w:style w:type="paragraph" w:customStyle="1" w:styleId="66">
    <w:name w:val="表内文字"/>
    <w:basedOn w:val="1"/>
    <w:qFormat/>
    <w:uiPriority w:val="0"/>
    <w:pPr>
      <w:adjustRightInd w:val="0"/>
      <w:jc w:val="center"/>
      <w:textAlignment w:val="baseline"/>
    </w:pPr>
    <w:rPr>
      <w:szCs w:val="21"/>
    </w:rPr>
  </w:style>
  <w:style w:type="paragraph" w:customStyle="1" w:styleId="67">
    <w:name w:val="Lux 正文"/>
    <w:basedOn w:val="1"/>
    <w:qFormat/>
    <w:uiPriority w:val="0"/>
    <w:pPr>
      <w:ind w:firstLine="200"/>
    </w:pPr>
    <w:rPr>
      <w:kern w:val="0"/>
      <w:szCs w:val="21"/>
    </w:rPr>
  </w:style>
  <w:style w:type="character" w:customStyle="1" w:styleId="68">
    <w:name w:val="正文文本缩进 3 字符"/>
    <w:basedOn w:val="28"/>
    <w:link w:val="21"/>
    <w:qFormat/>
    <w:uiPriority w:val="0"/>
    <w:rPr>
      <w:kern w:val="2"/>
      <w:sz w:val="16"/>
      <w:szCs w:val="16"/>
    </w:rPr>
  </w:style>
  <w:style w:type="paragraph" w:customStyle="1" w:styleId="69">
    <w:name w:val="表头"/>
    <w:basedOn w:val="1"/>
    <w:next w:val="1"/>
    <w:qFormat/>
    <w:uiPriority w:val="0"/>
    <w:pPr>
      <w:spacing w:line="420" w:lineRule="exact"/>
      <w:jc w:val="center"/>
    </w:pPr>
    <w:rPr>
      <w:rFonts w:ascii="Calibri" w:hAnsi="宋体"/>
      <w:b/>
      <w:color w:val="000000"/>
      <w:position w:val="2"/>
      <w:sz w:val="24"/>
    </w:rPr>
  </w:style>
  <w:style w:type="character" w:customStyle="1" w:styleId="70">
    <w:name w:val="称呼 字符"/>
    <w:basedOn w:val="28"/>
    <w:link w:val="9"/>
    <w:qFormat/>
    <w:uiPriority w:val="99"/>
    <w:rPr>
      <w:rFonts w:ascii="Calibri" w:hAnsi="Calibri"/>
      <w:kern w:val="2"/>
      <w:sz w:val="28"/>
      <w:szCs w:val="28"/>
    </w:rPr>
  </w:style>
  <w:style w:type="paragraph" w:customStyle="1" w:styleId="71">
    <w:name w:val="列表段落1"/>
    <w:basedOn w:val="1"/>
    <w:qFormat/>
    <w:uiPriority w:val="0"/>
    <w:pPr>
      <w:spacing w:before="1" w:after="100" w:afterAutospacing="1"/>
      <w:ind w:left="285" w:hanging="602"/>
    </w:pPr>
    <w:rPr>
      <w:rFonts w:ascii="宋体" w:hAnsi="宋体" w:cs="宋体"/>
      <w:sz w:val="28"/>
      <w:szCs w:val="28"/>
    </w:rPr>
  </w:style>
  <w:style w:type="paragraph" w:customStyle="1" w:styleId="72">
    <w:name w:val="_Style 2"/>
    <w:basedOn w:val="1"/>
    <w:next w:val="1"/>
    <w:qFormat/>
    <w:uiPriority w:val="0"/>
    <w:pPr>
      <w:spacing w:line="360" w:lineRule="exact"/>
      <w:jc w:val="center"/>
    </w:pPr>
    <w:rPr>
      <w:rFonts w:ascii="Calibri" w:hAnsi="Calibri" w:cs="Calibri"/>
      <w:iCs/>
      <w:color w:val="000000"/>
      <w:szCs w:val="21"/>
    </w:rPr>
  </w:style>
  <w:style w:type="paragraph" w:customStyle="1" w:styleId="73">
    <w:name w:val="列出段落"/>
    <w:basedOn w:val="1"/>
    <w:qFormat/>
    <w:uiPriority w:val="0"/>
    <w:pPr>
      <w:ind w:firstLine="420" w:firstLineChars="200"/>
    </w:pPr>
    <w:rPr>
      <w:rFonts w:ascii="Calibri" w:hAnsi="Calibri" w:cs="Calibri"/>
      <w:szCs w:val="21"/>
    </w:rPr>
  </w:style>
  <w:style w:type="paragraph" w:customStyle="1" w:styleId="74">
    <w:name w:val="正文首行缩进 22"/>
    <w:basedOn w:val="11"/>
    <w:next w:val="1"/>
    <w:qFormat/>
    <w:uiPriority w:val="0"/>
    <w:pPr>
      <w:spacing w:before="100" w:beforeAutospacing="1"/>
      <w:ind w:firstLine="420" w:firstLineChars="200"/>
    </w:pPr>
    <w:rPr>
      <w:rFonts w:ascii="Calibri" w:hAnsi="Calibri" w:cs="Calibri"/>
      <w:kern w:val="2"/>
      <w:sz w:val="21"/>
      <w:szCs w:val="21"/>
    </w:rPr>
  </w:style>
  <w:style w:type="paragraph" w:customStyle="1" w:styleId="75">
    <w:name w:val="1"/>
    <w:basedOn w:val="1"/>
    <w:next w:val="2"/>
    <w:qFormat/>
    <w:uiPriority w:val="0"/>
    <w:pPr>
      <w:ind w:firstLine="420"/>
    </w:pPr>
    <w:rPr>
      <w:rFonts w:ascii="宋体" w:hAnsi="宋体" w:cs="宋体"/>
      <w:sz w:val="26"/>
      <w:szCs w:val="26"/>
    </w:rPr>
  </w:style>
  <w:style w:type="paragraph" w:customStyle="1" w:styleId="76">
    <w:name w:val="表文字"/>
    <w:basedOn w:val="1"/>
    <w:qFormat/>
    <w:uiPriority w:val="0"/>
    <w:pPr>
      <w:topLinePunct/>
      <w:adjustRightInd w:val="0"/>
      <w:spacing w:line="360" w:lineRule="exact"/>
      <w:jc w:val="center"/>
      <w:textAlignment w:val="baseline"/>
    </w:pPr>
    <w:rPr>
      <w:rFonts w:ascii="Calibri" w:hAnsi="Calibri" w:cs="Calibri"/>
      <w:kern w:val="0"/>
      <w:szCs w:val="21"/>
    </w:rPr>
  </w:style>
  <w:style w:type="paragraph" w:customStyle="1" w:styleId="77">
    <w:name w:val="表格内容自定"/>
    <w:basedOn w:val="1"/>
    <w:qFormat/>
    <w:uiPriority w:val="0"/>
    <w:pPr>
      <w:spacing w:line="280" w:lineRule="exact"/>
      <w:jc w:val="center"/>
    </w:pPr>
    <w:rPr>
      <w:rFonts w:ascii="Calibri" w:hAnsi="Calibri" w:cs="Calibri"/>
      <w:kern w:val="0"/>
      <w:sz w:val="18"/>
      <w:szCs w:val="18"/>
    </w:rPr>
  </w:style>
  <w:style w:type="paragraph" w:customStyle="1" w:styleId="78">
    <w:name w:val="中文报告书样式"/>
    <w:basedOn w:val="1"/>
    <w:qFormat/>
    <w:uiPriority w:val="0"/>
    <w:pPr>
      <w:adjustRightInd w:val="0"/>
      <w:spacing w:line="480" w:lineRule="atLeast"/>
      <w:ind w:firstLine="482"/>
      <w:textAlignment w:val="baseline"/>
    </w:pPr>
    <w:rPr>
      <w:rFonts w:ascii="仿宋_GB2312" w:hAnsi="宋体" w:eastAsia="仿宋_GB2312" w:cs="宋体"/>
      <w:kern w:val="24"/>
      <w:sz w:val="24"/>
    </w:rPr>
  </w:style>
  <w:style w:type="paragraph" w:customStyle="1" w:styleId="79">
    <w:name w:val="样式 12.5 磅 行距: 固定值 22 磅 首行缩进:  2 字符"/>
    <w:basedOn w:val="1"/>
    <w:qFormat/>
    <w:uiPriority w:val="0"/>
    <w:pPr>
      <w:spacing w:line="440" w:lineRule="exact"/>
      <w:ind w:firstLine="200" w:firstLineChars="200"/>
    </w:pPr>
    <w:rPr>
      <w:rFonts w:ascii="仿宋_GB2312" w:hAnsi="宋体" w:eastAsia="仿宋_GB2312" w:cs="宋体"/>
      <w:sz w:val="25"/>
      <w:szCs w:val="25"/>
    </w:rPr>
  </w:style>
  <w:style w:type="paragraph" w:customStyle="1" w:styleId="80">
    <w:name w:val="p0"/>
    <w:basedOn w:val="1"/>
    <w:qFormat/>
    <w:uiPriority w:val="0"/>
    <w:pPr>
      <w:widowControl/>
    </w:pPr>
    <w:rPr>
      <w:rFonts w:ascii="仿宋_GB2312" w:hAnsi="宋体" w:eastAsia="仿宋_GB2312" w:cs="宋体"/>
      <w:kern w:val="0"/>
      <w:szCs w:val="21"/>
    </w:rPr>
  </w:style>
  <w:style w:type="paragraph" w:customStyle="1" w:styleId="81">
    <w:name w:val="_Style 1036"/>
    <w:basedOn w:val="1"/>
    <w:next w:val="1"/>
    <w:qFormat/>
    <w:uiPriority w:val="0"/>
    <w:pPr>
      <w:widowControl/>
      <w:ind w:firstLine="420" w:firstLineChars="200"/>
      <w:jc w:val="left"/>
    </w:pPr>
    <w:rPr>
      <w:spacing w:val="-2"/>
      <w:kern w:val="0"/>
      <w:sz w:val="28"/>
      <w:szCs w:val="28"/>
    </w:rPr>
  </w:style>
  <w:style w:type="paragraph" w:customStyle="1" w:styleId="82">
    <w:name w:val="p15"/>
    <w:basedOn w:val="1"/>
    <w:qFormat/>
    <w:uiPriority w:val="0"/>
    <w:pPr>
      <w:widowControl/>
      <w:jc w:val="left"/>
    </w:pPr>
    <w:rPr>
      <w:rFonts w:ascii="仿宋_GB2312" w:hAnsi="宋体" w:eastAsia="仿宋_GB2312" w:cs="宋体"/>
      <w:kern w:val="0"/>
      <w:sz w:val="20"/>
      <w:szCs w:val="20"/>
    </w:rPr>
  </w:style>
  <w:style w:type="paragraph" w:customStyle="1" w:styleId="83">
    <w:name w:val="！正文"/>
    <w:basedOn w:val="1"/>
    <w:qFormat/>
    <w:uiPriority w:val="0"/>
    <w:pPr>
      <w:spacing w:line="360" w:lineRule="auto"/>
      <w:ind w:firstLine="480" w:firstLineChars="200"/>
    </w:pPr>
    <w:rPr>
      <w:rFonts w:ascii="宋体" w:cs="宋体"/>
      <w:kern w:val="0"/>
      <w:sz w:val="24"/>
    </w:rPr>
  </w:style>
  <w:style w:type="paragraph" w:customStyle="1" w:styleId="84">
    <w:name w:val="表格内容"/>
    <w:basedOn w:val="1"/>
    <w:qFormat/>
    <w:uiPriority w:val="0"/>
    <w:pPr>
      <w:widowControl/>
      <w:jc w:val="center"/>
    </w:pPr>
    <w:rPr>
      <w:kern w:val="0"/>
      <w:szCs w:val="21"/>
    </w:rPr>
  </w:style>
  <w:style w:type="paragraph" w:customStyle="1" w:styleId="85">
    <w:name w:val="样式 标题 2 + 自动设置"/>
    <w:basedOn w:val="4"/>
    <w:qFormat/>
    <w:uiPriority w:val="0"/>
    <w:pPr>
      <w:adjustRightInd w:val="0"/>
      <w:snapToGrid w:val="0"/>
      <w:spacing w:before="0" w:beforeLines="50" w:after="0" w:afterLines="50" w:line="240" w:lineRule="auto"/>
      <w:ind w:firstLine="540" w:firstLineChars="168"/>
    </w:pPr>
    <w:rPr>
      <w:rFonts w:ascii="Times New Roman" w:hAnsi="Times New Roman" w:eastAsia="黑体" w:cs="Times New Roman"/>
      <w:b w:val="0"/>
      <w:sz w:val="28"/>
      <w:szCs w:val="28"/>
    </w:rPr>
  </w:style>
  <w:style w:type="paragraph" w:customStyle="1" w:styleId="86">
    <w:name w:val="表格名称"/>
    <w:basedOn w:val="1"/>
    <w:qFormat/>
    <w:uiPriority w:val="0"/>
    <w:pPr>
      <w:spacing w:before="100" w:beforeAutospacing="1" w:after="100" w:afterAutospacing="1"/>
      <w:jc w:val="center"/>
    </w:pPr>
    <w:rPr>
      <w:b/>
      <w:sz w:val="28"/>
      <w:szCs w:val="28"/>
    </w:rPr>
  </w:style>
  <w:style w:type="paragraph" w:customStyle="1" w:styleId="87">
    <w:name w:val="A正文"/>
    <w:basedOn w:val="1"/>
    <w:qFormat/>
    <w:uiPriority w:val="0"/>
    <w:pPr>
      <w:adjustRightInd w:val="0"/>
      <w:snapToGrid w:val="0"/>
      <w:spacing w:line="360" w:lineRule="auto"/>
      <w:ind w:firstLine="480" w:firstLineChars="200"/>
    </w:pPr>
    <w:rPr>
      <w:rFonts w:ascii="Calibri" w:hAnsi="Calibri"/>
      <w:kern w:val="0"/>
      <w:sz w:val="24"/>
    </w:rPr>
  </w:style>
  <w:style w:type="paragraph" w:customStyle="1" w:styleId="88">
    <w:name w:val="表格标题"/>
    <w:basedOn w:val="7"/>
    <w:qFormat/>
    <w:uiPriority w:val="0"/>
    <w:pPr>
      <w:keepNext/>
      <w:spacing w:line="440" w:lineRule="exact"/>
      <w:jc w:val="center"/>
    </w:pPr>
    <w:rPr>
      <w:rFonts w:ascii="Times New Roman" w:hAnsi="宋体" w:eastAsia="宋体" w:cs="Times New Roman"/>
      <w:sz w:val="24"/>
      <w:szCs w:val="24"/>
    </w:rPr>
  </w:style>
  <w:style w:type="table" w:customStyle="1" w:styleId="89">
    <w:name w:val="Table Normal"/>
    <w:basedOn w:val="26"/>
    <w:qFormat/>
    <w:uiPriority w:val="0"/>
    <w:pPr>
      <w:widowControl w:val="0"/>
    </w:pPr>
    <w:rPr>
      <w:rFonts w:eastAsia="Times New Roman"/>
      <w:sz w:val="22"/>
      <w:szCs w:val="22"/>
      <w:lang w:eastAsia="en-US"/>
    </w:rPr>
    <w:tblPr>
      <w:tblCellMar>
        <w:left w:w="0" w:type="dxa"/>
        <w:right w:w="0" w:type="dxa"/>
      </w:tblCellMar>
    </w:tblPr>
  </w:style>
  <w:style w:type="paragraph" w:customStyle="1" w:styleId="90">
    <w:name w:val="列表段落2"/>
    <w:basedOn w:val="1"/>
    <w:qFormat/>
    <w:uiPriority w:val="0"/>
    <w:pPr>
      <w:ind w:firstLine="420" w:firstLineChars="200"/>
    </w:pPr>
    <w:rPr>
      <w:szCs w:val="21"/>
    </w:rPr>
  </w:style>
  <w:style w:type="paragraph" w:customStyle="1" w:styleId="91">
    <w:name w:val="1正文"/>
    <w:basedOn w:val="1"/>
    <w:qFormat/>
    <w:uiPriority w:val="0"/>
    <w:pPr>
      <w:widowControl/>
      <w:spacing w:line="360" w:lineRule="auto"/>
      <w:ind w:firstLine="200" w:firstLineChars="200"/>
    </w:pPr>
    <w:rPr>
      <w:rFonts w:ascii="Calibri" w:hAnsi="Calibri"/>
      <w:kern w:val="0"/>
      <w:sz w:val="24"/>
    </w:rPr>
  </w:style>
  <w:style w:type="character" w:customStyle="1" w:styleId="92">
    <w:name w:val="16"/>
    <w:basedOn w:val="28"/>
    <w:qFormat/>
    <w:uiPriority w:val="0"/>
    <w:rPr>
      <w:rFonts w:hint="default" w:ascii="Times New Roman" w:hAnsi="Times New Roman" w:cs="Times New Roman"/>
      <w:color w:val="000000"/>
      <w:sz w:val="22"/>
      <w:szCs w:val="22"/>
    </w:rPr>
  </w:style>
  <w:style w:type="character" w:customStyle="1" w:styleId="93">
    <w:name w:val="纯文本 字符"/>
    <w:basedOn w:val="28"/>
    <w:link w:val="12"/>
    <w:qFormat/>
    <w:uiPriority w:val="99"/>
    <w:rPr>
      <w:rFonts w:ascii="宋体" w:hAnsi="Courier New"/>
      <w:kern w:val="2"/>
      <w:sz w:val="21"/>
      <w:szCs w:val="21"/>
    </w:rPr>
  </w:style>
  <w:style w:type="paragraph" w:customStyle="1" w:styleId="94">
    <w:name w:val="正文001"/>
    <w:basedOn w:val="1"/>
    <w:qFormat/>
    <w:uiPriority w:val="0"/>
    <w:pPr>
      <w:spacing w:before="60" w:after="100" w:afterAutospacing="1" w:line="420" w:lineRule="exact"/>
      <w:ind w:firstLine="482"/>
    </w:pPr>
    <w:rPr>
      <w:rFonts w:ascii="Calibri" w:hAnsi="Calibri"/>
      <w:sz w:val="24"/>
    </w:rPr>
  </w:style>
  <w:style w:type="paragraph" w:customStyle="1" w:styleId="95">
    <w:name w:val="List Paragraph2"/>
    <w:basedOn w:val="1"/>
    <w:qFormat/>
    <w:uiPriority w:val="0"/>
    <w:pPr>
      <w:spacing w:before="1" w:after="100" w:afterAutospacing="1"/>
      <w:ind w:left="285" w:hanging="602"/>
    </w:pPr>
    <w:rPr>
      <w:rFonts w:ascii="宋体" w:hAnsi="宋体" w:cs="宋体"/>
      <w:sz w:val="28"/>
      <w:szCs w:val="28"/>
    </w:rPr>
  </w:style>
  <w:style w:type="paragraph" w:customStyle="1" w:styleId="96">
    <w:name w:val="表格内正文"/>
    <w:basedOn w:val="1"/>
    <w:qFormat/>
    <w:uiPriority w:val="0"/>
    <w:pPr>
      <w:adjustRightInd w:val="0"/>
      <w:spacing w:line="360" w:lineRule="auto"/>
      <w:ind w:firstLine="493"/>
      <w:textAlignment w:val="baseline"/>
    </w:pPr>
    <w:rPr>
      <w:rFonts w:ascii="宋体" w:hAnsi="宋体"/>
      <w:spacing w:val="4"/>
      <w:kern w:val="18"/>
      <w:sz w:val="24"/>
      <w:szCs w:val="20"/>
    </w:rPr>
  </w:style>
  <w:style w:type="paragraph" w:customStyle="1" w:styleId="97">
    <w:name w:val="4"/>
    <w:basedOn w:val="1"/>
    <w:next w:val="64"/>
    <w:qFormat/>
    <w:uiPriority w:val="34"/>
    <w:pPr>
      <w:widowControl/>
      <w:ind w:firstLine="420" w:firstLineChars="200"/>
      <w:jc w:val="left"/>
    </w:pPr>
    <w:rPr>
      <w:spacing w:val="-2"/>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7.wmf"/><Relationship Id="rId13" Type="http://schemas.openxmlformats.org/officeDocument/2006/relationships/oleObject" Target="embeddings/oleObject2.bin"/><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718728A-16B7-4DC8-9F76-92CF71E408E1}">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Pages>
  <Words>9548</Words>
  <Characters>54429</Characters>
  <Lines>453</Lines>
  <Paragraphs>127</Paragraphs>
  <TotalTime>102</TotalTime>
  <ScaleCrop>false</ScaleCrop>
  <LinksUpToDate>false</LinksUpToDate>
  <CharactersWithSpaces>63850</CharactersWithSpaces>
  <Application>WPS Office_11.1.0.11284_F1E327BC-269C-435d-A152-05C5408002CA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2021-03-18T01:35:00Z</dcterms:created>
  <dc:creator>lhj</dc:creator>
  <cp:lastModifiedBy>庄小豆</cp:lastModifiedBy>
  <cp:lastPrinted>2021-08-06T10:14:00Z</cp:lastPrinted>
  <dcterms:modified xsi:type="dcterms:W3CDTF">2021-12-30T06:46:06Z</dcterms:modified>
  <dc:title>附件2</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445C9F20906F42B7A993ADD0BCD9DCF6</vt:lpwstr>
  </property>
</Properties>
</file>